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仿宋_GB2312" w:hAnsi="方正仿宋_GB2312" w:eastAsia="方正仿宋_GB2312" w:cs="方正仿宋_GB2312"/>
          <w:b w:val="0"/>
          <w:bCs w:val="0"/>
          <w:color w:val="000000"/>
          <w:sz w:val="40"/>
          <w:szCs w:val="44"/>
          <w:lang w:eastAsia="zh-CN"/>
        </w:rPr>
      </w:pPr>
      <w:r>
        <w:rPr>
          <w:rFonts w:hint="eastAsia" w:ascii="方正仿宋_GB2312" w:hAnsi="方正仿宋_GB2312" w:eastAsia="方正仿宋_GB2312" w:cs="方正仿宋_GB2312"/>
          <w:b w:val="0"/>
          <w:bCs w:val="0"/>
          <w:color w:val="000000"/>
          <w:sz w:val="40"/>
          <w:szCs w:val="44"/>
          <w:lang w:eastAsia="zh-CN"/>
        </w:rPr>
        <w:t>酒钢集团甘肃宏兴宏宇新材料有限责任公司</w:t>
      </w:r>
    </w:p>
    <w:p>
      <w:pPr>
        <w:jc w:val="center"/>
        <w:rPr>
          <w:rFonts w:hint="eastAsia" w:eastAsia="宋体"/>
          <w:color w:val="auto"/>
          <w:sz w:val="32"/>
          <w:szCs w:val="32"/>
          <w:highlight w:val="none"/>
          <w:lang w:eastAsia="zh-CN"/>
        </w:rPr>
      </w:pPr>
      <w:r>
        <w:rPr>
          <w:rFonts w:hint="eastAsia"/>
          <w:color w:val="auto"/>
          <w:sz w:val="32"/>
          <w:szCs w:val="32"/>
          <w:highlight w:val="none"/>
          <w:lang w:eastAsia="zh-CN"/>
        </w:rPr>
        <w:t>（70389058在线氢气分析仪）</w:t>
      </w:r>
    </w:p>
    <w:p>
      <w:pPr>
        <w:rPr>
          <w:rFonts w:hint="eastAsia"/>
          <w:color w:val="auto"/>
          <w:highlight w:val="none"/>
        </w:rPr>
      </w:pPr>
    </w:p>
    <w:p>
      <w:pPr>
        <w:rPr>
          <w:rFonts w:hint="eastAsia" w:ascii="方正楷体_GB2312" w:hAnsi="方正楷体_GB2312" w:eastAsia="方正楷体_GB2312" w:cs="方正楷体_GB2312"/>
          <w:color w:val="auto"/>
          <w:highlight w:val="none"/>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楷体_GB2312" w:hAnsi="方正楷体_GB2312" w:eastAsia="方正楷体_GB2312" w:cs="方正楷体_GB2312"/>
          <w:b w:val="0"/>
          <w:bCs/>
          <w:color w:val="000000"/>
          <w:sz w:val="44"/>
          <w:szCs w:val="44"/>
        </w:rPr>
      </w:pPr>
      <w:r>
        <w:rPr>
          <w:rFonts w:hint="eastAsia" w:ascii="方正楷体_GB2312" w:hAnsi="方正楷体_GB2312" w:eastAsia="方正楷体_GB2312" w:cs="方正楷体_GB2312"/>
          <w:b w:val="0"/>
          <w:bCs w:val="0"/>
          <w:color w:val="000000"/>
          <w:sz w:val="44"/>
          <w:szCs w:val="48"/>
          <w:lang w:eastAsia="zh-CN"/>
        </w:rPr>
        <w:t>采</w:t>
      </w:r>
      <w:r>
        <w:rPr>
          <w:rFonts w:hint="eastAsia" w:ascii="方正楷体_GB2312" w:hAnsi="方正楷体_GB2312" w:eastAsia="方正楷体_GB2312" w:cs="方正楷体_GB2312"/>
          <w:b w:val="0"/>
          <w:bCs w:val="0"/>
          <w:color w:val="000000"/>
          <w:sz w:val="44"/>
          <w:szCs w:val="48"/>
          <w:lang w:val="en-US" w:eastAsia="zh-CN"/>
        </w:rPr>
        <w:t xml:space="preserve">  </w:t>
      </w:r>
      <w:r>
        <w:rPr>
          <w:rFonts w:hint="eastAsia" w:ascii="方正楷体_GB2312" w:hAnsi="方正楷体_GB2312" w:eastAsia="方正楷体_GB2312" w:cs="方正楷体_GB2312"/>
          <w:b w:val="0"/>
          <w:bCs w:val="0"/>
          <w:color w:val="000000"/>
          <w:sz w:val="44"/>
          <w:szCs w:val="48"/>
          <w:lang w:eastAsia="zh-CN"/>
        </w:rPr>
        <w:t>购</w:t>
      </w:r>
    </w:p>
    <w:p>
      <w:pPr>
        <w:keepNext w:val="0"/>
        <w:keepLines w:val="0"/>
        <w:pageBreakBefore w:val="0"/>
        <w:widowControl w:val="0"/>
        <w:kinsoku/>
        <w:wordWrap/>
        <w:overflowPunct/>
        <w:topLinePunct w:val="0"/>
        <w:autoSpaceDE/>
        <w:autoSpaceDN/>
        <w:bidi w:val="0"/>
        <w:adjustRightInd/>
        <w:jc w:val="center"/>
        <w:textAlignment w:val="auto"/>
        <w:rPr>
          <w:rFonts w:hint="eastAsia" w:ascii="方正楷体_GB2312" w:hAnsi="方正楷体_GB2312" w:eastAsia="方正楷体_GB2312" w:cs="方正楷体_GB2312"/>
          <w:b w:val="0"/>
          <w:bCs/>
          <w:color w:val="000000"/>
          <w:sz w:val="44"/>
          <w:szCs w:val="44"/>
        </w:rPr>
      </w:pPr>
    </w:p>
    <w:p>
      <w:pPr>
        <w:keepNext w:val="0"/>
        <w:keepLines w:val="0"/>
        <w:pageBreakBefore w:val="0"/>
        <w:widowControl w:val="0"/>
        <w:kinsoku/>
        <w:wordWrap/>
        <w:overflowPunct/>
        <w:topLinePunct w:val="0"/>
        <w:autoSpaceDE/>
        <w:autoSpaceDN/>
        <w:bidi w:val="0"/>
        <w:adjustRightInd/>
        <w:jc w:val="center"/>
        <w:textAlignment w:val="auto"/>
        <w:rPr>
          <w:rFonts w:hint="eastAsia" w:ascii="方正楷体_GB2312" w:hAnsi="方正楷体_GB2312" w:eastAsia="方正楷体_GB2312" w:cs="方正楷体_GB2312"/>
          <w:b w:val="0"/>
          <w:bCs/>
          <w:color w:val="000000"/>
          <w:sz w:val="44"/>
          <w:szCs w:val="44"/>
        </w:rPr>
      </w:pPr>
    </w:p>
    <w:p>
      <w:pPr>
        <w:keepNext w:val="0"/>
        <w:keepLines w:val="0"/>
        <w:pageBreakBefore w:val="0"/>
        <w:widowControl w:val="0"/>
        <w:kinsoku/>
        <w:wordWrap/>
        <w:overflowPunct/>
        <w:topLinePunct w:val="0"/>
        <w:autoSpaceDE/>
        <w:autoSpaceDN/>
        <w:bidi w:val="0"/>
        <w:adjustRightInd/>
        <w:jc w:val="center"/>
        <w:textAlignment w:val="auto"/>
        <w:rPr>
          <w:rFonts w:hint="eastAsia" w:ascii="方正楷体_GB2312" w:hAnsi="方正楷体_GB2312" w:eastAsia="方正楷体_GB2312" w:cs="方正楷体_GB2312"/>
          <w:b w:val="0"/>
          <w:bCs/>
          <w:color w:val="000000"/>
          <w:sz w:val="44"/>
          <w:szCs w:val="44"/>
        </w:rPr>
      </w:pPr>
      <w:r>
        <w:rPr>
          <w:rFonts w:hint="eastAsia" w:ascii="方正楷体_GB2312" w:hAnsi="方正楷体_GB2312" w:eastAsia="方正楷体_GB2312" w:cs="方正楷体_GB2312"/>
          <w:b w:val="0"/>
          <w:bCs/>
          <w:color w:val="000000"/>
          <w:sz w:val="44"/>
          <w:szCs w:val="44"/>
        </w:rPr>
        <w:t>技</w:t>
      </w:r>
    </w:p>
    <w:p>
      <w:pPr>
        <w:keepNext w:val="0"/>
        <w:keepLines w:val="0"/>
        <w:pageBreakBefore w:val="0"/>
        <w:widowControl w:val="0"/>
        <w:kinsoku/>
        <w:wordWrap/>
        <w:overflowPunct/>
        <w:topLinePunct w:val="0"/>
        <w:autoSpaceDE/>
        <w:autoSpaceDN/>
        <w:bidi w:val="0"/>
        <w:adjustRightInd/>
        <w:jc w:val="center"/>
        <w:textAlignment w:val="auto"/>
        <w:rPr>
          <w:rFonts w:hint="eastAsia" w:ascii="方正楷体_GB2312" w:hAnsi="方正楷体_GB2312" w:eastAsia="方正楷体_GB2312" w:cs="方正楷体_GB2312"/>
          <w:b w:val="0"/>
          <w:bCs/>
          <w:color w:val="000000"/>
          <w:sz w:val="44"/>
          <w:szCs w:val="44"/>
        </w:rPr>
      </w:pPr>
      <w:r>
        <w:rPr>
          <w:rFonts w:hint="eastAsia" w:ascii="方正楷体_GB2312" w:hAnsi="方正楷体_GB2312" w:eastAsia="方正楷体_GB2312" w:cs="方正楷体_GB2312"/>
          <w:b w:val="0"/>
          <w:bCs/>
          <w:color w:val="000000"/>
          <w:sz w:val="44"/>
          <w:szCs w:val="44"/>
        </w:rPr>
        <w:t>术</w:t>
      </w:r>
    </w:p>
    <w:p>
      <w:pPr>
        <w:jc w:val="center"/>
        <w:rPr>
          <w:rFonts w:hint="eastAsia" w:ascii="方正楷体_GB2312" w:hAnsi="方正楷体_GB2312" w:eastAsia="方正楷体_GB2312" w:cs="方正楷体_GB2312"/>
          <w:b w:val="0"/>
          <w:bCs/>
          <w:color w:val="000000"/>
          <w:sz w:val="44"/>
          <w:szCs w:val="44"/>
          <w:lang w:eastAsia="zh-CN"/>
        </w:rPr>
      </w:pPr>
      <w:r>
        <w:rPr>
          <w:rFonts w:hint="eastAsia" w:ascii="方正楷体_GB2312" w:hAnsi="方正楷体_GB2312" w:eastAsia="方正楷体_GB2312" w:cs="方正楷体_GB2312"/>
          <w:b w:val="0"/>
          <w:bCs/>
          <w:color w:val="000000"/>
          <w:sz w:val="44"/>
          <w:szCs w:val="44"/>
          <w:lang w:eastAsia="zh-CN"/>
        </w:rPr>
        <w:t>标</w:t>
      </w:r>
    </w:p>
    <w:p>
      <w:pPr>
        <w:jc w:val="center"/>
        <w:rPr>
          <w:rFonts w:hint="eastAsia"/>
          <w:color w:val="auto"/>
          <w:sz w:val="44"/>
          <w:szCs w:val="44"/>
          <w:highlight w:val="none"/>
        </w:rPr>
      </w:pPr>
      <w:r>
        <w:rPr>
          <w:rFonts w:hint="eastAsia" w:ascii="方正楷体_GB2312" w:hAnsi="方正楷体_GB2312" w:eastAsia="方正楷体_GB2312" w:cs="方正楷体_GB2312"/>
          <w:b w:val="0"/>
          <w:bCs/>
          <w:color w:val="000000"/>
          <w:sz w:val="44"/>
          <w:szCs w:val="44"/>
          <w:lang w:eastAsia="zh-CN"/>
        </w:rPr>
        <w:t>准</w:t>
      </w:r>
    </w:p>
    <w:p>
      <w:pPr>
        <w:jc w:val="center"/>
        <w:rPr>
          <w:rFonts w:hint="eastAsia"/>
          <w:color w:val="auto"/>
          <w:sz w:val="44"/>
          <w:szCs w:val="44"/>
          <w:highlight w:val="none"/>
        </w:rPr>
      </w:pPr>
    </w:p>
    <w:p>
      <w:pPr>
        <w:jc w:val="center"/>
        <w:rPr>
          <w:rFonts w:hint="eastAsia"/>
          <w:color w:val="auto"/>
          <w:sz w:val="44"/>
          <w:szCs w:val="44"/>
          <w:highlight w:val="none"/>
        </w:rPr>
      </w:pPr>
    </w:p>
    <w:p>
      <w:pPr>
        <w:jc w:val="center"/>
        <w:rPr>
          <w:rFonts w:hint="eastAsia" w:ascii="方正仿宋_GB2312" w:hAnsi="方正仿宋_GB2312" w:eastAsia="方正仿宋_GB2312" w:cs="方正仿宋_GB2312"/>
          <w:color w:val="auto"/>
          <w:sz w:val="32"/>
          <w:szCs w:val="32"/>
          <w:highlight w:val="none"/>
        </w:rPr>
      </w:pPr>
    </w:p>
    <w:p>
      <w:pPr>
        <w:jc w:val="left"/>
        <w:rPr>
          <w:rFonts w:hint="eastAsia" w:ascii="方正仿宋_GB2312" w:hAnsi="方正仿宋_GB2312" w:eastAsia="方正仿宋_GB2312" w:cs="方正仿宋_GB2312"/>
          <w:color w:val="auto"/>
          <w:sz w:val="32"/>
          <w:szCs w:val="32"/>
          <w:highlight w:val="none"/>
          <w:lang w:val="en-US" w:eastAsia="zh-CN"/>
        </w:rPr>
      </w:pPr>
      <w:r>
        <w:rPr>
          <w:rFonts w:hint="eastAsia" w:ascii="方正仿宋_GB2312" w:hAnsi="方正仿宋_GB2312" w:eastAsia="方正仿宋_GB2312" w:cs="方正仿宋_GB2312"/>
          <w:color w:val="auto"/>
          <w:sz w:val="32"/>
          <w:szCs w:val="32"/>
          <w:highlight w:val="none"/>
        </w:rPr>
        <w:t>甲方：</w:t>
      </w:r>
      <w:r>
        <w:rPr>
          <w:rFonts w:hint="eastAsia" w:ascii="方正仿宋_GB2312" w:hAnsi="方正仿宋_GB2312" w:eastAsia="方正仿宋_GB2312" w:cs="方正仿宋_GB2312"/>
          <w:color w:val="000000"/>
          <w:sz w:val="32"/>
          <w:szCs w:val="32"/>
        </w:rPr>
        <w:t>酒钢集团</w:t>
      </w:r>
      <w:r>
        <w:rPr>
          <w:rFonts w:hint="eastAsia" w:ascii="方正仿宋_GB2312" w:hAnsi="方正仿宋_GB2312" w:eastAsia="方正仿宋_GB2312" w:cs="方正仿宋_GB2312"/>
          <w:color w:val="000000"/>
          <w:sz w:val="32"/>
          <w:szCs w:val="32"/>
          <w:lang w:eastAsia="zh-CN"/>
        </w:rPr>
        <w:t>甘肃宏兴宏宇新材料有限责任公司</w:t>
      </w:r>
    </w:p>
    <w:p>
      <w:pPr>
        <w:jc w:val="left"/>
        <w:rPr>
          <w:rFonts w:hint="eastAsia"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sz w:val="32"/>
          <w:szCs w:val="32"/>
          <w:highlight w:val="none"/>
        </w:rPr>
        <w:t>乙方：</w:t>
      </w:r>
    </w:p>
    <w:p>
      <w:pPr>
        <w:jc w:val="left"/>
        <w:rPr>
          <w:rFonts w:hint="eastAsia"/>
          <w:color w:val="auto"/>
          <w:sz w:val="28"/>
          <w:szCs w:val="28"/>
          <w:highlight w:val="none"/>
        </w:rPr>
      </w:pPr>
    </w:p>
    <w:p>
      <w:pPr>
        <w:tabs>
          <w:tab w:val="left" w:pos="540"/>
        </w:tabs>
        <w:spacing w:line="360" w:lineRule="auto"/>
        <w:jc w:val="center"/>
        <w:rPr>
          <w:rFonts w:ascii="宋体" w:hAnsi="宋体"/>
          <w:b/>
          <w:color w:val="000000"/>
          <w:sz w:val="28"/>
          <w:szCs w:val="28"/>
        </w:r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26</w:t>
      </w:r>
      <w:r>
        <w:rPr>
          <w:rFonts w:hint="eastAsia" w:ascii="仿宋_GB2312" w:hAnsi="仿宋_GB2312" w:eastAsia="仿宋_GB2312" w:cs="仿宋_GB2312"/>
          <w:color w:val="000000"/>
          <w:sz w:val="32"/>
          <w:szCs w:val="20"/>
        </w:rPr>
        <w:t>年   月    日</w:t>
      </w:r>
    </w:p>
    <w:p>
      <w:pPr>
        <w:jc w:val="center"/>
        <w:rPr>
          <w:rFonts w:hint="eastAsia"/>
          <w:color w:val="auto"/>
          <w:sz w:val="28"/>
          <w:szCs w:val="28"/>
          <w:highlight w:val="none"/>
        </w:rPr>
      </w:pPr>
    </w:p>
    <w:p>
      <w:pPr>
        <w:jc w:val="center"/>
        <w:rPr>
          <w:rFonts w:hint="eastAsia"/>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rPr>
        <w:t xml:space="preserve">  经协商，双方</w:t>
      </w:r>
      <w:r>
        <w:rPr>
          <w:rFonts w:hint="eastAsia" w:ascii="仿宋_GB2312" w:hAnsi="仿宋_GB2312" w:eastAsia="仿宋_GB2312" w:cs="仿宋_GB2312"/>
          <w:sz w:val="32"/>
          <w:szCs w:val="32"/>
          <w:lang w:eastAsia="zh-CN"/>
        </w:rPr>
        <w:t>就</w:t>
      </w:r>
      <w:r>
        <w:rPr>
          <w:rFonts w:hint="eastAsia" w:ascii="仿宋_GB2312" w:hAnsi="仿宋_GB2312" w:eastAsia="仿宋_GB2312" w:cs="仿宋_GB2312"/>
          <w:color w:val="000000"/>
          <w:sz w:val="32"/>
          <w:szCs w:val="32"/>
          <w:lang w:eastAsia="zh-CN"/>
        </w:rPr>
        <w:t>70389058在线氢气分析仪</w:t>
      </w:r>
      <w:r>
        <w:rPr>
          <w:rFonts w:hint="eastAsia" w:ascii="仿宋_GB2312" w:hAnsi="仿宋_GB2312" w:eastAsia="仿宋_GB2312" w:cs="仿宋_GB2312"/>
          <w:color w:val="000000"/>
          <w:sz w:val="32"/>
          <w:szCs w:val="32"/>
          <w:lang w:val="en-US" w:eastAsia="zh-CN"/>
        </w:rPr>
        <w:t>采购</w:t>
      </w:r>
      <w:r>
        <w:rPr>
          <w:rFonts w:hint="eastAsia" w:ascii="仿宋_GB2312" w:hAnsi="仿宋_GB2312" w:eastAsia="仿宋_GB2312" w:cs="仿宋_GB2312"/>
          <w:color w:val="000000"/>
          <w:sz w:val="32"/>
          <w:szCs w:val="32"/>
          <w:lang w:eastAsia="zh-CN"/>
        </w:rPr>
        <w:t>技术规格要求达成如下协议：</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一、技术规格及技术要求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000000"/>
          <w:sz w:val="32"/>
          <w:szCs w:val="32"/>
          <w:lang w:eastAsia="zh-CN"/>
        </w:rPr>
        <w:t>在线氢气分析仪</w:t>
      </w:r>
      <w:r>
        <w:rPr>
          <w:rFonts w:hint="eastAsia" w:ascii="仿宋_GB2312" w:hAnsi="仿宋_GB2312" w:eastAsia="仿宋_GB2312" w:cs="仿宋_GB2312"/>
          <w:sz w:val="32"/>
          <w:szCs w:val="32"/>
          <w:lang w:eastAsia="zh-CN"/>
        </w:rPr>
        <w:t>规格型号：</w:t>
      </w:r>
    </w:p>
    <w:tbl>
      <w:tblPr>
        <w:tblStyle w:val="6"/>
        <w:tblpPr w:leftFromText="180" w:rightFromText="180" w:vertAnchor="text" w:horzAnchor="page" w:tblpXSpec="center" w:tblpY="129"/>
        <w:tblOverlap w:val="never"/>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1"/>
        <w:gridCol w:w="3097"/>
        <w:gridCol w:w="1466"/>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2191" w:type="dxa"/>
            <w:noWrap w:val="0"/>
            <w:vAlign w:val="top"/>
          </w:tcPr>
          <w:p>
            <w:pPr>
              <w:ind w:firstLine="560" w:firstLineChars="2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名称</w:t>
            </w:r>
          </w:p>
        </w:tc>
        <w:tc>
          <w:tcPr>
            <w:tcW w:w="3097" w:type="dxa"/>
            <w:noWrap w:val="0"/>
            <w:vAlign w:val="top"/>
          </w:tcPr>
          <w:p>
            <w:pPr>
              <w:ind w:firstLine="280" w:firstLineChars="100"/>
              <w:jc w:val="left"/>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sz w:val="28"/>
                <w:szCs w:val="28"/>
                <w:highlight w:val="none"/>
                <w:lang w:val="en-US" w:eastAsia="zh-CN"/>
              </w:rPr>
              <w:t>物料描述</w:t>
            </w:r>
          </w:p>
        </w:tc>
        <w:tc>
          <w:tcPr>
            <w:tcW w:w="1466" w:type="dxa"/>
            <w:noWrap w:val="0"/>
            <w:vAlign w:val="top"/>
          </w:tcPr>
          <w:p>
            <w:pPr>
              <w:jc w:val="left"/>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sz w:val="28"/>
                <w:szCs w:val="28"/>
                <w:highlight w:val="none"/>
                <w:lang w:val="en-US" w:eastAsia="zh-CN"/>
              </w:rPr>
              <w:t>物料编码</w:t>
            </w:r>
          </w:p>
        </w:tc>
        <w:tc>
          <w:tcPr>
            <w:tcW w:w="1553" w:type="dxa"/>
            <w:noWrap w:val="0"/>
            <w:vAlign w:val="top"/>
          </w:tcPr>
          <w:p>
            <w:pPr>
              <w:ind w:firstLine="280" w:firstLineChars="100"/>
              <w:jc w:val="left"/>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z w:val="28"/>
                <w:szCs w:val="28"/>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219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在线氢气分析仪</w:t>
            </w:r>
          </w:p>
        </w:tc>
        <w:tc>
          <w:tcPr>
            <w:tcW w:w="309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在线氢气分析仪\（ABB）EL3020-Caldos27 0-10vol% H2</w:t>
            </w:r>
          </w:p>
        </w:tc>
        <w:tc>
          <w:tcPr>
            <w:tcW w:w="146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70389058</w:t>
            </w:r>
          </w:p>
        </w:tc>
        <w:tc>
          <w:tcPr>
            <w:tcW w:w="1553"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2312" w:hAnsi="方正仿宋_GB2312" w:eastAsia="方正仿宋_GB2312" w:cs="方正仿宋_GB2312"/>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1</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83" w:line="240" w:lineRule="auto"/>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color w:val="auto"/>
          <w:kern w:val="2"/>
          <w:sz w:val="32"/>
          <w:szCs w:val="32"/>
          <w:highlight w:val="none"/>
          <w:lang w:val="en-US" w:eastAsia="zh-CN" w:bidi="ar-SA"/>
        </w:rPr>
        <w:t>2.运行的环境条件</w:t>
      </w:r>
    </w:p>
    <w:tbl>
      <w:tblPr>
        <w:tblStyle w:val="10"/>
        <w:tblW w:w="85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96"/>
        <w:gridCol w:w="37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环境空气温度</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- 10°C 至 + 40°C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相对空气湿度</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在 20°C 时最大 90%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83" w:line="240" w:lineRule="auto"/>
        <w:textAlignment w:val="auto"/>
        <w:rPr>
          <w:rFonts w:hint="eastAsia" w:ascii="方正仿宋_GB2312" w:hAnsi="方正仿宋_GB2312" w:eastAsia="方正仿宋_GB2312" w:cs="方正仿宋_GB2312"/>
          <w:color w:val="auto"/>
          <w:kern w:val="2"/>
          <w:sz w:val="32"/>
          <w:szCs w:val="32"/>
          <w:highlight w:val="none"/>
          <w:lang w:val="en-US" w:eastAsia="zh-CN" w:bidi="ar-SA"/>
        </w:rPr>
      </w:pPr>
      <w:r>
        <w:rPr>
          <w:rFonts w:hint="eastAsia" w:ascii="方正仿宋_GB2312" w:hAnsi="方正仿宋_GB2312" w:eastAsia="方正仿宋_GB2312" w:cs="方正仿宋_GB2312"/>
          <w:color w:val="auto"/>
          <w:kern w:val="2"/>
          <w:sz w:val="32"/>
          <w:szCs w:val="32"/>
          <w:highlight w:val="none"/>
          <w:lang w:val="en-US" w:eastAsia="zh-CN" w:bidi="ar-SA"/>
        </w:rPr>
        <w:t>3.运输和存放的环境条件</w:t>
      </w:r>
    </w:p>
    <w:tbl>
      <w:tblPr>
        <w:tblStyle w:val="10"/>
        <w:tblW w:w="85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96"/>
        <w:gridCol w:w="37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在封闭空间内存放时的环境空气温度</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- 10°C 至 + 40°C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运输时的环境空气温度</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- 25°C 至 + 55°C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bookmarkStart w:id="0" w:name="bookmark81"/>
            <w:bookmarkEnd w:id="0"/>
            <w:r>
              <w:rPr>
                <w:rFonts w:hint="eastAsia" w:ascii="方正仿宋_GB2312" w:hAnsi="方正仿宋_GB2312" w:eastAsia="方正仿宋_GB2312" w:cs="方正仿宋_GB2312"/>
                <w:color w:val="auto"/>
                <w:sz w:val="28"/>
                <w:szCs w:val="28"/>
                <w:highlight w:val="none"/>
                <w:lang w:val="en-US" w:eastAsia="zh-CN"/>
              </w:rPr>
              <w:t>相对空气湿度</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在 20°C 时最大 90%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color w:val="auto"/>
          <w:kern w:val="2"/>
          <w:sz w:val="32"/>
          <w:szCs w:val="32"/>
          <w:highlight w:val="none"/>
          <w:lang w:val="en-US" w:eastAsia="zh-CN" w:bidi="ar-SA"/>
        </w:rPr>
      </w:pPr>
      <w:r>
        <w:rPr>
          <w:rFonts w:hint="eastAsia" w:ascii="方正仿宋_GB2312" w:hAnsi="方正仿宋_GB2312" w:eastAsia="方正仿宋_GB2312" w:cs="方正仿宋_GB2312"/>
          <w:color w:val="auto"/>
          <w:kern w:val="2"/>
          <w:sz w:val="32"/>
          <w:szCs w:val="32"/>
          <w:highlight w:val="none"/>
          <w:lang w:val="en-US" w:eastAsia="zh-CN" w:bidi="ar-SA"/>
        </w:rPr>
        <w:t>4.</w:t>
      </w:r>
      <w:r>
        <w:rPr>
          <w:rFonts w:hint="eastAsia" w:ascii="仿宋_GB2312" w:hAnsi="仿宋_GB2312" w:eastAsia="仿宋_GB2312" w:cs="仿宋_GB2312"/>
          <w:color w:val="000000"/>
          <w:sz w:val="32"/>
          <w:szCs w:val="32"/>
          <w:lang w:eastAsia="zh-CN"/>
        </w:rPr>
        <w:t>在线氢气分析仪</w:t>
      </w:r>
      <w:r>
        <w:rPr>
          <w:rFonts w:hint="eastAsia" w:ascii="方正仿宋_GB2312" w:hAnsi="方正仿宋_GB2312" w:eastAsia="方正仿宋_GB2312" w:cs="方正仿宋_GB2312"/>
          <w:color w:val="auto"/>
          <w:kern w:val="2"/>
          <w:sz w:val="32"/>
          <w:szCs w:val="32"/>
          <w:highlight w:val="none"/>
          <w:lang w:val="en-US" w:eastAsia="zh-CN" w:bidi="ar-SA"/>
        </w:rPr>
        <w:t>型号和序列号</w:t>
      </w:r>
    </w:p>
    <w:tbl>
      <w:tblPr>
        <w:tblStyle w:val="10"/>
        <w:tblW w:w="85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96"/>
        <w:gridCol w:w="37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名称</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在线氢气分析仪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型号</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EL3020-Caldos27 0-10vol% H2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测量形式</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单组份</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color w:val="auto"/>
          <w:kern w:val="2"/>
          <w:sz w:val="32"/>
          <w:szCs w:val="32"/>
          <w:highlight w:val="none"/>
          <w:lang w:val="en-US" w:eastAsia="zh-CN" w:bidi="ar-SA"/>
        </w:rPr>
      </w:pPr>
      <w:bookmarkStart w:id="1" w:name="bookmark82"/>
      <w:bookmarkEnd w:id="1"/>
      <w:r>
        <w:rPr>
          <w:rFonts w:hint="eastAsia" w:ascii="方正仿宋_GB2312" w:hAnsi="方正仿宋_GB2312" w:eastAsia="方正仿宋_GB2312" w:cs="方正仿宋_GB2312"/>
          <w:color w:val="auto"/>
          <w:kern w:val="2"/>
          <w:sz w:val="32"/>
          <w:szCs w:val="32"/>
          <w:highlight w:val="none"/>
          <w:lang w:val="en-US" w:eastAsia="zh-CN" w:bidi="ar-SA"/>
        </w:rPr>
        <w:t>5.</w:t>
      </w:r>
      <w:r>
        <w:rPr>
          <w:rFonts w:hint="eastAsia" w:ascii="仿宋_GB2312" w:hAnsi="仿宋_GB2312" w:eastAsia="仿宋_GB2312" w:cs="仿宋_GB2312"/>
          <w:color w:val="000000"/>
          <w:sz w:val="32"/>
          <w:szCs w:val="32"/>
          <w:lang w:eastAsia="zh-CN"/>
        </w:rPr>
        <w:t>在线氢气分析仪</w:t>
      </w:r>
      <w:r>
        <w:rPr>
          <w:rFonts w:hint="eastAsia" w:ascii="方正仿宋_GB2312" w:hAnsi="方正仿宋_GB2312" w:eastAsia="方正仿宋_GB2312" w:cs="方正仿宋_GB2312"/>
          <w:color w:val="auto"/>
          <w:kern w:val="2"/>
          <w:sz w:val="32"/>
          <w:szCs w:val="32"/>
          <w:highlight w:val="none"/>
          <w:lang w:val="en-US" w:eastAsia="zh-CN" w:bidi="ar-SA"/>
        </w:rPr>
        <w:t>参数</w:t>
      </w:r>
    </w:p>
    <w:tbl>
      <w:tblPr>
        <w:tblStyle w:val="10"/>
        <w:tblW w:w="85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96"/>
        <w:gridCol w:w="37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输入电压</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100~230V·AC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输出电压</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sq-AL" w:eastAsia="zh-CN" w:bidi="ar-SA"/>
              </w:rPr>
              <w:t>4~20mA+HART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方正仿宋_GB2312" w:hAnsi="方正仿宋_GB2312" w:eastAsia="方正仿宋_GB2312" w:cs="方正仿宋_GB2312"/>
                <w:color w:val="auto"/>
                <w:kern w:val="2"/>
                <w:sz w:val="28"/>
                <w:szCs w:val="28"/>
                <w:highlight w:val="none"/>
                <w:lang w:val="en-US" w:eastAsia="zh-CN" w:bidi="ar-SA"/>
              </w:rPr>
            </w:pPr>
            <w:bookmarkStart w:id="2" w:name="bookmark83"/>
            <w:bookmarkEnd w:id="2"/>
            <w:r>
              <w:rPr>
                <w:rFonts w:hint="eastAsia" w:ascii="方正仿宋_GB2312" w:hAnsi="方正仿宋_GB2312" w:eastAsia="方正仿宋_GB2312" w:cs="方正仿宋_GB2312"/>
                <w:color w:val="auto"/>
                <w:kern w:val="2"/>
                <w:sz w:val="28"/>
                <w:szCs w:val="28"/>
                <w:highlight w:val="none"/>
                <w:lang w:val="en-US" w:eastAsia="zh-CN" w:bidi="ar-SA"/>
              </w:rPr>
              <w:t>量程</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 xml:space="preserve"> 0～10% H2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sq-AL" w:eastAsia="zh-CN" w:bidi="ar-SA"/>
              </w:rPr>
              <w:t>电气连接</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sq-AL" w:eastAsia="zh-CN" w:bidi="ar-SA"/>
              </w:rPr>
              <w:t>电缆密封套M20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sq-AL" w:eastAsia="zh-CN" w:bidi="ar-SA"/>
              </w:rPr>
              <w:t>过程连接</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sq-AL" w:eastAsia="zh-CN" w:bidi="ar-SA"/>
              </w:rPr>
              <w:t>碳钢、法兰 EN1092-1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sq-AL" w:eastAsia="zh-CN" w:bidi="ar-SA"/>
              </w:rPr>
            </w:pPr>
            <w:r>
              <w:rPr>
                <w:rFonts w:hint="eastAsia" w:ascii="方正仿宋_GB2312" w:hAnsi="方正仿宋_GB2312" w:eastAsia="方正仿宋_GB2312" w:cs="方正仿宋_GB2312"/>
                <w:color w:val="auto"/>
                <w:kern w:val="2"/>
                <w:sz w:val="28"/>
                <w:szCs w:val="28"/>
                <w:highlight w:val="none"/>
                <w:lang w:val="sq-AL" w:eastAsia="zh-CN" w:bidi="ar-SA"/>
              </w:rPr>
              <w:t>样气进口条件</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sq-AL"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温度：-5~50℃，压力：2~100KPa，流速：10~90L/H</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 w:hRule="atLeast"/>
          <w:jc w:val="center"/>
        </w:trPr>
        <w:tc>
          <w:tcPr>
            <w:tcW w:w="47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仿宋_GB2312" w:hAnsi="方正仿宋_GB2312" w:eastAsia="方正仿宋_GB2312" w:cs="方正仿宋_GB2312"/>
                <w:color w:val="auto"/>
                <w:kern w:val="2"/>
                <w:sz w:val="28"/>
                <w:szCs w:val="28"/>
                <w:highlight w:val="none"/>
                <w:lang w:val="sq-AL" w:eastAsia="zh-CN" w:bidi="ar-SA"/>
              </w:rPr>
            </w:pPr>
            <w:r>
              <w:rPr>
                <w:rFonts w:hint="eastAsia" w:ascii="方正仿宋_GB2312" w:hAnsi="方正仿宋_GB2312" w:eastAsia="方正仿宋_GB2312" w:cs="方正仿宋_GB2312"/>
                <w:color w:val="auto"/>
                <w:kern w:val="2"/>
                <w:sz w:val="28"/>
                <w:szCs w:val="28"/>
                <w:highlight w:val="none"/>
                <w:lang w:val="sq-AL" w:eastAsia="zh-CN" w:bidi="ar-SA"/>
              </w:rPr>
              <w:t>生产厂家</w:t>
            </w:r>
          </w:p>
        </w:tc>
        <w:tc>
          <w:tcPr>
            <w:tcW w:w="37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方正仿宋_GB2312" w:hAnsi="方正仿宋_GB2312" w:eastAsia="方正仿宋_GB2312" w:cs="方正仿宋_GB2312"/>
                <w:color w:val="auto"/>
                <w:kern w:val="2"/>
                <w:sz w:val="28"/>
                <w:szCs w:val="28"/>
                <w:highlight w:val="none"/>
                <w:lang w:val="en-US" w:eastAsia="zh-CN" w:bidi="ar-SA"/>
              </w:rPr>
            </w:pPr>
            <w:r>
              <w:rPr>
                <w:rFonts w:hint="eastAsia" w:ascii="方正仿宋_GB2312" w:hAnsi="方正仿宋_GB2312" w:eastAsia="方正仿宋_GB2312" w:cs="方正仿宋_GB2312"/>
                <w:color w:val="auto"/>
                <w:kern w:val="2"/>
                <w:sz w:val="28"/>
                <w:szCs w:val="28"/>
                <w:highlight w:val="none"/>
                <w:lang w:val="en-US" w:eastAsia="zh-CN" w:bidi="ar-SA"/>
              </w:rPr>
              <w:t>ABB</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Calibri" w:hAnsi="Calibri" w:eastAsia="宋体" w:cs="Times New Roman"/>
          <w:kern w:val="2"/>
          <w:sz w:val="21"/>
          <w:szCs w:val="22"/>
          <w:lang w:val="en-US" w:eastAsia="zh-CN" w:bidi="ar-SA"/>
        </w:rPr>
      </w:pPr>
      <w:r>
        <w:rPr>
          <w:rFonts w:hint="eastAsia" w:ascii="方正仿宋_GB2312" w:hAnsi="方正仿宋_GB2312" w:eastAsia="方正仿宋_GB2312" w:cs="方正仿宋_GB2312"/>
          <w:color w:val="auto"/>
          <w:kern w:val="2"/>
          <w:sz w:val="32"/>
          <w:szCs w:val="32"/>
          <w:highlight w:val="none"/>
          <w:lang w:val="en-US" w:eastAsia="zh-CN" w:bidi="ar-SA"/>
        </w:rPr>
        <w:t>6.外观照片</w:t>
      </w:r>
    </w:p>
    <w:p>
      <w:pPr>
        <w:bidi w:val="0"/>
        <w:jc w:val="left"/>
        <w:rPr>
          <w:rFonts w:hint="eastAsia"/>
          <w:lang w:val="en-US" w:eastAsia="zh-CN"/>
        </w:rPr>
      </w:pPr>
      <w:r>
        <w:rPr>
          <w:rFonts w:hint="eastAsia"/>
          <w:lang w:val="en-US" w:eastAsia="zh-CN"/>
        </w:rPr>
        <w:drawing>
          <wp:inline distT="0" distB="0" distL="114300" distR="114300">
            <wp:extent cx="5752465" cy="4312285"/>
            <wp:effectExtent l="0" t="0" r="635" b="12065"/>
            <wp:docPr id="2" name="图片 2" descr="mmexport175439781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mexport1754397814376"/>
                    <pic:cNvPicPr>
                      <a:picLocks noChangeAspect="1"/>
                    </pic:cNvPicPr>
                  </pic:nvPicPr>
                  <pic:blipFill>
                    <a:blip r:embed="rId7"/>
                    <a:stretch>
                      <a:fillRect/>
                    </a:stretch>
                  </pic:blipFill>
                  <pic:spPr>
                    <a:xfrm>
                      <a:off x="0" y="0"/>
                      <a:ext cx="5752465" cy="431228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方正仿宋_GB2312" w:hAnsi="方正仿宋_GB2312" w:eastAsia="方正仿宋_GB2312" w:cs="方正仿宋_GB2312"/>
          <w:color w:val="auto"/>
          <w:kern w:val="2"/>
          <w:sz w:val="32"/>
          <w:szCs w:val="32"/>
          <w:highlight w:val="none"/>
          <w:lang w:val="en-US" w:eastAsia="zh-CN" w:bidi="ar-SA"/>
        </w:rPr>
      </w:pPr>
      <w:r>
        <w:rPr>
          <w:rFonts w:hint="eastAsia" w:ascii="方正仿宋_GB2312" w:hAnsi="方正仿宋_GB2312" w:eastAsia="方正仿宋_GB2312" w:cs="方正仿宋_GB2312"/>
          <w:color w:val="auto"/>
          <w:kern w:val="2"/>
          <w:sz w:val="32"/>
          <w:szCs w:val="32"/>
          <w:highlight w:val="none"/>
          <w:lang w:val="en-US" w:eastAsia="zh-CN" w:bidi="ar-SA"/>
        </w:rPr>
        <w:t>7.设备性能保证值</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en-US"/>
        </w:rPr>
        <w:t>.1 乙方生产的</w:t>
      </w:r>
      <w:r>
        <w:rPr>
          <w:rFonts w:hint="eastAsia" w:ascii="仿宋_GB2312" w:hAnsi="仿宋_GB2312" w:eastAsia="仿宋_GB2312" w:cs="仿宋_GB2312"/>
          <w:sz w:val="32"/>
          <w:szCs w:val="32"/>
          <w:lang w:val="en-US" w:eastAsia="zh-CN"/>
        </w:rPr>
        <w:t>在线氢气分析仪</w:t>
      </w:r>
      <w:r>
        <w:rPr>
          <w:rFonts w:hint="eastAsia" w:ascii="仿宋_GB2312" w:hAnsi="仿宋_GB2312" w:eastAsia="仿宋_GB2312" w:cs="仿宋_GB2312"/>
          <w:sz w:val="32"/>
          <w:szCs w:val="32"/>
          <w:lang w:val="en-US" w:eastAsia="en-US"/>
        </w:rPr>
        <w:t>必须满足技术参数及技术要求，</w:t>
      </w:r>
      <w:r>
        <w:rPr>
          <w:rFonts w:hint="eastAsia" w:ascii="仿宋_GB2312" w:hAnsi="仿宋_GB2312" w:eastAsia="仿宋_GB2312" w:cs="仿宋_GB2312"/>
          <w:sz w:val="32"/>
          <w:szCs w:val="32"/>
          <w:lang w:val="en-US" w:eastAsia="zh-CN"/>
        </w:rPr>
        <w:t>能够与现场使用的在线氢气分析仪互换。</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sz w:val="32"/>
          <w:szCs w:val="32"/>
          <w:lang w:val="en-US" w:eastAsia="zh-CN"/>
        </w:rPr>
        <w:t>7.2 质保期1年</w:t>
      </w:r>
      <w:r>
        <w:rPr>
          <w:rFonts w:hint="eastAsia" w:ascii="仿宋_GB2312" w:hAnsi="仿宋_GB2312" w:eastAsia="仿宋_GB2312" w:cs="仿宋_GB2312"/>
          <w:sz w:val="32"/>
          <w:szCs w:val="32"/>
          <w:lang w:val="en-US" w:eastAsia="en-US"/>
        </w:rPr>
        <w:t>，在</w:t>
      </w:r>
      <w:r>
        <w:rPr>
          <w:rFonts w:hint="eastAsia" w:ascii="仿宋_GB2312" w:hAnsi="仿宋_GB2312" w:eastAsia="仿宋_GB2312" w:cs="仿宋_GB2312"/>
          <w:sz w:val="32"/>
          <w:szCs w:val="32"/>
          <w:lang w:val="en-US" w:eastAsia="zh-CN"/>
        </w:rPr>
        <w:t>1年</w:t>
      </w:r>
      <w:r>
        <w:rPr>
          <w:rFonts w:hint="eastAsia" w:ascii="仿宋_GB2312" w:hAnsi="仿宋_GB2312" w:eastAsia="仿宋_GB2312" w:cs="仿宋_GB2312"/>
          <w:sz w:val="32"/>
          <w:szCs w:val="32"/>
          <w:lang w:val="en-US" w:eastAsia="en-US"/>
        </w:rPr>
        <w:t>内</w:t>
      </w:r>
      <w:r>
        <w:rPr>
          <w:rFonts w:hint="eastAsia" w:ascii="仿宋_GB2312" w:hAnsi="仿宋_GB2312" w:eastAsia="仿宋_GB2312" w:cs="仿宋_GB2312"/>
          <w:sz w:val="32"/>
          <w:szCs w:val="32"/>
          <w:lang w:val="en-US" w:eastAsia="zh-CN"/>
        </w:rPr>
        <w:t>在线氢气分析仪正常使用中不得出现故障，不得影响其他配套设备正常使用</w:t>
      </w:r>
      <w:r>
        <w:rPr>
          <w:rFonts w:hint="eastAsia" w:ascii="仿宋_GB2312" w:hAnsi="仿宋_GB2312" w:eastAsia="仿宋_GB2312" w:cs="仿宋_GB2312"/>
          <w:sz w:val="32"/>
          <w:szCs w:val="32"/>
          <w:lang w:val="en-US" w:eastAsia="en-US"/>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lang w:val="en-US" w:eastAsia="zh-CN"/>
        </w:rPr>
        <w:t>二</w:t>
      </w:r>
      <w:r>
        <w:rPr>
          <w:rFonts w:hint="eastAsia" w:ascii="仿宋_GB2312" w:hAnsi="仿宋_GB2312" w:eastAsia="仿宋_GB2312" w:cs="仿宋_GB2312"/>
          <w:b/>
          <w:bCs w:val="0"/>
          <w:sz w:val="32"/>
          <w:szCs w:val="32"/>
        </w:rPr>
        <w:t>、乙方责任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sq-AL"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sq-AL" w:eastAsia="zh-CN"/>
        </w:rPr>
        <w:t>乙方根据</w:t>
      </w:r>
      <w:r>
        <w:rPr>
          <w:rFonts w:hint="eastAsia" w:ascii="仿宋_GB2312" w:hAnsi="仿宋_GB2312" w:eastAsia="仿宋_GB2312" w:cs="仿宋_GB2312"/>
          <w:sz w:val="32"/>
          <w:szCs w:val="32"/>
          <w:lang w:val="en-US" w:eastAsia="zh-CN"/>
        </w:rPr>
        <w:t>技术规格书中的技术参数</w:t>
      </w:r>
      <w:r>
        <w:rPr>
          <w:rFonts w:hint="eastAsia" w:ascii="仿宋_GB2312" w:hAnsi="仿宋_GB2312" w:eastAsia="仿宋_GB2312" w:cs="仿宋_GB2312"/>
          <w:sz w:val="32"/>
          <w:szCs w:val="32"/>
          <w:lang w:val="sq-AL" w:eastAsia="zh-CN"/>
        </w:rPr>
        <w:t>进行</w:t>
      </w:r>
      <w:r>
        <w:rPr>
          <w:rFonts w:hint="eastAsia"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lang w:val="sq-AL" w:eastAsia="zh-CN"/>
        </w:rPr>
        <w:t>，保证</w:t>
      </w:r>
      <w:r>
        <w:rPr>
          <w:rFonts w:hint="eastAsia" w:ascii="仿宋_GB2312" w:hAnsi="仿宋_GB2312" w:eastAsia="仿宋_GB2312" w:cs="仿宋_GB2312"/>
          <w:sz w:val="32"/>
          <w:szCs w:val="32"/>
          <w:lang w:val="en-US" w:eastAsia="zh-CN"/>
        </w:rPr>
        <w:t>在线氢气分析仪</w:t>
      </w:r>
      <w:r>
        <w:rPr>
          <w:rFonts w:hint="eastAsia" w:ascii="仿宋_GB2312" w:hAnsi="仿宋_GB2312" w:eastAsia="仿宋_GB2312" w:cs="仿宋_GB2312"/>
          <w:sz w:val="32"/>
          <w:szCs w:val="32"/>
          <w:lang w:val="sq-AL" w:eastAsia="zh-CN"/>
        </w:rPr>
        <w:t>的完整性、可靠性。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sq-AL" w:eastAsia="zh-CN"/>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sq-AL" w:eastAsia="zh-CN"/>
        </w:rPr>
        <w:t>乙方依照甲方规定的交货</w:t>
      </w:r>
      <w:r>
        <w:rPr>
          <w:rFonts w:hint="eastAsia" w:ascii="仿宋_GB2312" w:hAnsi="仿宋_GB2312" w:eastAsia="仿宋_GB2312" w:cs="仿宋_GB2312"/>
          <w:sz w:val="32"/>
          <w:szCs w:val="32"/>
          <w:lang w:val="en-US" w:eastAsia="zh-CN"/>
        </w:rPr>
        <w:t>周期按期交货至甲方现场，并对控制板进行合理防护包装运输。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3.乙方应按照甲方要求提供原厂ABB生产的在线氢气分析仪，并提供出厂合格证。</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三、采购产品质量要求、乙方对质量负责的条件和期限。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1.乙方制造的在线氢气分析仪必须满足技术参数及技术要求。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2.甲方将对乙方提供的在线氢气分析仪进行入厂检验，安装条件必须满足现场使用要求。如果乙方所供在线氢气分析仪满足不了甲方现场安装条件时，甲方可不进行上机使用。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3.如果甲方提出由乙方提供的备件在规定的使用周期内出现故障或异常不满足生产需求，导致酸镀产品质量问题，由双方进行现场分析确认，如存在意见分歧，经共同确认后认 定由于乙方生产备件造成质量问题，甲方有权要求重新免费修复或更换，乙方应当在最短的时间内按照甲方要求赔偿或重新修复运抵酸镀线现场。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5.乙方必须提供质量可靠的产品，如在后续使用过程中发现存在质量问题或产品在使用过程中出现质量问题，甲方有权对产品进行退货，乙方赔付甲方造成的所有损失。</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四、保证、违约责任和考核</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1.乙方承诺采购的在线氢气分析仪满足现场的工作条件且质保期限要等于或大于使用协议中约定的在线氢气分析仪质保期限。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2.乙方在交付在线氢气分析仪时应同时提交出厂合格证，否则甲方拒绝进行验收。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3.乙方必须提供质量可靠的产品，如在后续使用过程中发现存在质量问题或产品在使用过程中出现质量问题，甲方有权对产品进行退货，乙方赔付甲方造成的所有损失。</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五、其他约定事项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1.本技术规格书内容经由甲乙双方于   年   月   日    时-   时通过    方式商定。</w:t>
      </w:r>
      <w:bookmarkStart w:id="3" w:name="_GoBack"/>
      <w:bookmarkEnd w:id="3"/>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2.甲乙双方应当就签订本技术规格书的相关事宜保密，不得将签订主体、时间、内容等信息透露给其他第三人。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3.若乙方公司不能中标，则本技术规格书自动失效，双方不承担任何责任。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4.本技术规格书一式四份，甲方三份，乙方一份。</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甲</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方：酒钢集团甘肃宏兴宏宇新材料有限责任公司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甲方代表：              </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乙方代表：</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宋体" w:hAnsi="宋体" w:eastAsia="宋体" w:cs="宋体"/>
          <w:bCs/>
          <w:sz w:val="28"/>
          <w:szCs w:val="28"/>
          <w:highlight w:val="none"/>
          <w:lang w:val="en-US" w:eastAsia="zh-CN"/>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720" w:lineRule="auto"/>
        <w:ind w:firstLine="480" w:firstLineChars="200"/>
        <w:textAlignment w:val="auto"/>
        <w:rPr>
          <w:rFonts w:hint="eastAsia" w:ascii="Times New Roman" w:hAnsi="Times New Roman"/>
          <w:sz w:val="24"/>
          <w:szCs w:val="24"/>
          <w:lang w:val="en-US" w:eastAsia="zh-CN"/>
        </w:rPr>
      </w:pPr>
    </w:p>
    <w:sectPr>
      <w:headerReference r:id="rId3" w:type="default"/>
      <w:footerReference r:id="rId4" w:type="default"/>
      <w:footerReference r:id="rId5" w:type="even"/>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2312">
    <w:panose1 w:val="02000000000000000000"/>
    <w:charset w:val="86"/>
    <w:family w:val="auto"/>
    <w:pitch w:val="default"/>
    <w:sig w:usb0="00000000" w:usb1="00000000" w:usb2="00000000" w:usb3="00000000" w:csb0="00000000" w:csb1="00000000"/>
  </w:font>
  <w:font w:name="方正楷体_GB2312">
    <w:altName w:val="宋体"/>
    <w:panose1 w:val="02000000000000000000"/>
    <w:charset w:val="86"/>
    <w:family w:val="auto"/>
    <w:pitch w:val="default"/>
    <w:sig w:usb0="00000000" w:usb1="00000000" w:usb2="00000012" w:usb3="00000000" w:csb0="00040001" w:csb1="00000000"/>
  </w:font>
  <w:font w:name="仿宋_GB2312">
    <w:panose1 w:val="0201060906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3</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3OWMxYjJjOWI2N2FlOWZiZDFhYTE3MzRiMzZlNGEifQ=="/>
  </w:docVars>
  <w:rsids>
    <w:rsidRoot w:val="45035325"/>
    <w:rsid w:val="01CF2476"/>
    <w:rsid w:val="03316AF7"/>
    <w:rsid w:val="09613879"/>
    <w:rsid w:val="09937054"/>
    <w:rsid w:val="0A80786B"/>
    <w:rsid w:val="0C516E35"/>
    <w:rsid w:val="0E3002A5"/>
    <w:rsid w:val="0F2B0AF6"/>
    <w:rsid w:val="115C09A7"/>
    <w:rsid w:val="15D203B4"/>
    <w:rsid w:val="1BB27AA1"/>
    <w:rsid w:val="1C022426"/>
    <w:rsid w:val="1CAF186D"/>
    <w:rsid w:val="23152DEF"/>
    <w:rsid w:val="23256DAA"/>
    <w:rsid w:val="27D53458"/>
    <w:rsid w:val="283622EB"/>
    <w:rsid w:val="2A5C6E6E"/>
    <w:rsid w:val="2B6A6B45"/>
    <w:rsid w:val="2CC54C12"/>
    <w:rsid w:val="2D62678A"/>
    <w:rsid w:val="2E291E44"/>
    <w:rsid w:val="320A5AE9"/>
    <w:rsid w:val="332E3A59"/>
    <w:rsid w:val="33A855B9"/>
    <w:rsid w:val="347831DE"/>
    <w:rsid w:val="37DA16A4"/>
    <w:rsid w:val="38F22122"/>
    <w:rsid w:val="3A03179B"/>
    <w:rsid w:val="3A0325A3"/>
    <w:rsid w:val="3D5B544A"/>
    <w:rsid w:val="41AA3211"/>
    <w:rsid w:val="42DC213A"/>
    <w:rsid w:val="43776D56"/>
    <w:rsid w:val="43FF0A5F"/>
    <w:rsid w:val="44816199"/>
    <w:rsid w:val="45035325"/>
    <w:rsid w:val="46994657"/>
    <w:rsid w:val="48B84C3E"/>
    <w:rsid w:val="4CC025E5"/>
    <w:rsid w:val="4DFE3C38"/>
    <w:rsid w:val="4ED13FFE"/>
    <w:rsid w:val="4FC576FD"/>
    <w:rsid w:val="50607C9B"/>
    <w:rsid w:val="525564B4"/>
    <w:rsid w:val="532B3FA1"/>
    <w:rsid w:val="545A0320"/>
    <w:rsid w:val="55DD6063"/>
    <w:rsid w:val="5606278F"/>
    <w:rsid w:val="5C700ABB"/>
    <w:rsid w:val="5EBD3D5F"/>
    <w:rsid w:val="5F571ABE"/>
    <w:rsid w:val="6124323A"/>
    <w:rsid w:val="64777168"/>
    <w:rsid w:val="65632797"/>
    <w:rsid w:val="65B32CD5"/>
    <w:rsid w:val="666B22F3"/>
    <w:rsid w:val="670D69D2"/>
    <w:rsid w:val="68D75A1D"/>
    <w:rsid w:val="69386B6B"/>
    <w:rsid w:val="69A37C31"/>
    <w:rsid w:val="6CE32BE3"/>
    <w:rsid w:val="6FEE01B6"/>
    <w:rsid w:val="72066C7E"/>
    <w:rsid w:val="726227D9"/>
    <w:rsid w:val="78270C62"/>
    <w:rsid w:val="7D93211D"/>
    <w:rsid w:val="7E10135E"/>
    <w:rsid w:val="7F9F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styleId="9">
    <w:name w:val="List Paragraph"/>
    <w:basedOn w:val="1"/>
    <w:qFormat/>
    <w:uiPriority w:val="34"/>
    <w:pPr>
      <w:ind w:firstLine="420" w:firstLineChars="200"/>
    </w:pPr>
  </w:style>
  <w:style w:type="table" w:customStyle="1" w:styleId="1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1311</Words>
  <Characters>1475</Characters>
  <Lines>0</Lines>
  <Paragraphs>0</Paragraphs>
  <TotalTime>1</TotalTime>
  <ScaleCrop>false</ScaleCrop>
  <LinksUpToDate>false</LinksUpToDate>
  <CharactersWithSpaces>1578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2022-12-23T08:57:00Z</dcterms:created>
  <dc:creator>小雷今天也要努力</dc:creator>
  <cp:lastModifiedBy>往事</cp:lastModifiedBy>
  <dcterms:modified xsi:type="dcterms:W3CDTF">2026-03-20T10:29:55Z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8DC793EC3BBE4DA18C36796ADF2DDFD4_13</vt:lpwstr>
  </property>
  <property fmtid="{D5CDD505-2E9C-101B-9397-08002B2CF9AE}" pid="4" name="KSOTemplateDocerSaveRecord">
    <vt:lpwstr>eyJoZGlkIjoiMmIxZWRlNDg0YzhkYTRjOGI5Y2ZkNDg3MzVlY2U1ZGYiLCJ1c2VySWQiOiIxNTUxMTAyNTU0In0=</vt:lpwstr>
  </property>
</Properties>
</file>