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970"/>
          <w:tab w:val="center" w:pos="4153"/>
        </w:tabs>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eastAsia" w:ascii="仿宋_GB2312" w:hAnsi="仿宋_GB2312" w:eastAsia="仿宋_GB2312" w:cs="仿宋_GB2312"/>
          <w:b/>
          <w:bCs/>
          <w:color w:val="auto"/>
          <w:kern w:val="28"/>
          <w:sz w:val="36"/>
          <w:szCs w:val="36"/>
          <w:lang w:val="en-US" w:eastAsia="zh-CN"/>
        </w:rPr>
      </w:pPr>
      <w:r>
        <w:rPr>
          <w:rFonts w:hint="eastAsia" w:ascii="仿宋_GB2312" w:hAnsi="仿宋_GB2312" w:eastAsia="仿宋_GB2312" w:cs="仿宋_GB2312"/>
          <w:b/>
          <w:bCs/>
          <w:color w:val="auto"/>
          <w:kern w:val="28"/>
          <w:sz w:val="36"/>
          <w:szCs w:val="36"/>
          <w:lang w:val="en-US" w:eastAsia="zh-CN"/>
        </w:rPr>
        <w:t>润源公司冶金渣处理分厂2022年碳钢直立墙保产业务</w:t>
      </w:r>
    </w:p>
    <w:p>
      <w:pPr>
        <w:keepNext w:val="0"/>
        <w:keepLines w:val="0"/>
        <w:pageBreakBefore w:val="0"/>
        <w:widowControl w:val="0"/>
        <w:tabs>
          <w:tab w:val="left" w:pos="2970"/>
          <w:tab w:val="center" w:pos="4153"/>
        </w:tabs>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rPr>
        <w:t>技术协议</w:t>
      </w:r>
      <w:r>
        <w:rPr>
          <w:rFonts w:hint="eastAsia" w:ascii="仿宋_GB2312" w:hAnsi="仿宋_GB2312" w:eastAsia="仿宋_GB2312" w:cs="仿宋_GB2312"/>
          <w:b/>
          <w:bCs/>
          <w:sz w:val="36"/>
          <w:szCs w:val="36"/>
          <w:lang w:val="en-US" w:eastAsia="zh-CN"/>
        </w:rPr>
        <w:t xml:space="preserve">   </w:t>
      </w:r>
    </w:p>
    <w:p>
      <w:pPr>
        <w:keepNext w:val="0"/>
        <w:keepLines w:val="0"/>
        <w:pageBreakBefore w:val="0"/>
        <w:widowControl w:val="0"/>
        <w:kinsoku/>
        <w:wordWrap/>
        <w:overflowPunct/>
        <w:topLinePunct w:val="0"/>
        <w:autoSpaceDE/>
        <w:autoSpaceDN/>
        <w:bidi w:val="0"/>
        <w:snapToGrid w:val="0"/>
        <w:spacing w:line="240" w:lineRule="exact"/>
        <w:ind w:right="0" w:rightChars="0" w:firstLine="420" w:firstLineChars="200"/>
        <w:jc w:val="both"/>
        <w:textAlignment w:val="auto"/>
        <w:outlineLvl w:val="9"/>
        <w:rPr>
          <w:rFonts w:hint="eastAsia" w:ascii="仿宋_GB2312" w:hAnsi="仿宋_GB2312" w:eastAsia="仿宋_GB2312" w:cs="仿宋_GB2312"/>
          <w:b w:val="0"/>
          <w:bCs w:val="0"/>
          <w:sz w:val="21"/>
          <w:szCs w:val="21"/>
          <w:lang w:val="en-US" w:eastAsia="zh-CN"/>
        </w:rPr>
      </w:pPr>
    </w:p>
    <w:p>
      <w:pPr>
        <w:keepNext w:val="0"/>
        <w:keepLines w:val="0"/>
        <w:pageBreakBefore w:val="0"/>
        <w:widowControl w:val="0"/>
        <w:kinsoku/>
        <w:wordWrap/>
        <w:overflowPunct/>
        <w:topLinePunct w:val="0"/>
        <w:autoSpaceDE/>
        <w:autoSpaceDN/>
        <w:bidi w:val="0"/>
        <w:snapToGrid w:val="0"/>
        <w:spacing w:line="240" w:lineRule="exact"/>
        <w:ind w:right="0" w:rightChars="0" w:firstLine="420" w:firstLineChars="200"/>
        <w:jc w:val="both"/>
        <w:textAlignment w:val="auto"/>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在发包方的管理要求下，承包方负责承担润源公司冶金渣处理分厂2022年碳钢直立墙保产业务外包项目的实施。</w:t>
      </w:r>
    </w:p>
    <w:p>
      <w:pPr>
        <w:keepNext w:val="0"/>
        <w:keepLines w:val="0"/>
        <w:pageBreakBefore w:val="0"/>
        <w:widowControl w:val="0"/>
        <w:kinsoku/>
        <w:wordWrap/>
        <w:overflowPunct/>
        <w:topLinePunct w:val="0"/>
        <w:autoSpaceDE/>
        <w:autoSpaceDN/>
        <w:bidi w:val="0"/>
        <w:spacing w:line="100" w:lineRule="atLeast"/>
        <w:ind w:right="0" w:rightChars="0" w:firstLine="422" w:firstLineChars="200"/>
        <w:outlineLvl w:val="9"/>
        <w:rPr>
          <w:rFonts w:hint="eastAsia" w:ascii="仿宋_GB2312" w:hAnsi="仿宋_GB2312" w:eastAsia="仿宋_GB2312" w:cs="仿宋_GB2312"/>
          <w:color w:val="auto"/>
          <w:kern w:val="28"/>
          <w:sz w:val="21"/>
          <w:szCs w:val="21"/>
          <w:lang w:val="en-US" w:eastAsia="zh-CN"/>
        </w:rPr>
      </w:pPr>
      <w:r>
        <w:rPr>
          <w:rFonts w:hint="eastAsia" w:ascii="仿宋_GB2312" w:hAnsi="仿宋_GB2312" w:eastAsia="仿宋_GB2312" w:cs="仿宋_GB2312"/>
          <w:b/>
          <w:bCs/>
          <w:color w:val="auto"/>
          <w:kern w:val="28"/>
          <w:sz w:val="21"/>
          <w:szCs w:val="21"/>
          <w:lang w:val="en-US" w:eastAsia="zh-CN"/>
        </w:rPr>
        <w:t>项目名称：</w:t>
      </w:r>
      <w:r>
        <w:rPr>
          <w:rFonts w:hint="eastAsia" w:ascii="仿宋_GB2312" w:hAnsi="仿宋_GB2312" w:eastAsia="仿宋_GB2312" w:cs="仿宋_GB2312"/>
          <w:color w:val="auto"/>
          <w:kern w:val="28"/>
          <w:sz w:val="21"/>
          <w:szCs w:val="21"/>
          <w:lang w:val="en-US" w:eastAsia="zh-CN"/>
        </w:rPr>
        <w:t>润源公司冶金渣处理分厂2022年碳钢直立墙保产业务外包</w:t>
      </w:r>
    </w:p>
    <w:p>
      <w:pPr>
        <w:adjustRightInd w:val="0"/>
        <w:snapToGrid w:val="0"/>
        <w:ind w:firstLine="422" w:firstLineChars="200"/>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color w:val="auto"/>
          <w:szCs w:val="21"/>
          <w:highlight w:val="none"/>
        </w:rPr>
        <w:t>合同期限：</w:t>
      </w:r>
      <w:r>
        <w:rPr>
          <w:rFonts w:hint="eastAsia" w:ascii="仿宋_GB2312" w:hAnsi="仿宋_GB2312" w:eastAsia="仿宋_GB2312" w:cs="仿宋_GB2312"/>
          <w:color w:val="auto"/>
          <w:sz w:val="21"/>
          <w:szCs w:val="21"/>
          <w:highlight w:val="none"/>
          <w:lang w:val="en-US" w:eastAsia="zh-CN"/>
        </w:rPr>
        <w:t>202</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年10月</w:t>
      </w:r>
      <w:r>
        <w:rPr>
          <w:rFonts w:hint="eastAsia" w:ascii="仿宋_GB2312" w:hAnsi="仿宋_GB2312" w:eastAsia="仿宋_GB2312" w:cs="仿宋_GB2312"/>
          <w:color w:val="auto"/>
          <w:sz w:val="21"/>
          <w:szCs w:val="21"/>
          <w:highlight w:val="none"/>
          <w:lang w:val="en-US" w:eastAsia="zh-CN"/>
        </w:rPr>
        <w:t>26</w:t>
      </w:r>
      <w:r>
        <w:rPr>
          <w:rFonts w:hint="eastAsia" w:ascii="仿宋_GB2312" w:hAnsi="仿宋_GB2312" w:eastAsia="仿宋_GB2312" w:cs="仿宋_GB2312"/>
          <w:color w:val="auto"/>
          <w:sz w:val="21"/>
          <w:szCs w:val="21"/>
          <w:highlight w:val="none"/>
          <w:lang w:val="en-US" w:eastAsia="zh-CN"/>
        </w:rPr>
        <w:t>日开始至202</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年10月</w:t>
      </w:r>
      <w:r>
        <w:rPr>
          <w:rFonts w:hint="eastAsia" w:ascii="仿宋_GB2312" w:hAnsi="仿宋_GB2312" w:eastAsia="仿宋_GB2312" w:cs="仿宋_GB2312"/>
          <w:color w:val="auto"/>
          <w:sz w:val="21"/>
          <w:szCs w:val="21"/>
          <w:highlight w:val="none"/>
          <w:lang w:val="en-US" w:eastAsia="zh-CN"/>
        </w:rPr>
        <w:t>25</w:t>
      </w:r>
      <w:r>
        <w:rPr>
          <w:rFonts w:hint="eastAsia" w:ascii="仿宋_GB2312" w:hAnsi="仿宋_GB2312" w:eastAsia="仿宋_GB2312" w:cs="仿宋_GB2312"/>
          <w:color w:val="auto"/>
          <w:sz w:val="21"/>
          <w:szCs w:val="21"/>
          <w:highlight w:val="none"/>
          <w:lang w:val="en-US" w:eastAsia="zh-CN"/>
        </w:rPr>
        <w:t>日</w:t>
      </w:r>
      <w:r>
        <w:rPr>
          <w:rFonts w:hint="eastAsia" w:ascii="仿宋_GB2312" w:hAnsi="仿宋_GB2312" w:eastAsia="仿宋_GB2312" w:cs="仿宋_GB2312"/>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snapToGrid w:val="0"/>
        <w:spacing w:line="240" w:lineRule="exact"/>
        <w:ind w:right="0" w:rightChars="0" w:firstLine="422" w:firstLineChars="200"/>
        <w:jc w:val="both"/>
        <w:textAlignment w:val="auto"/>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一、主要内容</w:t>
      </w:r>
    </w:p>
    <w:p>
      <w:pPr>
        <w:adjustRightInd w:val="0"/>
        <w:snapToGrid w:val="0"/>
        <w:ind w:firstLine="422"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（一）</w:t>
      </w:r>
      <w:r>
        <w:rPr>
          <w:rFonts w:hint="eastAsia" w:ascii="仿宋_GB2312" w:hAnsi="仿宋_GB2312" w:eastAsia="仿宋_GB2312" w:cs="仿宋_GB2312"/>
          <w:b/>
          <w:bCs/>
          <w:color w:val="auto"/>
          <w:sz w:val="21"/>
          <w:szCs w:val="21"/>
          <w:highlight w:val="none"/>
          <w:lang w:val="en-US" w:eastAsia="zh-CN"/>
        </w:rPr>
        <w:t>碳钢直立墙</w:t>
      </w:r>
      <w:r>
        <w:rPr>
          <w:rFonts w:hint="eastAsia" w:ascii="仿宋_GB2312" w:hAnsi="仿宋_GB2312" w:eastAsia="仿宋_GB2312" w:cs="仿宋_GB2312"/>
          <w:b/>
          <w:bCs/>
          <w:color w:val="auto"/>
          <w:sz w:val="21"/>
          <w:szCs w:val="21"/>
          <w:highlight w:val="none"/>
          <w:lang w:val="en-US" w:eastAsia="zh-CN"/>
        </w:rPr>
        <w:t>清渣</w:t>
      </w:r>
      <w:r>
        <w:rPr>
          <w:rFonts w:hint="eastAsia" w:ascii="仿宋_GB2312" w:hAnsi="仿宋_GB2312" w:eastAsia="仿宋_GB2312" w:cs="仿宋_GB2312"/>
          <w:b/>
          <w:bCs/>
          <w:color w:val="auto"/>
          <w:sz w:val="21"/>
          <w:szCs w:val="21"/>
          <w:highlight w:val="none"/>
          <w:lang w:val="en-US" w:eastAsia="zh-CN"/>
        </w:rPr>
        <w:t xml:space="preserve">保产作业   </w:t>
      </w:r>
    </w:p>
    <w:p>
      <w:pPr>
        <w:adjustRightInd w:val="0"/>
        <w:snapToGrid w:val="0"/>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承包方负责将碳钢管直立墙翻卸后的碳钢钢渣进行打水冷却，再将冷却后的碳钢钢渣清理出碳钢直立墙，保证碳钢直立墙货位充足，不影响酒钢集团宏兴钢铁股份公司炼钢厂的正常生产。</w:t>
      </w:r>
    </w:p>
    <w:p>
      <w:pPr>
        <w:adjustRightInd w:val="0"/>
        <w:snapToGrid w:val="0"/>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承包方负责将打水冷却后的碳钢钢渣按发包方要求运至指定的堆存地点堆存</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en-US" w:eastAsia="zh-CN"/>
        </w:rPr>
        <w:t>堆存地点为原渣堆，均在冶金渣处理分厂内，并按发包方要求对渣堆进行起堆、推整、整形，保证渣堆可以长期堆存。</w:t>
      </w:r>
    </w:p>
    <w:p>
      <w:pPr>
        <w:adjustRightInd w:val="0"/>
        <w:snapToGrid w:val="0"/>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3.承包方负责润源公司冶金渣处理分厂碳钢直立墙保产业务，承包方自行配备直立墙保产人员、保产运输车辆（包含司机），负责对钢渣中水冷却系统设备的日常管理及维护保养。</w:t>
      </w:r>
    </w:p>
    <w:p>
      <w:pPr>
        <w:keepNext w:val="0"/>
        <w:keepLines w:val="0"/>
        <w:pageBreakBefore w:val="0"/>
        <w:tabs>
          <w:tab w:val="left" w:pos="525"/>
          <w:tab w:val="left" w:pos="987"/>
        </w:tabs>
        <w:kinsoku/>
        <w:wordWrap/>
        <w:overflowPunct/>
        <w:topLinePunct w:val="0"/>
        <w:autoSpaceDE/>
        <w:autoSpaceDN/>
        <w:bidi w:val="0"/>
        <w:spacing w:line="240" w:lineRule="exact"/>
        <w:ind w:firstLine="420" w:firstLineChars="200"/>
        <w:rPr>
          <w:rFonts w:hint="eastAsia" w:ascii="仿宋_GB2312" w:hAnsi="仿宋_GB2312" w:eastAsia="仿宋_GB2312" w:cs="仿宋_GB2312"/>
          <w:b/>
          <w:bCs/>
          <w:snapToGrid w:val="0"/>
          <w:color w:val="000000"/>
          <w:kern w:val="28"/>
          <w:sz w:val="21"/>
          <w:szCs w:val="21"/>
          <w:lang w:val="en-US" w:eastAsia="zh-CN"/>
        </w:rPr>
      </w:pPr>
      <w:r>
        <w:rPr>
          <w:rFonts w:hint="eastAsia" w:ascii="仿宋_GB2312" w:hAnsi="仿宋_GB2312" w:eastAsia="仿宋_GB2312" w:cs="仿宋_GB2312"/>
          <w:snapToGrid w:val="0"/>
          <w:color w:val="000000"/>
          <w:kern w:val="28"/>
          <w:sz w:val="21"/>
          <w:szCs w:val="21"/>
          <w:lang w:eastAsia="zh-CN"/>
        </w:rPr>
        <w:t>二、</w:t>
      </w:r>
      <w:r>
        <w:rPr>
          <w:rFonts w:hint="eastAsia" w:ascii="仿宋_GB2312" w:hAnsi="仿宋_GB2312" w:eastAsia="仿宋_GB2312" w:cs="仿宋_GB2312"/>
          <w:b/>
          <w:bCs/>
          <w:snapToGrid w:val="0"/>
          <w:color w:val="000000"/>
          <w:kern w:val="28"/>
          <w:sz w:val="21"/>
          <w:szCs w:val="21"/>
          <w:lang w:val="en-US" w:eastAsia="zh-CN"/>
        </w:rPr>
        <w:t>质量要求、技术标准、交货期限</w:t>
      </w:r>
    </w:p>
    <w:p>
      <w:pPr>
        <w:numPr>
          <w:ilvl w:val="0"/>
          <w:numId w:val="0"/>
        </w:numPr>
        <w:adjustRightInd w:val="0"/>
        <w:snapToGrid w:val="0"/>
        <w:ind w:firstLine="422" w:firstLineChars="200"/>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（一）</w:t>
      </w:r>
      <w:r>
        <w:rPr>
          <w:rFonts w:hint="eastAsia" w:ascii="仿宋_GB2312" w:hAnsi="仿宋_GB2312" w:eastAsia="仿宋_GB2312" w:cs="仿宋_GB2312"/>
          <w:b/>
          <w:bCs/>
          <w:color w:val="auto"/>
          <w:sz w:val="21"/>
          <w:szCs w:val="21"/>
          <w:lang w:val="en-US" w:eastAsia="zh-CN"/>
        </w:rPr>
        <w:t>人员及工器具配备</w:t>
      </w:r>
    </w:p>
    <w:p>
      <w:pPr>
        <w:numPr>
          <w:ilvl w:val="0"/>
          <w:numId w:val="0"/>
        </w:num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w:t>
      </w:r>
      <w:r>
        <w:rPr>
          <w:rFonts w:hint="eastAsia" w:ascii="仿宋_GB2312" w:hAnsi="仿宋_GB2312" w:eastAsia="仿宋_GB2312" w:cs="仿宋_GB2312"/>
          <w:b w:val="0"/>
          <w:bCs w:val="0"/>
          <w:color w:val="auto"/>
          <w:sz w:val="21"/>
          <w:szCs w:val="21"/>
          <w:lang w:val="en-US" w:eastAsia="zh-CN"/>
        </w:rPr>
        <w:t>承包方依据合同作业内容的要求，自行配备</w:t>
      </w:r>
      <w:r>
        <w:rPr>
          <w:rFonts w:hint="eastAsia" w:ascii="仿宋_GB2312" w:hAnsi="仿宋_GB2312" w:eastAsia="仿宋_GB2312" w:cs="仿宋_GB2312"/>
          <w:b w:val="0"/>
          <w:bCs w:val="0"/>
          <w:color w:val="auto"/>
          <w:sz w:val="21"/>
          <w:szCs w:val="21"/>
          <w:lang w:val="en-US" w:eastAsia="zh-CN"/>
        </w:rPr>
        <w:t>保产运输</w:t>
      </w:r>
      <w:r>
        <w:rPr>
          <w:rFonts w:hint="eastAsia" w:ascii="仿宋_GB2312" w:hAnsi="仿宋_GB2312" w:eastAsia="仿宋_GB2312" w:cs="仿宋_GB2312"/>
          <w:b w:val="0"/>
          <w:bCs w:val="0"/>
          <w:color w:val="auto"/>
          <w:sz w:val="21"/>
          <w:szCs w:val="21"/>
          <w:lang w:val="en-US" w:eastAsia="zh-CN"/>
        </w:rPr>
        <w:t>所需的操作人员，</w:t>
      </w:r>
      <w:r>
        <w:rPr>
          <w:rFonts w:hint="eastAsia" w:ascii="仿宋_GB2312" w:hAnsi="仿宋_GB2312" w:eastAsia="仿宋_GB2312" w:cs="仿宋_GB2312"/>
          <w:b w:val="0"/>
          <w:bCs w:val="0"/>
          <w:color w:val="auto"/>
          <w:sz w:val="21"/>
          <w:szCs w:val="21"/>
          <w:highlight w:val="none"/>
          <w:lang w:val="en-US" w:eastAsia="zh-CN"/>
        </w:rPr>
        <w:t>人员配置要求必须初中及以上文化程度，无违法犯罪等不良记录，无不良嗜好，</w:t>
      </w:r>
      <w:r>
        <w:rPr>
          <w:rFonts w:hint="eastAsia" w:ascii="仿宋_GB2312" w:hAnsi="仿宋_GB2312" w:eastAsia="仿宋_GB2312" w:cs="仿宋_GB2312"/>
          <w:b w:val="0"/>
          <w:bCs w:val="0"/>
          <w:color w:val="auto"/>
          <w:sz w:val="21"/>
          <w:szCs w:val="21"/>
          <w:highlight w:val="none"/>
          <w:lang w:val="en-US" w:eastAsia="zh-CN"/>
        </w:rPr>
        <w:t>无职业禁忌症，</w:t>
      </w:r>
      <w:r>
        <w:rPr>
          <w:rFonts w:hint="eastAsia" w:ascii="仿宋_GB2312" w:hAnsi="仿宋_GB2312" w:eastAsia="仿宋_GB2312" w:cs="仿宋_GB2312"/>
          <w:b w:val="0"/>
          <w:bCs w:val="0"/>
          <w:color w:val="auto"/>
          <w:sz w:val="21"/>
          <w:szCs w:val="21"/>
          <w:highlight w:val="none"/>
          <w:lang w:val="en-US" w:eastAsia="zh-CN"/>
        </w:rPr>
        <w:t>身体健康，</w:t>
      </w:r>
      <w:r>
        <w:rPr>
          <w:rFonts w:hint="eastAsia" w:ascii="仿宋_GB2312" w:hAnsi="仿宋_GB2312" w:eastAsia="仿宋_GB2312" w:cs="仿宋_GB2312"/>
          <w:b w:val="0"/>
          <w:bCs w:val="0"/>
          <w:color w:val="auto"/>
          <w:sz w:val="21"/>
          <w:szCs w:val="21"/>
          <w:highlight w:val="none"/>
          <w:lang w:val="en-US" w:eastAsia="zh-CN"/>
        </w:rPr>
        <w:t>需为配置人员进行体检，出示体检报告，同时需为配置人员购买安全生产责任险、工伤保险，</w:t>
      </w:r>
      <w:r>
        <w:rPr>
          <w:rFonts w:hint="eastAsia" w:ascii="仿宋_GB2312" w:hAnsi="仿宋_GB2312" w:eastAsia="仿宋_GB2312" w:cs="仿宋_GB2312"/>
          <w:b w:val="0"/>
          <w:bCs w:val="0"/>
          <w:color w:val="auto"/>
          <w:sz w:val="21"/>
          <w:szCs w:val="21"/>
          <w:highlight w:val="none"/>
          <w:lang w:val="en-US" w:eastAsia="zh-CN"/>
        </w:rPr>
        <w:t>年龄不得超过55岁</w:t>
      </w:r>
      <w:r>
        <w:rPr>
          <w:rFonts w:hint="eastAsia" w:ascii="仿宋_GB2312" w:hAnsi="仿宋_GB2312" w:eastAsia="仿宋_GB2312" w:cs="仿宋_GB2312"/>
          <w:b w:val="0"/>
          <w:bCs w:val="0"/>
          <w:color w:val="auto"/>
          <w:sz w:val="21"/>
          <w:szCs w:val="21"/>
          <w:lang w:val="en-US" w:eastAsia="zh-CN"/>
        </w:rPr>
        <w:t>。司机和特种设备操作人员必须持有真实有效的相关证件。</w:t>
      </w:r>
    </w:p>
    <w:p>
      <w:pPr>
        <w:adjustRightInd w:val="0"/>
        <w:snapToGrid w:val="0"/>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val="en-US" w:eastAsia="zh-CN"/>
        </w:rPr>
        <w:t>碳钢直立墙保产</w:t>
      </w:r>
      <w:r>
        <w:rPr>
          <w:rFonts w:hint="eastAsia" w:ascii="仿宋_GB2312" w:hAnsi="仿宋_GB2312" w:eastAsia="仿宋_GB2312" w:cs="仿宋_GB2312"/>
          <w:color w:val="auto"/>
          <w:sz w:val="21"/>
          <w:szCs w:val="21"/>
          <w:lang w:val="en-US" w:eastAsia="zh-CN"/>
        </w:rPr>
        <w:t>业务</w:t>
      </w:r>
      <w:r>
        <w:rPr>
          <w:rFonts w:hint="eastAsia" w:ascii="仿宋_GB2312" w:hAnsi="仿宋_GB2312" w:eastAsia="仿宋_GB2312" w:cs="仿宋_GB2312"/>
          <w:color w:val="auto"/>
          <w:sz w:val="21"/>
          <w:szCs w:val="21"/>
          <w:lang w:val="en-US" w:eastAsia="zh-CN"/>
        </w:rPr>
        <w:t>所需的车辆、设备、工器具均由承包方自行配备，</w:t>
      </w:r>
      <w:r>
        <w:rPr>
          <w:rFonts w:hint="eastAsia" w:ascii="仿宋_GB2312" w:hAnsi="仿宋_GB2312" w:eastAsia="仿宋_GB2312" w:cs="仿宋_GB2312"/>
          <w:color w:val="auto"/>
          <w:sz w:val="21"/>
          <w:szCs w:val="21"/>
          <w:lang w:val="en-US" w:eastAsia="zh-CN"/>
        </w:rPr>
        <w:t>同时承包方应配备保产作业过程中所需的安全、环保设施，确保作业区域、作业人员、作业设备等符合国家、行业、酒钢集团公司以及发包方的法律法规、制度、标准的要求，</w:t>
      </w:r>
      <w:r>
        <w:rPr>
          <w:rFonts w:hint="eastAsia" w:ascii="仿宋_GB2312" w:hAnsi="仿宋_GB2312" w:eastAsia="仿宋_GB2312" w:cs="仿宋_GB2312"/>
          <w:color w:val="auto"/>
          <w:sz w:val="21"/>
          <w:szCs w:val="21"/>
          <w:lang w:val="en-US" w:eastAsia="zh-CN"/>
        </w:rPr>
        <w:t>发包方不提供任何物资。</w:t>
      </w:r>
    </w:p>
    <w:p>
      <w:pPr>
        <w:adjustRightInd w:val="0"/>
        <w:snapToGrid w:val="0"/>
        <w:ind w:firstLine="422" w:firstLineChars="200"/>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（二）</w:t>
      </w:r>
      <w:r>
        <w:rPr>
          <w:rFonts w:hint="eastAsia" w:ascii="仿宋_GB2312" w:hAnsi="仿宋_GB2312" w:eastAsia="仿宋_GB2312" w:cs="仿宋_GB2312"/>
          <w:b/>
          <w:bCs/>
          <w:color w:val="auto"/>
          <w:sz w:val="21"/>
          <w:szCs w:val="21"/>
          <w:lang w:val="en-US" w:eastAsia="zh-CN"/>
        </w:rPr>
        <w:t>能源介质</w:t>
      </w:r>
    </w:p>
    <w:p>
      <w:pPr>
        <w:adjustRightInd w:val="0"/>
        <w:snapToGrid w:val="0"/>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val="en-US" w:eastAsia="zh-CN"/>
        </w:rPr>
        <w:t>承包方自行承担碳钢直立墙保产作业所用电费，电费按照计量表具使用实际读数（含动力厂折算线损），由宏晟电热公司以核准后由发包方、承包方共同签字确认结算（220KVA变压器线损计算执行宏晟电热公司标准）（电气线路为亨顺专线），电费由承包方承担</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highlight w:val="none"/>
          <w:lang w:val="en-US" w:eastAsia="zh-CN"/>
        </w:rPr>
        <w:t>自承包方结算费用中扣除。</w:t>
      </w:r>
    </w:p>
    <w:p>
      <w:pPr>
        <w:adjustRightInd w:val="0"/>
        <w:snapToGrid w:val="0"/>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val="en-US" w:eastAsia="zh-CN"/>
        </w:rPr>
        <w:t>承包方负责发包方提供的能源介质管道、线路和碳钢直立墙区域蓄水井的建设维护，负责碳钢直立墙保产用蓄水池、水泵的日常使用、点检、维护、检修、保养等，禁止将能源介质及其设施私自转让给第三方使用。碳钢直立墙钢渣冷却用的中水，年总用量约50万吨，中水价格执行股份公司中水收费价格，由承包方承担，结算时由承包方按月向发包方缴纳</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highlight w:val="none"/>
          <w:lang w:val="en-US" w:eastAsia="zh-CN"/>
        </w:rPr>
        <w:t>自承包方结算费用中扣除。</w:t>
      </w:r>
    </w:p>
    <w:p>
      <w:pPr>
        <w:adjustRightInd w:val="0"/>
        <w:snapToGrid w:val="0"/>
        <w:ind w:firstLine="422" w:firstLineChars="200"/>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（三）车辆配置要求</w:t>
      </w:r>
    </w:p>
    <w:p>
      <w:pPr>
        <w:adjustRightInd w:val="0"/>
        <w:snapToGrid w:val="0"/>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作业车辆配置最低要求：</w:t>
      </w:r>
    </w:p>
    <w:p>
      <w:pPr>
        <w:adjustRightInd w:val="0"/>
        <w:snapToGrid w:val="0"/>
        <w:ind w:firstLine="420" w:firstLineChars="200"/>
        <w:rPr>
          <w:rFonts w:hint="eastAsia" w:ascii="仿宋_GB2312" w:hAnsi="仿宋_GB2312" w:eastAsia="仿宋_GB2312" w:cs="仿宋_GB2312"/>
          <w:lang w:val="en-US" w:eastAsia="zh-CN"/>
        </w:rPr>
      </w:pPr>
      <w:r>
        <w:rPr>
          <w:rFonts w:hint="eastAsia" w:ascii="仿宋_GB2312" w:hAnsi="仿宋_GB2312" w:eastAsia="仿宋_GB2312" w:cs="仿宋_GB2312"/>
          <w:color w:val="auto"/>
          <w:sz w:val="21"/>
          <w:szCs w:val="21"/>
          <w:highlight w:val="none"/>
          <w:lang w:val="en-US" w:eastAsia="zh-CN"/>
        </w:rPr>
        <w:t>碳钢直立墙：</w:t>
      </w:r>
      <w:r>
        <w:rPr>
          <w:rFonts w:hint="eastAsia" w:ascii="仿宋_GB2312" w:hAnsi="仿宋_GB2312" w:eastAsia="仿宋_GB2312" w:cs="仿宋_GB2312"/>
          <w:b w:val="0"/>
          <w:bCs w:val="0"/>
          <w:color w:val="auto"/>
          <w:sz w:val="21"/>
          <w:szCs w:val="21"/>
          <w:highlight w:val="none"/>
          <w:lang w:val="en-US" w:eastAsia="zh-CN"/>
        </w:rPr>
        <w:t>挖掘机</w:t>
      </w:r>
      <w:r>
        <w:rPr>
          <w:rFonts w:hint="eastAsia" w:ascii="仿宋_GB2312" w:hAnsi="仿宋_GB2312" w:eastAsia="仿宋_GB2312" w:cs="仿宋_GB2312"/>
          <w:b w:val="0"/>
          <w:bCs w:val="0"/>
          <w:color w:val="auto"/>
          <w:sz w:val="21"/>
          <w:szCs w:val="21"/>
          <w:highlight w:val="none"/>
          <w:lang w:val="en-US" w:eastAsia="zh-CN"/>
        </w:rPr>
        <w:t>≥1</w:t>
      </w:r>
      <w:r>
        <w:rPr>
          <w:rFonts w:hint="eastAsia" w:ascii="仿宋_GB2312" w:hAnsi="仿宋_GB2312" w:eastAsia="仿宋_GB2312" w:cs="仿宋_GB2312"/>
          <w:b w:val="0"/>
          <w:bCs w:val="0"/>
          <w:color w:val="auto"/>
          <w:sz w:val="21"/>
          <w:szCs w:val="21"/>
          <w:highlight w:val="none"/>
          <w:lang w:val="en-US" w:eastAsia="zh-CN"/>
        </w:rPr>
        <w:t>台，装载机</w:t>
      </w:r>
      <w:r>
        <w:rPr>
          <w:rFonts w:hint="eastAsia" w:ascii="仿宋_GB2312" w:hAnsi="仿宋_GB2312" w:eastAsia="仿宋_GB2312" w:cs="仿宋_GB2312"/>
          <w:b w:val="0"/>
          <w:bCs w:val="0"/>
          <w:color w:val="auto"/>
          <w:sz w:val="21"/>
          <w:szCs w:val="21"/>
          <w:highlight w:val="none"/>
          <w:lang w:val="en-US" w:eastAsia="zh-CN"/>
        </w:rPr>
        <w:t>≥2</w:t>
      </w:r>
      <w:r>
        <w:rPr>
          <w:rFonts w:hint="eastAsia" w:ascii="仿宋_GB2312" w:hAnsi="仿宋_GB2312" w:eastAsia="仿宋_GB2312" w:cs="仿宋_GB2312"/>
          <w:b w:val="0"/>
          <w:bCs w:val="0"/>
          <w:color w:val="auto"/>
          <w:sz w:val="21"/>
          <w:szCs w:val="21"/>
          <w:highlight w:val="none"/>
          <w:lang w:val="en-US" w:eastAsia="zh-CN"/>
        </w:rPr>
        <w:t>台，自卸车</w:t>
      </w:r>
      <w:r>
        <w:rPr>
          <w:rFonts w:hint="eastAsia" w:ascii="仿宋_GB2312" w:hAnsi="仿宋_GB2312" w:eastAsia="仿宋_GB2312" w:cs="仿宋_GB2312"/>
          <w:b w:val="0"/>
          <w:bCs w:val="0"/>
          <w:color w:val="auto"/>
          <w:sz w:val="21"/>
          <w:szCs w:val="21"/>
          <w:highlight w:val="none"/>
          <w:lang w:val="en-US" w:eastAsia="zh-CN"/>
        </w:rPr>
        <w:t>≥5</w:t>
      </w:r>
      <w:r>
        <w:rPr>
          <w:rFonts w:hint="eastAsia" w:ascii="仿宋_GB2312" w:hAnsi="仿宋_GB2312" w:eastAsia="仿宋_GB2312" w:cs="仿宋_GB2312"/>
          <w:b w:val="0"/>
          <w:bCs w:val="0"/>
          <w:color w:val="auto"/>
          <w:sz w:val="21"/>
          <w:szCs w:val="21"/>
          <w:highlight w:val="none"/>
          <w:lang w:val="en-US" w:eastAsia="zh-CN"/>
        </w:rPr>
        <w:t>台，</w:t>
      </w:r>
      <w:r>
        <w:rPr>
          <w:rFonts w:hint="eastAsia" w:ascii="仿宋_GB2312" w:hAnsi="仿宋_GB2312" w:eastAsia="仿宋_GB2312" w:cs="仿宋_GB2312"/>
          <w:color w:val="auto"/>
          <w:sz w:val="21"/>
          <w:szCs w:val="21"/>
          <w:highlight w:val="none"/>
          <w:lang w:val="en-US" w:eastAsia="zh-CN"/>
        </w:rPr>
        <w:t>现场管理人员≥2人</w:t>
      </w:r>
      <w:r>
        <w:rPr>
          <w:rFonts w:hint="eastAsia" w:ascii="仿宋_GB2312" w:hAnsi="仿宋_GB2312" w:eastAsia="仿宋_GB2312" w:cs="仿宋_GB2312"/>
          <w:color w:val="auto"/>
          <w:sz w:val="21"/>
          <w:szCs w:val="21"/>
          <w:highlight w:val="none"/>
          <w:lang w:val="en-US" w:eastAsia="zh-CN"/>
        </w:rPr>
        <w:t>，其中1人为安全环保专职管理人员，必须具备相应安全管理资质，</w:t>
      </w:r>
      <w:r>
        <w:rPr>
          <w:rFonts w:hint="eastAsia" w:ascii="仿宋_GB2312" w:hAnsi="仿宋_GB2312" w:eastAsia="仿宋_GB2312" w:cs="仿宋_GB2312"/>
          <w:b w:val="0"/>
          <w:bCs w:val="0"/>
          <w:color w:val="auto"/>
          <w:sz w:val="21"/>
          <w:szCs w:val="21"/>
          <w:highlight w:val="none"/>
          <w:lang w:val="en-US" w:eastAsia="zh-CN"/>
        </w:rPr>
        <w:t>根据</w:t>
      </w:r>
      <w:r>
        <w:rPr>
          <w:rFonts w:hint="eastAsia" w:ascii="仿宋_GB2312" w:hAnsi="仿宋_GB2312" w:eastAsia="仿宋_GB2312" w:cs="仿宋_GB2312"/>
          <w:b w:val="0"/>
          <w:bCs w:val="0"/>
          <w:color w:val="auto"/>
          <w:sz w:val="21"/>
          <w:szCs w:val="21"/>
          <w:highlight w:val="none"/>
          <w:lang w:val="en-US" w:eastAsia="zh-CN"/>
        </w:rPr>
        <w:t>生产</w:t>
      </w:r>
      <w:r>
        <w:rPr>
          <w:rFonts w:hint="eastAsia" w:ascii="仿宋_GB2312" w:hAnsi="仿宋_GB2312" w:eastAsia="仿宋_GB2312" w:cs="仿宋_GB2312"/>
          <w:b w:val="0"/>
          <w:bCs w:val="0"/>
          <w:color w:val="auto"/>
          <w:sz w:val="21"/>
          <w:szCs w:val="21"/>
          <w:highlight w:val="none"/>
          <w:lang w:val="en-US" w:eastAsia="zh-CN"/>
        </w:rPr>
        <w:t>需要可随时增加相应</w:t>
      </w:r>
      <w:r>
        <w:rPr>
          <w:rFonts w:hint="eastAsia" w:ascii="仿宋_GB2312" w:hAnsi="仿宋_GB2312" w:eastAsia="仿宋_GB2312" w:cs="仿宋_GB2312"/>
          <w:b w:val="0"/>
          <w:bCs w:val="0"/>
          <w:color w:val="auto"/>
          <w:sz w:val="21"/>
          <w:szCs w:val="21"/>
          <w:highlight w:val="none"/>
          <w:lang w:val="en-US" w:eastAsia="zh-CN"/>
        </w:rPr>
        <w:t>人员及</w:t>
      </w:r>
      <w:r>
        <w:rPr>
          <w:rFonts w:hint="eastAsia" w:ascii="仿宋_GB2312" w:hAnsi="仿宋_GB2312" w:eastAsia="仿宋_GB2312" w:cs="仿宋_GB2312"/>
          <w:b w:val="0"/>
          <w:bCs w:val="0"/>
          <w:color w:val="auto"/>
          <w:sz w:val="21"/>
          <w:szCs w:val="21"/>
          <w:highlight w:val="none"/>
          <w:lang w:val="en-US" w:eastAsia="zh-CN"/>
        </w:rPr>
        <w:t>车辆。</w:t>
      </w:r>
    </w:p>
    <w:p>
      <w:pPr>
        <w:numPr>
          <w:ilvl w:val="0"/>
          <w:numId w:val="1"/>
        </w:numPr>
        <w:adjustRightInd w:val="0"/>
        <w:snapToGrid w:val="0"/>
        <w:ind w:firstLine="422" w:firstLineChars="200"/>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其它要求：</w:t>
      </w:r>
    </w:p>
    <w:p>
      <w:pPr>
        <w:numPr>
          <w:ilvl w:val="0"/>
          <w:numId w:val="0"/>
        </w:numPr>
        <w:adjustRightInd w:val="0"/>
        <w:snapToGrid w:val="0"/>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 xml:space="preserve">     </w:t>
      </w:r>
      <w:r>
        <w:rPr>
          <w:rFonts w:hint="eastAsia" w:ascii="仿宋_GB2312" w:hAnsi="仿宋_GB2312" w:eastAsia="仿宋_GB2312" w:cs="仿宋_GB2312"/>
          <w:color w:val="auto"/>
          <w:sz w:val="21"/>
          <w:szCs w:val="21"/>
          <w:lang w:val="en-US" w:eastAsia="zh-CN"/>
        </w:rPr>
        <w:t>根据股份公司对碳钢直立墙大修的相关方案及要求，大修时间为2021年8月-12月大修东侧一半的直立墙，2022年3月-8月大修西侧一半的直立墙。在碳钢直立墙大修期间，要求承包方在碳钢直立墙仅有一半货位的情况下，必须执行24小时作业，期间承包方必须无条件增加车辆及人员，提高钢渣打水及清渣倒运速度，不得影响碳钢直立墙大修工程进度及</w:t>
      </w:r>
      <w:r>
        <w:rPr>
          <w:rFonts w:hint="eastAsia" w:ascii="仿宋_GB2312" w:hAnsi="仿宋_GB2312" w:eastAsia="仿宋_GB2312" w:cs="仿宋_GB2312"/>
          <w:color w:val="auto"/>
          <w:sz w:val="21"/>
          <w:szCs w:val="21"/>
          <w:highlight w:val="none"/>
          <w:lang w:val="en-US" w:eastAsia="zh-CN"/>
        </w:rPr>
        <w:t>酒钢集团宏兴钢铁股份公司的正常生产。</w:t>
      </w:r>
    </w:p>
    <w:p>
      <w:pPr>
        <w:keepNext w:val="0"/>
        <w:keepLines w:val="0"/>
        <w:pageBreakBefore w:val="0"/>
        <w:widowControl w:val="0"/>
        <w:kinsoku/>
        <w:wordWrap/>
        <w:overflowPunct/>
        <w:topLinePunct w:val="0"/>
        <w:autoSpaceDE/>
        <w:autoSpaceDN/>
        <w:bidi w:val="0"/>
        <w:snapToGrid w:val="0"/>
        <w:spacing w:line="240" w:lineRule="exact"/>
        <w:ind w:left="420" w:leftChars="200" w:right="0" w:rightChars="0" w:firstLine="0" w:firstLineChars="0"/>
        <w:jc w:val="both"/>
        <w:textAlignment w:val="auto"/>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eastAsia="zh-CN"/>
        </w:rPr>
        <w:t>三、标人应</w:t>
      </w:r>
      <w:r>
        <w:rPr>
          <w:rFonts w:hint="eastAsia" w:ascii="仿宋_GB2312" w:hAnsi="仿宋_GB2312" w:eastAsia="仿宋_GB2312" w:cs="仿宋_GB2312"/>
          <w:b/>
          <w:bCs/>
          <w:sz w:val="21"/>
          <w:szCs w:val="21"/>
        </w:rPr>
        <w:t>具备</w:t>
      </w:r>
      <w:r>
        <w:rPr>
          <w:rFonts w:hint="eastAsia" w:ascii="仿宋_GB2312" w:hAnsi="仿宋_GB2312" w:eastAsia="仿宋_GB2312" w:cs="仿宋_GB2312"/>
          <w:b/>
          <w:bCs/>
          <w:sz w:val="21"/>
          <w:szCs w:val="21"/>
          <w:lang w:eastAsia="zh-CN"/>
        </w:rPr>
        <w:t>的</w:t>
      </w:r>
      <w:r>
        <w:rPr>
          <w:rFonts w:hint="eastAsia" w:ascii="仿宋_GB2312" w:hAnsi="仿宋_GB2312" w:eastAsia="仿宋_GB2312" w:cs="仿宋_GB2312"/>
          <w:b/>
          <w:bCs/>
          <w:sz w:val="21"/>
          <w:szCs w:val="21"/>
        </w:rPr>
        <w:t>条件</w:t>
      </w:r>
    </w:p>
    <w:p>
      <w:pPr>
        <w:spacing w:line="240" w:lineRule="atLeast"/>
        <w:rPr>
          <w:rFonts w:hint="eastAsia" w:ascii="仿宋_GB2312" w:hAnsi="仿宋_GB2312" w:eastAsia="仿宋_GB2312" w:cs="仿宋_GB2312"/>
          <w:color w:val="auto"/>
          <w:kern w:val="28"/>
          <w:sz w:val="21"/>
          <w:szCs w:val="21"/>
        </w:rPr>
      </w:pPr>
      <w:r>
        <w:rPr>
          <w:rFonts w:hint="eastAsia" w:ascii="仿宋_GB2312" w:hAnsi="仿宋_GB2312" w:eastAsia="仿宋_GB2312" w:cs="仿宋_GB2312"/>
          <w:color w:val="auto"/>
          <w:kern w:val="28"/>
          <w:sz w:val="21"/>
          <w:szCs w:val="21"/>
          <w:lang w:val="en-US" w:eastAsia="zh-CN"/>
        </w:rPr>
        <w:t xml:space="preserve">  </w:t>
      </w:r>
      <w:r>
        <w:rPr>
          <w:rFonts w:hint="eastAsia" w:ascii="仿宋_GB2312" w:hAnsi="仿宋_GB2312" w:eastAsia="仿宋_GB2312" w:cs="仿宋_GB2312"/>
          <w:color w:val="auto"/>
          <w:kern w:val="28"/>
          <w:sz w:val="21"/>
          <w:szCs w:val="21"/>
          <w:lang w:val="en-US" w:eastAsia="zh-CN"/>
        </w:rPr>
        <w:t xml:space="preserve">  </w:t>
      </w:r>
      <w:r>
        <w:rPr>
          <w:rFonts w:hint="eastAsia" w:ascii="仿宋_GB2312" w:hAnsi="仿宋_GB2312" w:eastAsia="仿宋_GB2312" w:cs="仿宋_GB2312"/>
          <w:color w:val="auto"/>
          <w:kern w:val="28"/>
          <w:sz w:val="21"/>
          <w:szCs w:val="21"/>
        </w:rPr>
        <w:t>1</w:t>
      </w:r>
      <w:r>
        <w:rPr>
          <w:rFonts w:hint="eastAsia" w:ascii="仿宋_GB2312" w:hAnsi="仿宋_GB2312" w:eastAsia="仿宋_GB2312" w:cs="仿宋_GB2312"/>
          <w:color w:val="auto"/>
          <w:kern w:val="28"/>
          <w:sz w:val="21"/>
          <w:szCs w:val="21"/>
          <w:lang w:val="en-US" w:eastAsia="zh-CN"/>
        </w:rPr>
        <w:t>.</w:t>
      </w:r>
      <w:r>
        <w:rPr>
          <w:rFonts w:hint="eastAsia" w:ascii="仿宋_GB2312" w:hAnsi="仿宋_GB2312" w:eastAsia="仿宋_GB2312" w:cs="仿宋_GB2312"/>
          <w:color w:val="auto"/>
          <w:kern w:val="28"/>
          <w:sz w:val="21"/>
          <w:szCs w:val="21"/>
        </w:rPr>
        <w:t>投标人具有独立法人资格 。</w:t>
      </w:r>
    </w:p>
    <w:p>
      <w:pPr>
        <w:spacing w:line="240" w:lineRule="atLeast"/>
        <w:ind w:firstLine="420"/>
        <w:rPr>
          <w:rFonts w:hint="eastAsia" w:ascii="仿宋_GB2312" w:hAnsi="仿宋_GB2312" w:eastAsia="仿宋_GB2312" w:cs="仿宋_GB2312"/>
          <w:color w:val="auto"/>
          <w:kern w:val="28"/>
          <w:sz w:val="21"/>
          <w:szCs w:val="21"/>
        </w:rPr>
      </w:pPr>
      <w:r>
        <w:rPr>
          <w:rFonts w:hint="eastAsia" w:ascii="仿宋_GB2312" w:hAnsi="仿宋_GB2312" w:eastAsia="仿宋_GB2312" w:cs="仿宋_GB2312"/>
          <w:color w:val="auto"/>
          <w:kern w:val="28"/>
          <w:sz w:val="21"/>
          <w:szCs w:val="21"/>
        </w:rPr>
        <w:t>2</w:t>
      </w:r>
      <w:r>
        <w:rPr>
          <w:rFonts w:hint="eastAsia" w:ascii="仿宋_GB2312" w:hAnsi="仿宋_GB2312" w:eastAsia="仿宋_GB2312" w:cs="仿宋_GB2312"/>
          <w:color w:val="auto"/>
          <w:kern w:val="28"/>
          <w:sz w:val="21"/>
          <w:szCs w:val="21"/>
          <w:lang w:val="en-US" w:eastAsia="zh-CN"/>
        </w:rPr>
        <w:t>.</w:t>
      </w:r>
      <w:r>
        <w:rPr>
          <w:rFonts w:hint="eastAsia" w:ascii="仿宋_GB2312" w:hAnsi="仿宋_GB2312" w:eastAsia="仿宋_GB2312" w:cs="仿宋_GB2312"/>
          <w:color w:val="auto"/>
          <w:kern w:val="28"/>
          <w:sz w:val="21"/>
          <w:szCs w:val="21"/>
        </w:rPr>
        <w:t>投标人具有</w:t>
      </w:r>
      <w:r>
        <w:rPr>
          <w:rFonts w:hint="eastAsia" w:ascii="仿宋_GB2312" w:hAnsi="仿宋_GB2312" w:eastAsia="仿宋_GB2312" w:cs="仿宋_GB2312"/>
          <w:color w:val="auto"/>
          <w:kern w:val="28"/>
          <w:sz w:val="21"/>
          <w:szCs w:val="21"/>
          <w:lang w:eastAsia="zh-CN"/>
        </w:rPr>
        <w:t>《营业执照》，且营业范围中包含劳务、运输等内容。投标人要具有《中华人民共和国道路运输经营许可证》</w:t>
      </w:r>
      <w:r>
        <w:rPr>
          <w:rFonts w:hint="eastAsia" w:ascii="仿宋_GB2312" w:hAnsi="仿宋_GB2312" w:eastAsia="仿宋_GB2312" w:cs="仿宋_GB2312"/>
          <w:color w:val="auto"/>
          <w:kern w:val="28"/>
          <w:sz w:val="21"/>
          <w:szCs w:val="21"/>
        </w:rPr>
        <w:t>。</w:t>
      </w:r>
    </w:p>
    <w:p>
      <w:pPr>
        <w:spacing w:line="240" w:lineRule="atLeast"/>
        <w:ind w:firstLine="420"/>
        <w:rPr>
          <w:rFonts w:hint="eastAsia" w:ascii="仿宋_GB2312" w:hAnsi="仿宋_GB2312" w:eastAsia="仿宋_GB2312" w:cs="仿宋_GB2312"/>
          <w:color w:val="auto"/>
          <w:kern w:val="28"/>
          <w:sz w:val="21"/>
          <w:szCs w:val="21"/>
          <w:lang w:val="en-US" w:eastAsia="zh-CN"/>
        </w:rPr>
      </w:pPr>
      <w:r>
        <w:rPr>
          <w:rFonts w:hint="eastAsia" w:ascii="仿宋_GB2312" w:hAnsi="仿宋_GB2312" w:eastAsia="仿宋_GB2312" w:cs="仿宋_GB2312"/>
          <w:color w:val="auto"/>
          <w:kern w:val="28"/>
          <w:sz w:val="21"/>
          <w:szCs w:val="21"/>
          <w:lang w:val="en-US" w:eastAsia="zh-CN"/>
        </w:rPr>
        <w:t>3.投标人及安全管理人员必须具有</w:t>
      </w:r>
      <w:r>
        <w:rPr>
          <w:rFonts w:hint="eastAsia" w:ascii="仿宋_GB2312" w:hAnsi="仿宋_GB2312" w:eastAsia="仿宋_GB2312" w:cs="仿宋_GB2312"/>
          <w:color w:val="auto"/>
          <w:kern w:val="28"/>
          <w:sz w:val="21"/>
          <w:szCs w:val="21"/>
          <w:lang w:eastAsia="zh-CN"/>
        </w:rPr>
        <w:t>《</w:t>
      </w:r>
      <w:r>
        <w:rPr>
          <w:rFonts w:hint="eastAsia" w:ascii="仿宋_GB2312" w:hAnsi="仿宋_GB2312" w:eastAsia="仿宋_GB2312" w:cs="仿宋_GB2312"/>
          <w:color w:val="auto"/>
          <w:kern w:val="28"/>
          <w:sz w:val="21"/>
          <w:szCs w:val="21"/>
          <w:lang w:eastAsia="zh-CN"/>
        </w:rPr>
        <w:t>安全管理资格</w:t>
      </w:r>
      <w:r>
        <w:rPr>
          <w:rFonts w:hint="eastAsia" w:ascii="仿宋_GB2312" w:hAnsi="仿宋_GB2312" w:eastAsia="仿宋_GB2312" w:cs="仿宋_GB2312"/>
          <w:color w:val="auto"/>
          <w:kern w:val="28"/>
          <w:sz w:val="21"/>
          <w:szCs w:val="21"/>
          <w:lang w:eastAsia="zh-CN"/>
        </w:rPr>
        <w:t>证》</w:t>
      </w:r>
      <w:r>
        <w:rPr>
          <w:rFonts w:hint="eastAsia" w:ascii="仿宋_GB2312" w:hAnsi="仿宋_GB2312" w:eastAsia="仿宋_GB2312" w:cs="仿宋_GB2312"/>
          <w:color w:val="auto"/>
          <w:kern w:val="28"/>
          <w:sz w:val="21"/>
          <w:szCs w:val="21"/>
        </w:rPr>
        <w:t>。</w:t>
      </w:r>
    </w:p>
    <w:p>
      <w:pPr>
        <w:spacing w:line="240" w:lineRule="atLeast"/>
        <w:rPr>
          <w:rFonts w:hint="eastAsia" w:ascii="仿宋_GB2312" w:hAnsi="仿宋_GB2312" w:eastAsia="仿宋_GB2312" w:cs="仿宋_GB2312"/>
          <w:color w:val="auto"/>
          <w:kern w:val="28"/>
          <w:sz w:val="21"/>
          <w:szCs w:val="21"/>
        </w:rPr>
      </w:pPr>
      <w:r>
        <w:rPr>
          <w:rFonts w:hint="eastAsia" w:ascii="仿宋_GB2312" w:hAnsi="仿宋_GB2312" w:eastAsia="仿宋_GB2312" w:cs="仿宋_GB2312"/>
          <w:color w:val="auto"/>
          <w:kern w:val="28"/>
          <w:sz w:val="21"/>
          <w:szCs w:val="21"/>
          <w:lang w:val="en-US" w:eastAsia="zh-CN"/>
        </w:rPr>
        <w:t xml:space="preserve">    </w:t>
      </w:r>
      <w:r>
        <w:rPr>
          <w:rFonts w:hint="eastAsia" w:ascii="仿宋_GB2312" w:hAnsi="仿宋_GB2312" w:eastAsia="仿宋_GB2312" w:cs="仿宋_GB2312"/>
          <w:color w:val="auto"/>
          <w:kern w:val="28"/>
          <w:sz w:val="21"/>
          <w:szCs w:val="21"/>
          <w:lang w:val="en-US" w:eastAsia="zh-CN"/>
        </w:rPr>
        <w:t>4</w:t>
      </w:r>
      <w:r>
        <w:rPr>
          <w:rFonts w:hint="eastAsia" w:ascii="仿宋_GB2312" w:hAnsi="仿宋_GB2312" w:eastAsia="仿宋_GB2312" w:cs="仿宋_GB2312"/>
          <w:color w:val="auto"/>
          <w:kern w:val="28"/>
          <w:sz w:val="21"/>
          <w:szCs w:val="21"/>
          <w:lang w:val="en-US" w:eastAsia="zh-CN"/>
        </w:rPr>
        <w:t>.本次招标不接受联合体投标，不得转包、分包。</w:t>
      </w:r>
    </w:p>
    <w:p>
      <w:pPr>
        <w:spacing w:line="240" w:lineRule="atLeast"/>
        <w:ind w:firstLine="420"/>
        <w:rPr>
          <w:rFonts w:hint="eastAsia" w:ascii="仿宋_GB2312" w:hAnsi="仿宋_GB2312" w:eastAsia="仿宋_GB2312" w:cs="仿宋_GB2312"/>
          <w:color w:val="auto"/>
          <w:kern w:val="28"/>
          <w:sz w:val="21"/>
          <w:szCs w:val="21"/>
        </w:rPr>
      </w:pPr>
      <w:r>
        <w:rPr>
          <w:rFonts w:hint="eastAsia" w:ascii="仿宋_GB2312" w:hAnsi="仿宋_GB2312" w:eastAsia="仿宋_GB2312" w:cs="仿宋_GB2312"/>
          <w:color w:val="auto"/>
          <w:kern w:val="28"/>
          <w:sz w:val="21"/>
          <w:szCs w:val="21"/>
          <w:lang w:val="en-US" w:eastAsia="zh-CN"/>
        </w:rPr>
        <w:t>5</w:t>
      </w:r>
      <w:r>
        <w:rPr>
          <w:rFonts w:hint="eastAsia" w:ascii="仿宋_GB2312" w:hAnsi="仿宋_GB2312" w:eastAsia="仿宋_GB2312" w:cs="仿宋_GB2312"/>
          <w:color w:val="auto"/>
          <w:kern w:val="28"/>
          <w:sz w:val="21"/>
          <w:szCs w:val="21"/>
          <w:lang w:val="en-US" w:eastAsia="zh-CN"/>
        </w:rPr>
        <w:t>.</w:t>
      </w:r>
      <w:r>
        <w:rPr>
          <w:rFonts w:hint="eastAsia" w:ascii="仿宋_GB2312" w:hAnsi="仿宋_GB2312" w:eastAsia="仿宋_GB2312" w:cs="仿宋_GB2312"/>
          <w:sz w:val="21"/>
          <w:szCs w:val="21"/>
        </w:rPr>
        <w:t>在“信用中国”网站、国家企业信</w:t>
      </w:r>
      <w:bookmarkStart w:id="0" w:name="_GoBack"/>
      <w:bookmarkEnd w:id="0"/>
      <w:r>
        <w:rPr>
          <w:rFonts w:hint="eastAsia" w:ascii="仿宋_GB2312" w:hAnsi="仿宋_GB2312" w:eastAsia="仿宋_GB2312" w:cs="仿宋_GB2312"/>
          <w:sz w:val="21"/>
          <w:szCs w:val="21"/>
        </w:rPr>
        <w:t>用信息公示系统以及企业信息查询网站无违法失信记录或履约风险信息</w:t>
      </w:r>
      <w:r>
        <w:rPr>
          <w:rFonts w:hint="eastAsia" w:ascii="仿宋_GB2312" w:hAnsi="仿宋_GB2312" w:eastAsia="仿宋_GB2312" w:cs="仿宋_GB2312"/>
          <w:sz w:val="21"/>
          <w:szCs w:val="21"/>
          <w:lang w:eastAsia="zh-CN"/>
        </w:rPr>
        <w:t>。</w:t>
      </w:r>
    </w:p>
    <w:p>
      <w:pPr>
        <w:spacing w:line="240" w:lineRule="atLeast"/>
        <w:ind w:firstLine="420"/>
        <w:rPr>
          <w:rFonts w:hint="eastAsia" w:ascii="仿宋_GB2312" w:hAnsi="仿宋_GB2312" w:eastAsia="仿宋_GB2312" w:cs="仿宋_GB2312"/>
          <w:color w:val="auto"/>
          <w:kern w:val="28"/>
          <w:sz w:val="21"/>
          <w:szCs w:val="21"/>
          <w:lang w:eastAsia="zh-CN"/>
        </w:rPr>
      </w:pPr>
      <w:r>
        <w:rPr>
          <w:rFonts w:hint="eastAsia" w:ascii="仿宋_GB2312" w:hAnsi="仿宋_GB2312" w:eastAsia="仿宋_GB2312" w:cs="仿宋_GB2312"/>
          <w:color w:val="auto"/>
          <w:kern w:val="28"/>
          <w:sz w:val="21"/>
          <w:szCs w:val="21"/>
          <w:lang w:val="en-US" w:eastAsia="zh-CN"/>
        </w:rPr>
        <w:t>6</w:t>
      </w:r>
      <w:r>
        <w:rPr>
          <w:rFonts w:hint="eastAsia" w:ascii="仿宋_GB2312" w:hAnsi="仿宋_GB2312" w:eastAsia="仿宋_GB2312" w:cs="仿宋_GB2312"/>
          <w:color w:val="auto"/>
          <w:kern w:val="28"/>
          <w:sz w:val="21"/>
          <w:szCs w:val="21"/>
          <w:lang w:val="en-US" w:eastAsia="zh-CN"/>
        </w:rPr>
        <w:t>.</w:t>
      </w:r>
      <w:r>
        <w:rPr>
          <w:rFonts w:hint="eastAsia" w:ascii="仿宋_GB2312" w:hAnsi="仿宋_GB2312" w:eastAsia="仿宋_GB2312" w:cs="仿宋_GB2312"/>
          <w:color w:val="auto"/>
          <w:kern w:val="28"/>
          <w:sz w:val="21"/>
          <w:szCs w:val="21"/>
        </w:rPr>
        <w:t>投标人</w:t>
      </w:r>
      <w:r>
        <w:rPr>
          <w:rFonts w:hint="eastAsia" w:ascii="仿宋_GB2312" w:hAnsi="仿宋_GB2312" w:eastAsia="仿宋_GB2312" w:cs="仿宋_GB2312"/>
          <w:color w:val="auto"/>
          <w:kern w:val="28"/>
          <w:sz w:val="21"/>
          <w:szCs w:val="21"/>
          <w:lang w:eastAsia="zh-CN"/>
        </w:rPr>
        <w:t>在投标前</w:t>
      </w:r>
      <w:r>
        <w:rPr>
          <w:rFonts w:hint="eastAsia" w:ascii="仿宋_GB2312" w:hAnsi="仿宋_GB2312" w:eastAsia="仿宋_GB2312" w:cs="仿宋_GB2312"/>
          <w:color w:val="auto"/>
          <w:kern w:val="28"/>
          <w:sz w:val="21"/>
          <w:szCs w:val="21"/>
        </w:rPr>
        <w:t>要进行</w:t>
      </w:r>
      <w:r>
        <w:rPr>
          <w:rFonts w:hint="eastAsia" w:ascii="仿宋_GB2312" w:hAnsi="仿宋_GB2312" w:eastAsia="仿宋_GB2312" w:cs="仿宋_GB2312"/>
          <w:color w:val="auto"/>
          <w:kern w:val="28"/>
          <w:sz w:val="21"/>
          <w:szCs w:val="21"/>
          <w:lang w:eastAsia="zh-CN"/>
        </w:rPr>
        <w:t>业务</w:t>
      </w:r>
      <w:r>
        <w:rPr>
          <w:rFonts w:hint="eastAsia" w:ascii="仿宋_GB2312" w:hAnsi="仿宋_GB2312" w:eastAsia="仿宋_GB2312" w:cs="仿宋_GB2312"/>
          <w:color w:val="auto"/>
          <w:kern w:val="28"/>
          <w:sz w:val="21"/>
          <w:szCs w:val="21"/>
        </w:rPr>
        <w:t>交流</w:t>
      </w:r>
      <w:r>
        <w:rPr>
          <w:rFonts w:hint="eastAsia" w:ascii="仿宋_GB2312" w:hAnsi="仿宋_GB2312" w:eastAsia="仿宋_GB2312" w:cs="仿宋_GB2312"/>
          <w:color w:val="auto"/>
          <w:kern w:val="28"/>
          <w:sz w:val="21"/>
          <w:szCs w:val="21"/>
          <w:lang w:eastAsia="zh-CN"/>
        </w:rPr>
        <w:t>和现场踏勘</w:t>
      </w:r>
      <w:r>
        <w:rPr>
          <w:rFonts w:hint="eastAsia" w:ascii="仿宋_GB2312" w:hAnsi="仿宋_GB2312" w:eastAsia="仿宋_GB2312" w:cs="仿宋_GB2312"/>
          <w:color w:val="auto"/>
          <w:kern w:val="28"/>
          <w:sz w:val="21"/>
          <w:szCs w:val="21"/>
        </w:rPr>
        <w:t>并签订技术协议后方可投标</w:t>
      </w:r>
      <w:r>
        <w:rPr>
          <w:rFonts w:hint="eastAsia" w:ascii="仿宋_GB2312" w:hAnsi="仿宋_GB2312" w:eastAsia="仿宋_GB2312" w:cs="仿宋_GB2312"/>
          <w:color w:val="auto"/>
          <w:kern w:val="28"/>
          <w:sz w:val="21"/>
          <w:szCs w:val="21"/>
          <w:lang w:eastAsia="zh-CN"/>
        </w:rPr>
        <w:t>。</w:t>
      </w:r>
    </w:p>
    <w:p>
      <w:pPr>
        <w:keepNext w:val="0"/>
        <w:keepLines w:val="0"/>
        <w:pageBreakBefore w:val="0"/>
        <w:widowControl w:val="0"/>
        <w:kinsoku/>
        <w:wordWrap/>
        <w:overflowPunct/>
        <w:topLinePunct w:val="0"/>
        <w:autoSpaceDE/>
        <w:autoSpaceDN/>
        <w:bidi w:val="0"/>
        <w:spacing w:line="240" w:lineRule="exact"/>
        <w:ind w:left="420" w:leftChars="200" w:right="0" w:rightChars="0" w:firstLine="0" w:firstLineChars="0"/>
        <w:outlineLvl w:val="9"/>
        <w:rPr>
          <w:rFonts w:hint="eastAsia" w:ascii="仿宋_GB2312" w:hAnsi="仿宋_GB2312" w:eastAsia="仿宋_GB2312" w:cs="仿宋_GB2312"/>
          <w:color w:val="auto"/>
          <w:kern w:val="28"/>
          <w:sz w:val="21"/>
          <w:szCs w:val="21"/>
          <w:lang w:eastAsia="zh-CN"/>
        </w:rPr>
      </w:pPr>
      <w:r>
        <w:rPr>
          <w:rFonts w:hint="eastAsia" w:ascii="仿宋_GB2312" w:hAnsi="仿宋_GB2312" w:eastAsia="仿宋_GB2312" w:cs="仿宋_GB2312"/>
          <w:color w:val="auto"/>
          <w:kern w:val="28"/>
          <w:sz w:val="21"/>
          <w:szCs w:val="21"/>
          <w:lang w:val="en-US" w:eastAsia="zh-CN"/>
        </w:rPr>
        <w:t>7.</w:t>
      </w:r>
      <w:r>
        <w:rPr>
          <w:rFonts w:hint="eastAsia" w:ascii="仿宋_GB2312" w:hAnsi="仿宋_GB2312" w:eastAsia="仿宋_GB2312" w:cs="仿宋_GB2312"/>
          <w:color w:val="auto"/>
          <w:kern w:val="28"/>
          <w:sz w:val="21"/>
          <w:szCs w:val="21"/>
        </w:rPr>
        <w:t>投标人</w:t>
      </w:r>
      <w:r>
        <w:rPr>
          <w:rFonts w:hint="eastAsia" w:ascii="仿宋_GB2312" w:hAnsi="仿宋_GB2312" w:eastAsia="仿宋_GB2312" w:cs="仿宋_GB2312"/>
          <w:color w:val="auto"/>
          <w:kern w:val="28"/>
          <w:sz w:val="21"/>
          <w:szCs w:val="21"/>
          <w:lang w:eastAsia="zh-CN"/>
        </w:rPr>
        <w:t>具有类似保产业务相关的业绩。</w:t>
      </w:r>
    </w:p>
    <w:p>
      <w:pPr>
        <w:keepNext w:val="0"/>
        <w:keepLines w:val="0"/>
        <w:pageBreakBefore w:val="0"/>
        <w:widowControl w:val="0"/>
        <w:kinsoku/>
        <w:wordWrap/>
        <w:overflowPunct/>
        <w:topLinePunct w:val="0"/>
        <w:autoSpaceDE/>
        <w:autoSpaceDN/>
        <w:bidi w:val="0"/>
        <w:spacing w:line="240" w:lineRule="exact"/>
        <w:ind w:left="420" w:leftChars="200" w:right="0" w:rightChars="0" w:firstLine="0" w:firstLineChars="0"/>
        <w:outlineLvl w:val="9"/>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sz w:val="21"/>
          <w:szCs w:val="21"/>
          <w:lang w:eastAsia="zh-CN"/>
        </w:rPr>
        <w:t>四、结算及支付</w:t>
      </w:r>
      <w:r>
        <w:rPr>
          <w:rFonts w:hint="eastAsia" w:ascii="仿宋_GB2312" w:hAnsi="仿宋_GB2312" w:eastAsia="仿宋_GB2312" w:cs="仿宋_GB2312"/>
          <w:b/>
          <w:bCs/>
          <w:kern w:val="0"/>
          <w:sz w:val="21"/>
          <w:szCs w:val="21"/>
          <w:lang w:val="en-US" w:eastAsia="zh-CN"/>
        </w:rPr>
        <w:t xml:space="preserve">  </w:t>
      </w:r>
    </w:p>
    <w:p>
      <w:pPr>
        <w:adjustRightInd w:val="0"/>
        <w:snapToGrid w:val="0"/>
        <w:ind w:firstLine="422"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（一）</w:t>
      </w:r>
      <w:r>
        <w:rPr>
          <w:rFonts w:hint="eastAsia" w:ascii="仿宋_GB2312" w:hAnsi="仿宋_GB2312" w:eastAsia="仿宋_GB2312" w:cs="仿宋_GB2312"/>
          <w:color w:val="auto"/>
          <w:sz w:val="21"/>
          <w:szCs w:val="21"/>
          <w:lang w:val="en-US" w:eastAsia="zh-CN"/>
        </w:rPr>
        <w:t>结算：</w:t>
      </w:r>
    </w:p>
    <w:p>
      <w:pPr>
        <w:adjustRightInd w:val="0"/>
        <w:snapToGrid w:val="0"/>
        <w:ind w:firstLine="420" w:firstLineChars="200"/>
        <w:rPr>
          <w:rFonts w:hint="eastAsia" w:ascii="仿宋_GB2312" w:hAnsi="仿宋_GB2312" w:eastAsia="仿宋_GB2312" w:cs="仿宋_GB2312"/>
          <w:color w:val="auto"/>
          <w:sz w:val="21"/>
          <w:szCs w:val="21"/>
          <w:lang w:val="sq-AL" w:eastAsia="zh-CN"/>
        </w:rPr>
      </w:pP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val="sq-AL" w:eastAsia="zh-CN"/>
        </w:rPr>
        <w:t>碳钢直立墙保产业务结算量以酒钢集团宏兴股份公司出具的碳钢钢渣产渣量为结算依据，含税</w:t>
      </w:r>
      <w:r>
        <w:rPr>
          <w:rFonts w:hint="eastAsia" w:ascii="仿宋_GB2312" w:hAnsi="仿宋_GB2312" w:eastAsia="仿宋_GB2312" w:cs="仿宋_GB2312"/>
          <w:color w:val="auto"/>
          <w:sz w:val="21"/>
          <w:szCs w:val="21"/>
          <w:lang w:val="en-US" w:eastAsia="zh-CN"/>
        </w:rPr>
        <w:t>6%</w:t>
      </w:r>
      <w:r>
        <w:rPr>
          <w:rFonts w:hint="eastAsia" w:ascii="仿宋_GB2312" w:hAnsi="仿宋_GB2312" w:eastAsia="仿宋_GB2312" w:cs="仿宋_GB2312"/>
          <w:color w:val="auto"/>
          <w:sz w:val="21"/>
          <w:szCs w:val="21"/>
          <w:lang w:val="sq-AL" w:eastAsia="zh-CN"/>
        </w:rPr>
        <w:t>。</w:t>
      </w:r>
    </w:p>
    <w:p>
      <w:pPr>
        <w:adjustRightInd w:val="0"/>
        <w:snapToGrid w:val="0"/>
        <w:ind w:firstLine="420" w:firstLineChars="200"/>
        <w:rPr>
          <w:rFonts w:hint="eastAsia" w:ascii="仿宋_GB2312" w:hAnsi="仿宋_GB2312" w:eastAsia="仿宋_GB2312" w:cs="仿宋_GB2312"/>
          <w:color w:val="auto"/>
          <w:sz w:val="21"/>
          <w:szCs w:val="21"/>
          <w:lang w:val="sq-AL"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sq-AL" w:eastAsia="zh-CN"/>
        </w:rPr>
        <w:t>按照润源公司结算通知单及合同中的结算单价，计算支付金额；待润源公司与股份公司的结算完成后，承包方根据合同及签字的结算通知单，开具增值税发票，送至发包方财务部核对；承包方在办理财务挂账后，发包方根据付款计划办理付款业务。</w:t>
      </w:r>
    </w:p>
    <w:p>
      <w:pPr>
        <w:adjustRightInd w:val="0"/>
        <w:snapToGrid w:val="0"/>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lang w:val="en-US" w:eastAsia="zh-CN"/>
        </w:rPr>
        <w:t>.承包方</w:t>
      </w:r>
      <w:r>
        <w:rPr>
          <w:rFonts w:hint="eastAsia" w:ascii="仿宋_GB2312" w:hAnsi="仿宋_GB2312" w:eastAsia="仿宋_GB2312" w:cs="仿宋_GB2312"/>
          <w:color w:val="auto"/>
          <w:sz w:val="21"/>
          <w:szCs w:val="21"/>
          <w:lang w:val="sq-AL" w:eastAsia="zh-CN"/>
        </w:rPr>
        <w:t>接到润源公司结算通知单后，向承包方</w:t>
      </w:r>
      <w:r>
        <w:rPr>
          <w:rFonts w:hint="eastAsia" w:ascii="仿宋_GB2312" w:hAnsi="仿宋_GB2312" w:eastAsia="仿宋_GB2312" w:cs="仿宋_GB2312"/>
          <w:color w:val="auto"/>
          <w:sz w:val="21"/>
          <w:szCs w:val="21"/>
          <w:lang w:val="en-US" w:eastAsia="zh-CN"/>
        </w:rPr>
        <w:t>开具增值税专用发票</w:t>
      </w:r>
      <w:r>
        <w:rPr>
          <w:rFonts w:hint="eastAsia" w:ascii="仿宋_GB2312" w:hAnsi="仿宋_GB2312" w:eastAsia="仿宋_GB2312" w:cs="仿宋_GB2312"/>
          <w:color w:val="auto"/>
          <w:sz w:val="21"/>
          <w:szCs w:val="21"/>
          <w:lang w:val="sq-AL" w:eastAsia="zh-CN"/>
        </w:rPr>
        <w:t>（发票注明合同号），</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val="en-US" w:eastAsia="zh-CN"/>
        </w:rPr>
        <w:t>日内送至发包方财务部</w:t>
      </w:r>
      <w:r>
        <w:rPr>
          <w:rFonts w:hint="eastAsia" w:ascii="仿宋_GB2312" w:hAnsi="仿宋_GB2312" w:eastAsia="仿宋_GB2312" w:cs="仿宋_GB2312"/>
          <w:color w:val="auto"/>
          <w:sz w:val="21"/>
          <w:szCs w:val="21"/>
          <w:lang w:val="en-US" w:eastAsia="zh-CN"/>
        </w:rPr>
        <w:t>门</w:t>
      </w:r>
      <w:r>
        <w:rPr>
          <w:rFonts w:hint="eastAsia" w:ascii="仿宋_GB2312" w:hAnsi="仿宋_GB2312" w:eastAsia="仿宋_GB2312" w:cs="仿宋_GB2312"/>
          <w:color w:val="auto"/>
          <w:sz w:val="21"/>
          <w:szCs w:val="21"/>
          <w:lang w:val="en-US" w:eastAsia="zh-CN"/>
        </w:rPr>
        <w:t>核对、挂账。如承包方未按时送达发票，</w:t>
      </w:r>
      <w:r>
        <w:rPr>
          <w:rFonts w:hint="eastAsia" w:ascii="仿宋_GB2312" w:hAnsi="仿宋_GB2312" w:eastAsia="仿宋_GB2312" w:cs="仿宋_GB2312"/>
          <w:color w:val="auto"/>
          <w:sz w:val="21"/>
          <w:szCs w:val="21"/>
          <w:lang w:val="en-US" w:eastAsia="zh-CN"/>
        </w:rPr>
        <w:t>责任</w:t>
      </w:r>
      <w:r>
        <w:rPr>
          <w:rFonts w:hint="eastAsia" w:ascii="仿宋_GB2312" w:hAnsi="仿宋_GB2312" w:eastAsia="仿宋_GB2312" w:cs="仿宋_GB2312"/>
          <w:color w:val="auto"/>
          <w:sz w:val="21"/>
          <w:szCs w:val="21"/>
          <w:lang w:val="en-US" w:eastAsia="zh-CN"/>
        </w:rPr>
        <w:t>由承包方承担。</w:t>
      </w:r>
    </w:p>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4</w:t>
      </w:r>
      <w:r>
        <w:rPr>
          <w:rFonts w:hint="eastAsia" w:ascii="仿宋_GB2312" w:hAnsi="仿宋_GB2312" w:eastAsia="仿宋_GB2312" w:cs="仿宋_GB2312"/>
          <w:b w:val="0"/>
          <w:bCs w:val="0"/>
          <w:color w:val="auto"/>
          <w:sz w:val="21"/>
          <w:szCs w:val="21"/>
          <w:lang w:val="en-US" w:eastAsia="zh-CN"/>
        </w:rPr>
        <w:t>.</w:t>
      </w:r>
      <w:r>
        <w:rPr>
          <w:rFonts w:hint="eastAsia" w:ascii="仿宋_GB2312" w:hAnsi="仿宋_GB2312" w:eastAsia="仿宋_GB2312" w:cs="仿宋_GB2312"/>
          <w:b w:val="0"/>
          <w:bCs w:val="0"/>
          <w:color w:val="auto"/>
          <w:sz w:val="21"/>
          <w:szCs w:val="21"/>
          <w:lang w:val="en-US" w:eastAsia="zh-CN"/>
        </w:rPr>
        <w:t>承包方负责所属业务的物料</w:t>
      </w:r>
      <w:r>
        <w:rPr>
          <w:rFonts w:hint="eastAsia" w:ascii="仿宋_GB2312" w:hAnsi="仿宋_GB2312" w:eastAsia="仿宋_GB2312" w:cs="仿宋_GB2312"/>
          <w:color w:val="auto"/>
          <w:sz w:val="21"/>
          <w:szCs w:val="21"/>
          <w:lang w:val="en-US" w:eastAsia="zh-CN"/>
        </w:rPr>
        <w:t>运输</w:t>
      </w:r>
      <w:r>
        <w:rPr>
          <w:rFonts w:hint="eastAsia" w:ascii="仿宋_GB2312" w:hAnsi="仿宋_GB2312" w:eastAsia="仿宋_GB2312" w:cs="仿宋_GB2312"/>
          <w:color w:val="auto"/>
          <w:sz w:val="21"/>
          <w:szCs w:val="21"/>
          <w:lang w:val="en-US" w:eastAsia="zh-CN"/>
        </w:rPr>
        <w:t>、起堆、推整</w:t>
      </w:r>
      <w:r>
        <w:rPr>
          <w:rFonts w:hint="eastAsia" w:ascii="仿宋_GB2312" w:hAnsi="仿宋_GB2312" w:eastAsia="仿宋_GB2312" w:cs="仿宋_GB2312"/>
          <w:color w:val="auto"/>
          <w:sz w:val="21"/>
          <w:szCs w:val="21"/>
          <w:lang w:val="en-US" w:eastAsia="zh-CN"/>
        </w:rPr>
        <w:t>等作业，发包方不另行支付费用</w:t>
      </w:r>
      <w:r>
        <w:rPr>
          <w:rFonts w:hint="eastAsia" w:ascii="仿宋_GB2312" w:hAnsi="仿宋_GB2312" w:eastAsia="仿宋_GB2312" w:cs="仿宋_GB2312"/>
          <w:color w:val="auto"/>
          <w:sz w:val="21"/>
          <w:szCs w:val="21"/>
          <w:lang w:val="en-US" w:eastAsia="zh-CN"/>
        </w:rPr>
        <w:t>。</w:t>
      </w:r>
    </w:p>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8.</w:t>
      </w:r>
      <w:r>
        <w:rPr>
          <w:rFonts w:hint="eastAsia" w:ascii="仿宋_GB2312" w:hAnsi="仿宋_GB2312" w:eastAsia="仿宋_GB2312" w:cs="仿宋_GB2312"/>
          <w:b w:val="0"/>
          <w:bCs w:val="0"/>
          <w:color w:val="auto"/>
          <w:sz w:val="21"/>
          <w:szCs w:val="21"/>
          <w:lang w:val="en-US" w:eastAsia="zh-CN"/>
        </w:rPr>
        <w:t>在合同签订</w:t>
      </w:r>
      <w:r>
        <w:rPr>
          <w:rFonts w:hint="eastAsia" w:ascii="仿宋_GB2312" w:hAnsi="仿宋_GB2312" w:eastAsia="仿宋_GB2312" w:cs="仿宋_GB2312"/>
          <w:b w:val="0"/>
          <w:bCs w:val="0"/>
          <w:color w:val="auto"/>
          <w:sz w:val="21"/>
          <w:szCs w:val="21"/>
          <w:lang w:val="en-US" w:eastAsia="zh-CN"/>
        </w:rPr>
        <w:t>后5</w:t>
      </w:r>
      <w:r>
        <w:rPr>
          <w:rFonts w:hint="eastAsia" w:ascii="仿宋_GB2312" w:hAnsi="仿宋_GB2312" w:eastAsia="仿宋_GB2312" w:cs="仿宋_GB2312"/>
          <w:b w:val="0"/>
          <w:bCs w:val="0"/>
          <w:color w:val="auto"/>
          <w:sz w:val="21"/>
          <w:szCs w:val="21"/>
          <w:lang w:val="en-US" w:eastAsia="zh-CN"/>
        </w:rPr>
        <w:t>个工作日内，承包方要</w:t>
      </w:r>
      <w:r>
        <w:rPr>
          <w:rFonts w:hint="eastAsia" w:ascii="仿宋_GB2312" w:hAnsi="仿宋_GB2312" w:eastAsia="仿宋_GB2312" w:cs="仿宋_GB2312"/>
          <w:b w:val="0"/>
          <w:bCs w:val="0"/>
          <w:color w:val="auto"/>
          <w:sz w:val="21"/>
          <w:szCs w:val="21"/>
          <w:lang w:val="en-US" w:eastAsia="zh-CN"/>
        </w:rPr>
        <w:t>按照</w:t>
      </w:r>
      <w:r>
        <w:rPr>
          <w:rFonts w:hint="eastAsia" w:ascii="仿宋_GB2312" w:hAnsi="仿宋_GB2312" w:eastAsia="仿宋_GB2312" w:cs="仿宋_GB2312"/>
          <w:b w:val="0"/>
          <w:bCs w:val="0"/>
          <w:color w:val="auto"/>
          <w:sz w:val="21"/>
          <w:szCs w:val="21"/>
          <w:lang w:val="en-US" w:eastAsia="zh-CN"/>
        </w:rPr>
        <w:t>合同</w:t>
      </w:r>
      <w:r>
        <w:rPr>
          <w:rFonts w:hint="eastAsia" w:ascii="仿宋_GB2312" w:hAnsi="仿宋_GB2312" w:eastAsia="仿宋_GB2312" w:cs="仿宋_GB2312"/>
          <w:b w:val="0"/>
          <w:bCs w:val="0"/>
          <w:color w:val="auto"/>
          <w:sz w:val="21"/>
          <w:szCs w:val="21"/>
          <w:lang w:val="en-US" w:eastAsia="zh-CN"/>
        </w:rPr>
        <w:t>要求</w:t>
      </w:r>
      <w:r>
        <w:rPr>
          <w:rFonts w:hint="eastAsia" w:ascii="仿宋_GB2312" w:hAnsi="仿宋_GB2312" w:eastAsia="仿宋_GB2312" w:cs="仿宋_GB2312"/>
          <w:b w:val="0"/>
          <w:bCs w:val="0"/>
          <w:color w:val="auto"/>
          <w:sz w:val="21"/>
          <w:szCs w:val="21"/>
          <w:lang w:val="en-US" w:eastAsia="zh-CN"/>
        </w:rPr>
        <w:t>向发包方缴纳</w:t>
      </w:r>
      <w:r>
        <w:rPr>
          <w:rFonts w:hint="eastAsia" w:ascii="仿宋_GB2312" w:hAnsi="仿宋_GB2312" w:eastAsia="仿宋_GB2312" w:cs="仿宋_GB2312"/>
          <w:b w:val="0"/>
          <w:bCs w:val="0"/>
          <w:color w:val="auto"/>
          <w:sz w:val="21"/>
          <w:szCs w:val="21"/>
          <w:lang w:val="en-US" w:eastAsia="zh-CN"/>
        </w:rPr>
        <w:t>合同</w:t>
      </w:r>
      <w:r>
        <w:rPr>
          <w:rFonts w:hint="eastAsia" w:ascii="仿宋_GB2312" w:hAnsi="仿宋_GB2312" w:eastAsia="仿宋_GB2312" w:cs="仿宋_GB2312"/>
          <w:b w:val="0"/>
          <w:bCs w:val="0"/>
          <w:color w:val="auto"/>
          <w:sz w:val="21"/>
          <w:szCs w:val="21"/>
          <w:highlight w:val="none"/>
          <w:lang w:val="en-US" w:eastAsia="zh-CN"/>
        </w:rPr>
        <w:t>履约保证金</w:t>
      </w:r>
      <w:r>
        <w:rPr>
          <w:rFonts w:hint="eastAsia" w:ascii="仿宋_GB2312" w:hAnsi="仿宋_GB2312" w:eastAsia="仿宋_GB2312" w:cs="仿宋_GB2312"/>
          <w:b w:val="0"/>
          <w:bCs w:val="0"/>
          <w:color w:val="auto"/>
          <w:sz w:val="21"/>
          <w:szCs w:val="21"/>
          <w:highlight w:val="none"/>
          <w:lang w:val="en-US" w:eastAsia="zh-CN"/>
        </w:rPr>
        <w:t>，</w:t>
      </w:r>
      <w:r>
        <w:rPr>
          <w:rFonts w:hint="eastAsia" w:ascii="仿宋_GB2312" w:hAnsi="仿宋_GB2312" w:eastAsia="仿宋_GB2312" w:cs="仿宋_GB2312"/>
          <w:b w:val="0"/>
          <w:bCs w:val="0"/>
          <w:color w:val="auto"/>
          <w:sz w:val="21"/>
          <w:szCs w:val="21"/>
          <w:highlight w:val="none"/>
          <w:lang w:val="en-US" w:eastAsia="zh-CN"/>
        </w:rPr>
        <w:t>履约保证金</w:t>
      </w:r>
      <w:r>
        <w:rPr>
          <w:rFonts w:hint="eastAsia" w:ascii="仿宋_GB2312" w:hAnsi="仿宋_GB2312" w:eastAsia="仿宋_GB2312" w:cs="仿宋_GB2312"/>
          <w:b w:val="0"/>
          <w:bCs w:val="0"/>
          <w:color w:val="auto"/>
          <w:sz w:val="21"/>
          <w:szCs w:val="21"/>
          <w:highlight w:val="none"/>
          <w:lang w:val="en-US" w:eastAsia="zh-CN"/>
        </w:rPr>
        <w:t>金额</w:t>
      </w:r>
      <w:r>
        <w:rPr>
          <w:rFonts w:hint="eastAsia" w:ascii="仿宋_GB2312" w:hAnsi="仿宋_GB2312" w:eastAsia="仿宋_GB2312" w:cs="仿宋_GB2312"/>
          <w:b w:val="0"/>
          <w:bCs w:val="0"/>
          <w:color w:val="auto"/>
          <w:sz w:val="21"/>
          <w:szCs w:val="21"/>
          <w:highlight w:val="none"/>
          <w:u w:val="single"/>
          <w:lang w:val="en-US" w:eastAsia="zh-CN"/>
        </w:rPr>
        <w:t>￥：300000元，人民币（大写）：叁拾万元整</w:t>
      </w:r>
      <w:r>
        <w:rPr>
          <w:rFonts w:hint="eastAsia" w:ascii="仿宋_GB2312" w:hAnsi="仿宋_GB2312" w:eastAsia="仿宋_GB2312" w:cs="仿宋_GB2312"/>
          <w:b w:val="0"/>
          <w:bCs w:val="0"/>
          <w:color w:val="auto"/>
          <w:sz w:val="21"/>
          <w:szCs w:val="21"/>
          <w:lang w:val="en-US" w:eastAsia="zh-CN"/>
        </w:rPr>
        <w:t>，待合同履行期结束，发包方确认作业现场无任何遗留问题，且所有的费用全部结算完成后，发包方在两个月内退还承包方，合同履约保证金不计息。</w:t>
      </w:r>
    </w:p>
    <w:p>
      <w:pPr>
        <w:adjustRightInd w:val="0"/>
        <w:snapToGrid w:val="0"/>
        <w:ind w:firstLine="422" w:firstLineChars="200"/>
        <w:rPr>
          <w:rFonts w:hint="eastAsia" w:ascii="仿宋_GB2312" w:hAnsi="仿宋_GB2312" w:eastAsia="仿宋_GB2312" w:cs="仿宋_GB2312"/>
          <w:b/>
          <w:bCs/>
          <w:color w:val="auto"/>
          <w:sz w:val="21"/>
          <w:szCs w:val="21"/>
          <w:lang w:val="sq-AL" w:eastAsia="zh-CN"/>
        </w:rPr>
      </w:pPr>
      <w:r>
        <w:rPr>
          <w:rFonts w:hint="eastAsia" w:ascii="仿宋_GB2312" w:hAnsi="仿宋_GB2312" w:eastAsia="仿宋_GB2312" w:cs="仿宋_GB2312"/>
          <w:b/>
          <w:bCs/>
          <w:color w:val="auto"/>
          <w:sz w:val="21"/>
          <w:szCs w:val="21"/>
          <w:lang w:val="sq-AL" w:eastAsia="zh-CN"/>
        </w:rPr>
        <w:t>（二）</w:t>
      </w:r>
      <w:r>
        <w:rPr>
          <w:rFonts w:hint="eastAsia" w:ascii="仿宋_GB2312" w:hAnsi="仿宋_GB2312" w:eastAsia="仿宋_GB2312" w:cs="仿宋_GB2312"/>
          <w:b/>
          <w:bCs/>
          <w:color w:val="auto"/>
          <w:sz w:val="21"/>
          <w:szCs w:val="21"/>
          <w:lang w:val="sq-AL" w:eastAsia="zh-CN"/>
        </w:rPr>
        <w:t>支付：</w:t>
      </w:r>
    </w:p>
    <w:p>
      <w:pPr>
        <w:adjustRightInd w:val="0"/>
        <w:snapToGrid w:val="0"/>
        <w:ind w:firstLine="420" w:firstLineChars="200"/>
        <w:rPr>
          <w:rFonts w:hint="eastAsia" w:ascii="仿宋_GB2312" w:hAnsi="仿宋_GB2312" w:eastAsia="仿宋_GB2312" w:cs="仿宋_GB2312"/>
          <w:color w:val="auto"/>
          <w:sz w:val="21"/>
          <w:szCs w:val="21"/>
          <w:lang w:val="sq-AL" w:eastAsia="zh-CN"/>
        </w:rPr>
      </w:pPr>
      <w:r>
        <w:rPr>
          <w:rFonts w:hint="eastAsia" w:ascii="仿宋_GB2312" w:hAnsi="仿宋_GB2312" w:eastAsia="仿宋_GB2312" w:cs="仿宋_GB2312"/>
          <w:color w:val="auto"/>
          <w:sz w:val="21"/>
          <w:szCs w:val="21"/>
          <w:lang w:val="en-US" w:eastAsia="zh-CN"/>
        </w:rPr>
        <w:t>1.承包</w:t>
      </w:r>
      <w:r>
        <w:rPr>
          <w:rFonts w:hint="eastAsia" w:ascii="仿宋_GB2312" w:hAnsi="仿宋_GB2312" w:eastAsia="仿宋_GB2312" w:cs="仿宋_GB2312"/>
          <w:color w:val="auto"/>
          <w:sz w:val="21"/>
          <w:szCs w:val="21"/>
          <w:lang w:val="sq-AL" w:eastAsia="zh-CN"/>
        </w:rPr>
        <w:t>方在办理财务挂账后，发包方根据资金支付计划办理付款业务。</w:t>
      </w:r>
    </w:p>
    <w:p>
      <w:pPr>
        <w:adjustRightInd w:val="0"/>
        <w:snapToGrid w:val="0"/>
        <w:ind w:firstLine="420" w:firstLineChars="200"/>
        <w:rPr>
          <w:rFonts w:hint="eastAsia" w:ascii="仿宋_GB2312" w:hAnsi="仿宋_GB2312" w:eastAsia="仿宋_GB2312" w:cs="仿宋_GB2312"/>
          <w:color w:val="auto"/>
          <w:kern w:val="28"/>
          <w:sz w:val="21"/>
          <w:szCs w:val="21"/>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val="sq-AL" w:eastAsia="zh-CN"/>
        </w:rPr>
        <w:t>付款方式：银行承兑和现汇，且承兑不低于</w:t>
      </w:r>
      <w:r>
        <w:rPr>
          <w:rFonts w:hint="eastAsia" w:ascii="仿宋_GB2312" w:hAnsi="仿宋_GB2312" w:eastAsia="仿宋_GB2312" w:cs="仿宋_GB2312"/>
          <w:color w:val="auto"/>
          <w:sz w:val="21"/>
          <w:szCs w:val="21"/>
          <w:lang w:val="en-US" w:eastAsia="zh-CN"/>
        </w:rPr>
        <w:t>70%</w:t>
      </w:r>
      <w:r>
        <w:rPr>
          <w:rFonts w:hint="eastAsia" w:ascii="仿宋_GB2312" w:hAnsi="仿宋_GB2312" w:eastAsia="仿宋_GB2312" w:cs="仿宋_GB2312"/>
          <w:color w:val="auto"/>
          <w:sz w:val="21"/>
          <w:szCs w:val="21"/>
          <w:lang w:val="sq-AL" w:eastAsia="zh-CN"/>
        </w:rPr>
        <w:t>。</w:t>
      </w:r>
    </w:p>
    <w:p>
      <w:pPr>
        <w:keepNext w:val="0"/>
        <w:keepLines w:val="0"/>
        <w:pageBreakBefore w:val="0"/>
        <w:widowControl w:val="0"/>
        <w:kinsoku/>
        <w:wordWrap/>
        <w:overflowPunct/>
        <w:topLinePunct w:val="0"/>
        <w:autoSpaceDE/>
        <w:autoSpaceDN/>
        <w:bidi w:val="0"/>
        <w:adjustRightInd w:val="0"/>
        <w:snapToGrid w:val="0"/>
        <w:spacing w:line="240" w:lineRule="exact"/>
        <w:ind w:right="0" w:rightChars="0" w:firstLine="422" w:firstLineChars="200"/>
        <w:jc w:val="both"/>
        <w:textAlignment w:val="auto"/>
        <w:outlineLvl w:val="9"/>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eastAsia="zh-CN"/>
        </w:rPr>
        <w:t>五</w:t>
      </w:r>
      <w:r>
        <w:rPr>
          <w:rFonts w:hint="eastAsia" w:ascii="仿宋_GB2312" w:hAnsi="仿宋_GB2312" w:eastAsia="仿宋_GB2312" w:cs="仿宋_GB2312"/>
          <w:b/>
          <w:bCs/>
          <w:sz w:val="21"/>
          <w:szCs w:val="21"/>
        </w:rPr>
        <w:t>、权利</w:t>
      </w:r>
      <w:r>
        <w:rPr>
          <w:rFonts w:hint="eastAsia" w:ascii="仿宋_GB2312" w:hAnsi="仿宋_GB2312" w:eastAsia="仿宋_GB2312" w:cs="仿宋_GB2312"/>
          <w:b/>
          <w:bCs/>
          <w:sz w:val="21"/>
          <w:szCs w:val="21"/>
          <w:lang w:eastAsia="zh-CN"/>
        </w:rPr>
        <w:t>及义务</w:t>
      </w:r>
    </w:p>
    <w:p>
      <w:pPr>
        <w:adjustRightInd w:val="0"/>
        <w:snapToGrid w:val="0"/>
        <w:spacing w:line="240" w:lineRule="auto"/>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（一）发包方的权利和义务：</w:t>
      </w:r>
    </w:p>
    <w:p>
      <w:pPr>
        <w:spacing w:line="240" w:lineRule="auto"/>
        <w:ind w:firstLine="420" w:firstLineChars="200"/>
        <w:rPr>
          <w:rFonts w:hint="eastAsia" w:ascii="仿宋_GB2312" w:hAnsi="仿宋_GB2312" w:eastAsia="仿宋_GB2312" w:cs="仿宋_GB2312"/>
          <w:color w:val="auto"/>
          <w:kern w:val="28"/>
          <w:sz w:val="21"/>
          <w:szCs w:val="21"/>
          <w:lang w:val="en-US" w:eastAsia="zh-CN"/>
        </w:rPr>
      </w:pPr>
      <w:r>
        <w:rPr>
          <w:rFonts w:hint="eastAsia" w:ascii="仿宋_GB2312" w:hAnsi="仿宋_GB2312" w:eastAsia="仿宋_GB2312" w:cs="仿宋_GB2312"/>
          <w:color w:val="auto"/>
          <w:kern w:val="28"/>
          <w:sz w:val="21"/>
          <w:szCs w:val="21"/>
          <w:lang w:val="en-US" w:eastAsia="zh-CN"/>
        </w:rPr>
        <w:t>1.</w:t>
      </w:r>
      <w:r>
        <w:rPr>
          <w:rFonts w:hint="eastAsia" w:ascii="仿宋_GB2312" w:hAnsi="仿宋_GB2312" w:eastAsia="仿宋_GB2312" w:cs="仿宋_GB2312"/>
          <w:color w:val="auto"/>
          <w:sz w:val="21"/>
          <w:szCs w:val="21"/>
          <w:lang w:val="en-US" w:eastAsia="zh-CN"/>
        </w:rPr>
        <w:t>发包方对股份公司产生的碳钢钢渣、承包方</w:t>
      </w:r>
      <w:r>
        <w:rPr>
          <w:rFonts w:hint="eastAsia" w:ascii="仿宋_GB2312" w:hAnsi="仿宋_GB2312" w:eastAsia="仿宋_GB2312" w:cs="仿宋_GB2312"/>
          <w:color w:val="auto"/>
          <w:sz w:val="21"/>
          <w:szCs w:val="21"/>
          <w:lang w:val="en-US" w:eastAsia="zh-CN"/>
        </w:rPr>
        <w:t>运输</w:t>
      </w:r>
      <w:r>
        <w:rPr>
          <w:rFonts w:hint="eastAsia" w:ascii="仿宋_GB2312" w:hAnsi="仿宋_GB2312" w:eastAsia="仿宋_GB2312" w:cs="仿宋_GB2312"/>
          <w:color w:val="auto"/>
          <w:sz w:val="21"/>
          <w:szCs w:val="21"/>
          <w:lang w:val="en-US" w:eastAsia="zh-CN"/>
        </w:rPr>
        <w:t>的碳钢</w:t>
      </w:r>
      <w:r>
        <w:rPr>
          <w:rFonts w:hint="eastAsia" w:ascii="仿宋_GB2312" w:hAnsi="仿宋_GB2312" w:eastAsia="仿宋_GB2312" w:cs="仿宋_GB2312"/>
          <w:color w:val="auto"/>
          <w:sz w:val="21"/>
          <w:szCs w:val="21"/>
          <w:lang w:val="en-US" w:eastAsia="zh-CN"/>
        </w:rPr>
        <w:t>钢渣</w:t>
      </w:r>
      <w:r>
        <w:rPr>
          <w:rFonts w:hint="eastAsia" w:ascii="仿宋_GB2312" w:hAnsi="仿宋_GB2312" w:eastAsia="仿宋_GB2312" w:cs="仿宋_GB2312"/>
          <w:color w:val="auto"/>
          <w:sz w:val="21"/>
          <w:szCs w:val="21"/>
          <w:lang w:val="en-US" w:eastAsia="zh-CN"/>
        </w:rPr>
        <w:t>有最终处置权。</w:t>
      </w:r>
    </w:p>
    <w:p>
      <w:pPr>
        <w:spacing w:line="240" w:lineRule="auto"/>
        <w:ind w:firstLine="420" w:firstLineChars="200"/>
        <w:rPr>
          <w:rFonts w:hint="eastAsia" w:ascii="仿宋_GB2312" w:hAnsi="仿宋_GB2312" w:eastAsia="仿宋_GB2312" w:cs="仿宋_GB2312"/>
          <w:color w:val="auto"/>
          <w:kern w:val="28"/>
          <w:sz w:val="21"/>
          <w:szCs w:val="21"/>
          <w:lang w:val="en-US" w:eastAsia="zh-CN"/>
        </w:rPr>
      </w:pPr>
      <w:r>
        <w:rPr>
          <w:rFonts w:hint="eastAsia" w:ascii="仿宋_GB2312" w:hAnsi="仿宋_GB2312" w:eastAsia="仿宋_GB2312" w:cs="仿宋_GB2312"/>
          <w:color w:val="auto"/>
          <w:kern w:val="28"/>
          <w:sz w:val="21"/>
          <w:szCs w:val="21"/>
          <w:lang w:val="en-US" w:eastAsia="zh-CN"/>
        </w:rPr>
        <w:t>2.发包方有权对承包方的作业车辆和人员的作业资质、相关法定手续进行检查，对不符合国家法律法规和发包方管理内容要求的有权要求承包方进行整改或清退</w:t>
      </w:r>
      <w:r>
        <w:rPr>
          <w:rFonts w:hint="eastAsia" w:ascii="仿宋_GB2312" w:hAnsi="仿宋_GB2312" w:eastAsia="仿宋_GB2312" w:cs="仿宋_GB2312"/>
          <w:color w:val="auto"/>
          <w:kern w:val="28"/>
          <w:sz w:val="21"/>
          <w:szCs w:val="21"/>
          <w:lang w:val="en-US" w:eastAsia="zh-CN"/>
        </w:rPr>
        <w:t>。</w:t>
      </w:r>
    </w:p>
    <w:p>
      <w:pPr>
        <w:spacing w:line="240" w:lineRule="auto"/>
        <w:rPr>
          <w:rFonts w:hint="eastAsia" w:ascii="仿宋_GB2312" w:hAnsi="仿宋_GB2312" w:eastAsia="仿宋_GB2312" w:cs="仿宋_GB2312"/>
          <w:color w:val="auto"/>
          <w:kern w:val="28"/>
          <w:sz w:val="21"/>
          <w:szCs w:val="21"/>
          <w:lang w:val="en-US" w:eastAsia="zh-CN"/>
        </w:rPr>
      </w:pPr>
      <w:r>
        <w:rPr>
          <w:rFonts w:hint="eastAsia" w:ascii="仿宋_GB2312" w:hAnsi="仿宋_GB2312" w:eastAsia="仿宋_GB2312" w:cs="仿宋_GB2312"/>
          <w:color w:val="auto"/>
          <w:kern w:val="28"/>
          <w:sz w:val="21"/>
          <w:szCs w:val="21"/>
          <w:lang w:val="en-US" w:eastAsia="zh-CN"/>
        </w:rPr>
        <w:t xml:space="preserve">    3.发包方现场监管人员有权对承包方各项作业进行管理和监督；有权对承包方的保产装运、物料堆存、现场管理、安全管理、环保及综合治理等情况进行检查，并依据检查结果向承包方提出整改要求，同时有权扣除承包方违约金。</w:t>
      </w:r>
    </w:p>
    <w:p>
      <w:pPr>
        <w:keepNext w:val="0"/>
        <w:keepLines w:val="0"/>
        <w:pageBreakBefore w:val="0"/>
        <w:widowControl w:val="0"/>
        <w:kinsoku/>
        <w:wordWrap/>
        <w:overflowPunct/>
        <w:topLinePunct w:val="0"/>
        <w:autoSpaceDE/>
        <w:autoSpaceDN/>
        <w:bidi w:val="0"/>
        <w:spacing w:line="240" w:lineRule="auto"/>
        <w:ind w:right="0" w:rightChars="0"/>
        <w:outlineLvl w:val="9"/>
        <w:rPr>
          <w:rFonts w:hint="eastAsia" w:ascii="仿宋_GB2312" w:hAnsi="仿宋_GB2312" w:eastAsia="仿宋_GB2312" w:cs="仿宋_GB2312"/>
          <w:color w:val="auto"/>
          <w:kern w:val="28"/>
          <w:sz w:val="21"/>
          <w:szCs w:val="21"/>
          <w:lang w:val="en-US" w:eastAsia="zh-CN"/>
        </w:rPr>
      </w:pPr>
      <w:r>
        <w:rPr>
          <w:rFonts w:hint="eastAsia" w:ascii="仿宋_GB2312" w:hAnsi="仿宋_GB2312" w:eastAsia="仿宋_GB2312" w:cs="仿宋_GB2312"/>
          <w:color w:val="auto"/>
          <w:kern w:val="28"/>
          <w:sz w:val="21"/>
          <w:szCs w:val="21"/>
          <w:lang w:val="en-US" w:eastAsia="zh-CN"/>
        </w:rPr>
        <w:t xml:space="preserve">    4.发包方对承包方保产装运、物料堆存、现场管理等作业质量和业绩评价指标主要为保产运输的及时性、运输现场以及运输道路的卫生情况、</w:t>
      </w:r>
      <w:r>
        <w:rPr>
          <w:rFonts w:hint="eastAsia" w:ascii="仿宋_GB2312" w:hAnsi="仿宋_GB2312" w:eastAsia="仿宋_GB2312" w:cs="仿宋_GB2312"/>
          <w:color w:val="auto"/>
          <w:kern w:val="28"/>
          <w:sz w:val="21"/>
          <w:szCs w:val="21"/>
          <w:lang w:val="en-US" w:eastAsia="zh-CN"/>
        </w:rPr>
        <w:t>安全环保管理、综合治理、</w:t>
      </w:r>
      <w:r>
        <w:rPr>
          <w:rFonts w:hint="eastAsia" w:ascii="仿宋_GB2312" w:hAnsi="仿宋_GB2312" w:eastAsia="仿宋_GB2312" w:cs="仿宋_GB2312"/>
          <w:color w:val="auto"/>
          <w:kern w:val="28"/>
          <w:sz w:val="21"/>
          <w:szCs w:val="21"/>
          <w:lang w:val="en-US" w:eastAsia="zh-CN"/>
        </w:rPr>
        <w:t>现场文明作业等方面。发包方有权对保产装运、生产加工、物料堆存过程中发生的物料缺失、混装、撒料、扬尘、不按规定装卸、</w:t>
      </w:r>
      <w:r>
        <w:rPr>
          <w:rFonts w:hint="eastAsia" w:ascii="仿宋_GB2312" w:hAnsi="仿宋_GB2312" w:eastAsia="仿宋_GB2312" w:cs="仿宋_GB2312"/>
          <w:color w:val="auto"/>
          <w:kern w:val="28"/>
          <w:sz w:val="21"/>
          <w:szCs w:val="21"/>
          <w:lang w:val="en-US" w:eastAsia="zh-CN"/>
        </w:rPr>
        <w:t>运输、堆存</w:t>
      </w:r>
      <w:r>
        <w:rPr>
          <w:rFonts w:hint="eastAsia" w:ascii="仿宋_GB2312" w:hAnsi="仿宋_GB2312" w:eastAsia="仿宋_GB2312" w:cs="仿宋_GB2312"/>
          <w:color w:val="auto"/>
          <w:kern w:val="28"/>
          <w:sz w:val="21"/>
          <w:szCs w:val="21"/>
          <w:lang w:val="en-US" w:eastAsia="zh-CN"/>
        </w:rPr>
        <w:t>等各种违规违纪行为进行管理并扣除承包方违约金。</w:t>
      </w:r>
    </w:p>
    <w:p>
      <w:pPr>
        <w:spacing w:line="240" w:lineRule="auto"/>
        <w:rPr>
          <w:rFonts w:hint="eastAsia" w:ascii="仿宋_GB2312" w:hAnsi="仿宋_GB2312" w:eastAsia="仿宋_GB2312" w:cs="仿宋_GB2312"/>
          <w:color w:val="auto"/>
          <w:kern w:val="28"/>
          <w:sz w:val="21"/>
          <w:szCs w:val="21"/>
          <w:lang w:val="en-US" w:eastAsia="zh-CN"/>
        </w:rPr>
      </w:pPr>
      <w:r>
        <w:rPr>
          <w:rFonts w:hint="eastAsia" w:ascii="仿宋_GB2312" w:hAnsi="仿宋_GB2312" w:eastAsia="仿宋_GB2312" w:cs="仿宋_GB2312"/>
          <w:color w:val="auto"/>
          <w:kern w:val="28"/>
          <w:sz w:val="21"/>
          <w:szCs w:val="21"/>
          <w:lang w:val="en-US" w:eastAsia="zh-CN"/>
        </w:rPr>
        <w:t xml:space="preserve">    5.发包方有权对承包方的作业车辆进行调配。</w:t>
      </w:r>
    </w:p>
    <w:p>
      <w:pPr>
        <w:numPr>
          <w:ilvl w:val="0"/>
          <w:numId w:val="0"/>
        </w:numPr>
        <w:spacing w:line="240" w:lineRule="auto"/>
        <w:ind w:firstLine="420" w:firstLineChars="200"/>
        <w:rPr>
          <w:rFonts w:hint="eastAsia" w:ascii="仿宋_GB2312" w:hAnsi="仿宋_GB2312" w:eastAsia="仿宋_GB2312" w:cs="仿宋_GB2312"/>
          <w:color w:val="auto"/>
          <w:kern w:val="28"/>
          <w:sz w:val="21"/>
          <w:szCs w:val="21"/>
          <w:lang w:val="en-US" w:eastAsia="zh-CN"/>
        </w:rPr>
      </w:pPr>
      <w:r>
        <w:rPr>
          <w:rFonts w:hint="eastAsia" w:ascii="仿宋_GB2312" w:hAnsi="仿宋_GB2312" w:eastAsia="仿宋_GB2312" w:cs="仿宋_GB2312"/>
          <w:color w:val="auto"/>
          <w:kern w:val="28"/>
          <w:sz w:val="21"/>
          <w:szCs w:val="21"/>
          <w:lang w:val="en-US" w:eastAsia="zh-CN"/>
        </w:rPr>
        <w:t>6.</w:t>
      </w:r>
      <w:r>
        <w:rPr>
          <w:rFonts w:hint="eastAsia" w:ascii="仿宋_GB2312" w:hAnsi="仿宋_GB2312" w:eastAsia="仿宋_GB2312" w:cs="仿宋_GB2312"/>
          <w:color w:val="auto"/>
          <w:sz w:val="21"/>
          <w:szCs w:val="21"/>
          <w:lang w:val="en-US" w:eastAsia="zh-CN"/>
        </w:rPr>
        <w:t>发包方按酒钢集团公司规定协助承包方办理相关的车辆和人员入厂事宜</w:t>
      </w:r>
      <w:r>
        <w:rPr>
          <w:rFonts w:hint="eastAsia" w:ascii="仿宋_GB2312" w:hAnsi="仿宋_GB2312" w:eastAsia="仿宋_GB2312" w:cs="仿宋_GB2312"/>
          <w:color w:val="auto"/>
          <w:kern w:val="28"/>
          <w:sz w:val="21"/>
          <w:szCs w:val="21"/>
          <w:lang w:val="en-US" w:eastAsia="zh-CN"/>
        </w:rPr>
        <w:t>。</w:t>
      </w:r>
    </w:p>
    <w:p>
      <w:pPr>
        <w:numPr>
          <w:ilvl w:val="0"/>
          <w:numId w:val="0"/>
        </w:numPr>
        <w:spacing w:line="240" w:lineRule="auto"/>
        <w:ind w:firstLine="420" w:firstLineChars="200"/>
        <w:rPr>
          <w:rFonts w:hint="eastAsia" w:ascii="仿宋_GB2312" w:hAnsi="仿宋_GB2312" w:eastAsia="仿宋_GB2312" w:cs="仿宋_GB2312"/>
          <w:color w:val="auto"/>
          <w:kern w:val="28"/>
          <w:sz w:val="21"/>
          <w:szCs w:val="21"/>
          <w:lang w:val="en-US" w:eastAsia="zh-CN"/>
        </w:rPr>
      </w:pPr>
      <w:r>
        <w:rPr>
          <w:rFonts w:hint="eastAsia" w:ascii="仿宋_GB2312" w:hAnsi="仿宋_GB2312" w:eastAsia="仿宋_GB2312" w:cs="仿宋_GB2312"/>
          <w:color w:val="auto"/>
          <w:kern w:val="28"/>
          <w:sz w:val="21"/>
          <w:szCs w:val="21"/>
          <w:lang w:val="en-US" w:eastAsia="zh-CN"/>
        </w:rPr>
        <w:t>7.发包方负碳钢直立墙供水、供电等相关业务的协调，确保供水、供电等正常。</w:t>
      </w:r>
    </w:p>
    <w:p>
      <w:pPr>
        <w:numPr>
          <w:ilvl w:val="0"/>
          <w:numId w:val="0"/>
        </w:numPr>
        <w:spacing w:line="240" w:lineRule="auto"/>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（二）承包方的权利和义务：</w:t>
      </w:r>
    </w:p>
    <w:p>
      <w:pPr>
        <w:adjustRightInd w:val="0"/>
        <w:snapToGrid w:val="0"/>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val="en-US" w:eastAsia="zh-CN"/>
        </w:rPr>
        <w:t>承包方应保证其作业不影响</w:t>
      </w:r>
      <w:r>
        <w:rPr>
          <w:rFonts w:hint="eastAsia" w:ascii="仿宋_GB2312" w:hAnsi="仿宋_GB2312" w:eastAsia="仿宋_GB2312" w:cs="仿宋_GB2312"/>
          <w:color w:val="auto"/>
          <w:sz w:val="21"/>
          <w:szCs w:val="21"/>
          <w:lang w:val="en-US" w:eastAsia="zh-CN"/>
        </w:rPr>
        <w:t>运输部</w:t>
      </w:r>
      <w:r>
        <w:rPr>
          <w:rFonts w:hint="eastAsia" w:ascii="仿宋_GB2312" w:hAnsi="仿宋_GB2312" w:eastAsia="仿宋_GB2312" w:cs="仿宋_GB2312"/>
          <w:color w:val="auto"/>
          <w:sz w:val="21"/>
          <w:szCs w:val="21"/>
          <w:lang w:val="en-US" w:eastAsia="zh-CN"/>
        </w:rPr>
        <w:t>火车翻渣作业，必须保证有不间断的翻渣货位，</w:t>
      </w:r>
      <w:r>
        <w:rPr>
          <w:rFonts w:hint="eastAsia" w:ascii="仿宋_GB2312" w:hAnsi="仿宋_GB2312" w:eastAsia="仿宋_GB2312" w:cs="仿宋_GB2312"/>
          <w:color w:val="auto"/>
          <w:sz w:val="21"/>
          <w:szCs w:val="21"/>
          <w:lang w:val="en-US" w:eastAsia="zh-CN"/>
        </w:rPr>
        <w:t>货位</w:t>
      </w:r>
      <w:r>
        <w:rPr>
          <w:rFonts w:hint="eastAsia" w:ascii="仿宋_GB2312" w:hAnsi="仿宋_GB2312" w:eastAsia="仿宋_GB2312" w:cs="仿宋_GB2312"/>
          <w:color w:val="auto"/>
          <w:sz w:val="21"/>
          <w:szCs w:val="21"/>
          <w:lang w:val="en-US" w:eastAsia="zh-CN"/>
        </w:rPr>
        <w:t>地面不得有积水</w:t>
      </w:r>
      <w:r>
        <w:rPr>
          <w:rFonts w:hint="eastAsia" w:ascii="仿宋_GB2312" w:hAnsi="仿宋_GB2312" w:eastAsia="仿宋_GB2312" w:cs="仿宋_GB2312"/>
          <w:color w:val="auto"/>
          <w:sz w:val="21"/>
          <w:szCs w:val="21"/>
          <w:lang w:val="en-US" w:eastAsia="zh-CN"/>
        </w:rPr>
        <w:t>、结冰等</w:t>
      </w:r>
      <w:r>
        <w:rPr>
          <w:rFonts w:hint="eastAsia" w:ascii="仿宋_GB2312" w:hAnsi="仿宋_GB2312" w:eastAsia="仿宋_GB2312" w:cs="仿宋_GB2312"/>
          <w:color w:val="auto"/>
          <w:sz w:val="21"/>
          <w:szCs w:val="21"/>
          <w:lang w:val="en-US" w:eastAsia="zh-CN"/>
        </w:rPr>
        <w:t>；冬季打水冷却时不得将水喷到直立墙钢渣翻卸铁道上，防止结冰，危及行车安全，否则一切后果均由承包方承担。</w:t>
      </w:r>
    </w:p>
    <w:p>
      <w:pPr>
        <w:adjustRightInd w:val="0"/>
        <w:snapToGrid w:val="0"/>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val="en-US" w:eastAsia="zh-CN"/>
        </w:rPr>
        <w:t>承包方必须24小时有人在现场保产作业，承包方不得私自移动运渣罐车，因承包方原因造成运钢渣罐车脱轨、损坏</w:t>
      </w:r>
      <w:r>
        <w:rPr>
          <w:rFonts w:hint="eastAsia" w:ascii="仿宋_GB2312" w:hAnsi="仿宋_GB2312" w:eastAsia="仿宋_GB2312" w:cs="仿宋_GB2312"/>
          <w:color w:val="auto"/>
          <w:sz w:val="21"/>
          <w:szCs w:val="21"/>
          <w:lang w:val="en-US" w:eastAsia="zh-CN"/>
        </w:rPr>
        <w:t>或</w:t>
      </w:r>
      <w:r>
        <w:rPr>
          <w:rFonts w:hint="eastAsia" w:ascii="仿宋_GB2312" w:hAnsi="仿宋_GB2312" w:eastAsia="仿宋_GB2312" w:cs="仿宋_GB2312"/>
          <w:color w:val="auto"/>
          <w:sz w:val="21"/>
          <w:szCs w:val="21"/>
          <w:lang w:val="en-US" w:eastAsia="zh-CN"/>
        </w:rPr>
        <w:t>其它设施损坏时，不得私自处理，必须报发包方处理，同时承包方承担所有经济损失；凡因承包方原因影响火车</w:t>
      </w:r>
      <w:r>
        <w:rPr>
          <w:rFonts w:hint="eastAsia" w:ascii="仿宋_GB2312" w:hAnsi="仿宋_GB2312" w:eastAsia="仿宋_GB2312" w:cs="仿宋_GB2312"/>
          <w:color w:val="auto"/>
          <w:sz w:val="21"/>
          <w:szCs w:val="21"/>
          <w:lang w:val="en-US" w:eastAsia="zh-CN"/>
        </w:rPr>
        <w:t>运输的</w:t>
      </w:r>
      <w:r>
        <w:rPr>
          <w:rFonts w:hint="eastAsia" w:ascii="仿宋_GB2312" w:hAnsi="仿宋_GB2312" w:eastAsia="仿宋_GB2312" w:cs="仿宋_GB2312"/>
          <w:color w:val="auto"/>
          <w:sz w:val="21"/>
          <w:szCs w:val="21"/>
          <w:lang w:val="en-US" w:eastAsia="zh-CN"/>
        </w:rPr>
        <w:t>，产生的一切费用和影响生产的责任均由承包方承担。</w:t>
      </w:r>
    </w:p>
    <w:p>
      <w:pPr>
        <w:adjustRightInd w:val="0"/>
        <w:snapToGrid w:val="0"/>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3、承包方必须确保各型保产、运输车辆充足，不得因此影响直立墙保产或各生产线的正常生产。</w:t>
      </w:r>
    </w:p>
    <w:p>
      <w:pPr>
        <w:adjustRightInd w:val="0"/>
        <w:snapToGrid w:val="0"/>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4.承包方必须按照发包方的要求进行各项作业，对各种物料的运输、堆存、推整等必须符合发包方的要求。</w:t>
      </w:r>
    </w:p>
    <w:p>
      <w:pPr>
        <w:adjustRightInd w:val="0"/>
        <w:snapToGrid w:val="0"/>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5.承包方必须严格执行发包方的运输计划，未经发包方同意，不得私自运输、堆存物料或进行其他作业。</w:t>
      </w:r>
    </w:p>
    <w:p>
      <w:pPr>
        <w:adjustRightInd w:val="0"/>
        <w:snapToGrid w:val="0"/>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w:t>
      </w:r>
      <w:r>
        <w:rPr>
          <w:rFonts w:hint="eastAsia" w:ascii="仿宋_GB2312" w:hAnsi="仿宋_GB2312" w:eastAsia="仿宋_GB2312" w:cs="仿宋_GB2312"/>
          <w:color w:val="auto"/>
          <w:sz w:val="21"/>
          <w:szCs w:val="21"/>
          <w:lang w:val="en-US" w:eastAsia="zh-CN"/>
        </w:rPr>
        <w:t>承包方负责碳钢钢渣的保管，不得倒卖、外流、出厂并防止被偷盗或者有其他不合理的损失产生，否则承包方负责赔偿发包方所有损失，同时发包方有权终止合同不承担违约责任。</w:t>
      </w:r>
    </w:p>
    <w:p>
      <w:pPr>
        <w:adjustRightInd w:val="0"/>
        <w:snapToGrid w:val="0"/>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w:t>
      </w:r>
      <w:r>
        <w:rPr>
          <w:rFonts w:hint="eastAsia" w:ascii="仿宋_GB2312" w:hAnsi="仿宋_GB2312" w:eastAsia="仿宋_GB2312" w:cs="仿宋_GB2312"/>
          <w:color w:val="auto"/>
          <w:sz w:val="21"/>
          <w:szCs w:val="21"/>
          <w:lang w:val="en-US" w:eastAsia="zh-CN"/>
        </w:rPr>
        <w:t>承包方作业所需的配套设备、设施要符合国家环保法律、法规、标准的要求，同时应具备合同实施涉及的相应资质</w:t>
      </w:r>
    </w:p>
    <w:p>
      <w:pPr>
        <w:adjustRightInd w:val="0"/>
        <w:snapToGrid w:val="0"/>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w:t>
      </w:r>
      <w:r>
        <w:rPr>
          <w:rFonts w:hint="eastAsia" w:ascii="仿宋_GB2312" w:hAnsi="仿宋_GB2312" w:eastAsia="仿宋_GB2312" w:cs="仿宋_GB2312"/>
          <w:color w:val="auto"/>
          <w:sz w:val="21"/>
          <w:szCs w:val="21"/>
          <w:lang w:val="en-US" w:eastAsia="zh-CN"/>
        </w:rPr>
        <w:t>承包方禁止使用国家明令淘汰的、落后、高耗能的设备、设施、工艺。</w:t>
      </w:r>
    </w:p>
    <w:p>
      <w:pPr>
        <w:adjustRightInd w:val="0"/>
        <w:snapToGrid w:val="0"/>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9.</w:t>
      </w:r>
      <w:r>
        <w:rPr>
          <w:rFonts w:hint="eastAsia" w:ascii="仿宋_GB2312" w:hAnsi="仿宋_GB2312" w:eastAsia="仿宋_GB2312" w:cs="仿宋_GB2312"/>
          <w:color w:val="auto"/>
          <w:sz w:val="21"/>
          <w:szCs w:val="21"/>
          <w:lang w:val="en-US" w:eastAsia="zh-CN"/>
        </w:rPr>
        <w:t>承包方负责作业现场的各类生产、生活设备设施的完好性，并负责日常的点检维护，保证能随时投入使用。</w:t>
      </w:r>
    </w:p>
    <w:p>
      <w:pPr>
        <w:adjustRightInd w:val="0"/>
        <w:snapToGrid w:val="0"/>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w:t>
      </w:r>
      <w:r>
        <w:rPr>
          <w:rFonts w:hint="eastAsia" w:ascii="仿宋_GB2312" w:hAnsi="仿宋_GB2312" w:eastAsia="仿宋_GB2312" w:cs="仿宋_GB2312"/>
          <w:color w:val="auto"/>
          <w:sz w:val="21"/>
          <w:szCs w:val="21"/>
          <w:lang w:val="en-US" w:eastAsia="zh-CN"/>
        </w:rPr>
        <w:t>承包方负责其作业区域和发包方指定的相关方卫生区域的清洁、清理等工作。</w:t>
      </w:r>
    </w:p>
    <w:p>
      <w:pPr>
        <w:adjustRightInd w:val="0"/>
        <w:snapToGrid w:val="0"/>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11.</w:t>
      </w:r>
      <w:r>
        <w:rPr>
          <w:rFonts w:hint="eastAsia" w:ascii="仿宋_GB2312" w:hAnsi="仿宋_GB2312" w:eastAsia="仿宋_GB2312" w:cs="仿宋_GB2312"/>
          <w:color w:val="auto"/>
          <w:sz w:val="21"/>
          <w:szCs w:val="21"/>
          <w:lang w:val="en-US" w:eastAsia="zh-CN"/>
        </w:rPr>
        <w:t>承包方应按照发包方要求安全、规范、合理、节约的使用电力、水等能源介质，做好保产能源介质管道及其电力设施的保护工作，禁止将能源介质及其设施私自转给第三方使用。</w:t>
      </w:r>
    </w:p>
    <w:p>
      <w:pPr>
        <w:adjustRightInd w:val="0"/>
        <w:snapToGrid w:val="0"/>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12.</w:t>
      </w:r>
      <w:r>
        <w:rPr>
          <w:rFonts w:hint="eastAsia" w:ascii="仿宋_GB2312" w:hAnsi="仿宋_GB2312" w:eastAsia="仿宋_GB2312" w:cs="仿宋_GB2312"/>
          <w:color w:val="auto"/>
          <w:sz w:val="21"/>
          <w:szCs w:val="21"/>
          <w:lang w:val="en-US" w:eastAsia="zh-CN"/>
        </w:rPr>
        <w:t>承包方</w:t>
      </w:r>
      <w:r>
        <w:rPr>
          <w:rFonts w:hint="eastAsia" w:ascii="仿宋_GB2312" w:hAnsi="仿宋_GB2312" w:eastAsia="仿宋_GB2312" w:cs="仿宋_GB2312"/>
          <w:color w:val="auto"/>
          <w:sz w:val="21"/>
          <w:szCs w:val="21"/>
        </w:rPr>
        <w:t>应服从</w:t>
      </w:r>
      <w:r>
        <w:rPr>
          <w:rFonts w:hint="eastAsia" w:ascii="仿宋_GB2312" w:hAnsi="仿宋_GB2312" w:eastAsia="仿宋_GB2312" w:cs="仿宋_GB2312"/>
          <w:color w:val="auto"/>
          <w:sz w:val="21"/>
          <w:szCs w:val="21"/>
          <w:lang w:eastAsia="zh-CN"/>
        </w:rPr>
        <w:t>发包方</w:t>
      </w:r>
      <w:r>
        <w:rPr>
          <w:rFonts w:hint="eastAsia" w:ascii="仿宋_GB2312" w:hAnsi="仿宋_GB2312" w:eastAsia="仿宋_GB2312" w:cs="仿宋_GB2312"/>
          <w:color w:val="auto"/>
          <w:sz w:val="21"/>
          <w:szCs w:val="21"/>
        </w:rPr>
        <w:t>的工作安排，</w:t>
      </w:r>
      <w:r>
        <w:rPr>
          <w:rFonts w:hint="eastAsia" w:ascii="仿宋_GB2312" w:hAnsi="仿宋_GB2312" w:eastAsia="仿宋_GB2312" w:cs="仿宋_GB2312"/>
          <w:color w:val="auto"/>
          <w:sz w:val="21"/>
          <w:szCs w:val="21"/>
          <w:lang w:eastAsia="zh-CN"/>
        </w:rPr>
        <w:t>发包方</w:t>
      </w:r>
      <w:r>
        <w:rPr>
          <w:rFonts w:hint="eastAsia" w:ascii="仿宋_GB2312" w:hAnsi="仿宋_GB2312" w:eastAsia="仿宋_GB2312" w:cs="仿宋_GB2312"/>
          <w:color w:val="auto"/>
          <w:sz w:val="21"/>
          <w:szCs w:val="21"/>
        </w:rPr>
        <w:t>需要临时调配</w:t>
      </w:r>
      <w:r>
        <w:rPr>
          <w:rFonts w:hint="eastAsia" w:ascii="仿宋_GB2312" w:hAnsi="仿宋_GB2312" w:eastAsia="仿宋_GB2312" w:cs="仿宋_GB2312"/>
          <w:color w:val="auto"/>
          <w:sz w:val="21"/>
          <w:szCs w:val="21"/>
          <w:lang w:eastAsia="zh-CN"/>
        </w:rPr>
        <w:t>承包方</w:t>
      </w:r>
      <w:r>
        <w:rPr>
          <w:rFonts w:hint="eastAsia" w:ascii="仿宋_GB2312" w:hAnsi="仿宋_GB2312" w:eastAsia="仿宋_GB2312" w:cs="仿宋_GB2312"/>
          <w:color w:val="auto"/>
          <w:sz w:val="21"/>
          <w:szCs w:val="21"/>
        </w:rPr>
        <w:t>承担其它业务时，</w:t>
      </w:r>
      <w:r>
        <w:rPr>
          <w:rFonts w:hint="eastAsia" w:ascii="仿宋_GB2312" w:hAnsi="仿宋_GB2312" w:eastAsia="仿宋_GB2312" w:cs="仿宋_GB2312"/>
          <w:color w:val="auto"/>
          <w:sz w:val="21"/>
          <w:szCs w:val="21"/>
          <w:lang w:eastAsia="zh-CN"/>
        </w:rPr>
        <w:t>承包方</w:t>
      </w:r>
      <w:r>
        <w:rPr>
          <w:rFonts w:hint="eastAsia" w:ascii="仿宋_GB2312" w:hAnsi="仿宋_GB2312" w:eastAsia="仿宋_GB2312" w:cs="仿宋_GB2312"/>
          <w:color w:val="auto"/>
          <w:sz w:val="21"/>
          <w:szCs w:val="21"/>
        </w:rPr>
        <w:t>应无条件配合执行，其结算价格按照对应业务的合同价格结算。</w:t>
      </w:r>
    </w:p>
    <w:p>
      <w:pPr>
        <w:spacing w:line="240" w:lineRule="atLeast"/>
        <w:ind w:firstLine="420" w:firstLineChars="200"/>
        <w:rPr>
          <w:rFonts w:hint="eastAsia" w:ascii="仿宋_GB2312" w:hAnsi="仿宋_GB2312" w:eastAsia="仿宋_GB2312" w:cs="仿宋_GB2312"/>
          <w:b w:val="0"/>
          <w:bCs w:val="0"/>
          <w:color w:val="auto"/>
          <w:kern w:val="28"/>
          <w:sz w:val="21"/>
          <w:szCs w:val="21"/>
          <w:lang w:val="en-US" w:eastAsia="zh-CN"/>
        </w:rPr>
      </w:pPr>
      <w:r>
        <w:rPr>
          <w:rFonts w:hint="eastAsia" w:ascii="仿宋_GB2312" w:hAnsi="仿宋_GB2312" w:eastAsia="仿宋_GB2312" w:cs="仿宋_GB2312"/>
          <w:b w:val="0"/>
          <w:bCs w:val="0"/>
          <w:color w:val="auto"/>
          <w:kern w:val="28"/>
          <w:sz w:val="21"/>
          <w:szCs w:val="21"/>
          <w:lang w:val="en-US" w:eastAsia="zh-CN"/>
        </w:rPr>
        <w:t>13.</w:t>
      </w:r>
      <w:r>
        <w:rPr>
          <w:rFonts w:hint="eastAsia" w:ascii="仿宋_GB2312" w:hAnsi="仿宋_GB2312" w:eastAsia="仿宋_GB2312" w:cs="仿宋_GB2312"/>
          <w:b w:val="0"/>
          <w:bCs w:val="0"/>
          <w:color w:val="auto"/>
          <w:kern w:val="28"/>
          <w:sz w:val="21"/>
          <w:szCs w:val="21"/>
          <w:lang w:val="en-US" w:eastAsia="zh-CN"/>
        </w:rPr>
        <w:t>承包方未经发包方书面允许，不得以任何理由和方式将发包方物料向他人提供担保或向他人转让。</w:t>
      </w:r>
    </w:p>
    <w:p>
      <w:pPr>
        <w:adjustRightInd w:val="0"/>
        <w:snapToGrid w:val="0"/>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14.</w:t>
      </w:r>
      <w:r>
        <w:rPr>
          <w:rFonts w:hint="eastAsia" w:ascii="仿宋_GB2312" w:hAnsi="仿宋_GB2312" w:eastAsia="仿宋_GB2312" w:cs="仿宋_GB2312"/>
          <w:color w:val="auto"/>
          <w:sz w:val="21"/>
          <w:szCs w:val="21"/>
          <w:lang w:val="en-US" w:eastAsia="zh-CN"/>
        </w:rPr>
        <w:t>包方在作业现场新建生产、生活设施必须事先上报发包方，待发包方同意后方可建设。</w:t>
      </w:r>
    </w:p>
    <w:p>
      <w:pPr>
        <w:adjustRightInd w:val="0"/>
        <w:snapToGrid w:val="0"/>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15.</w:t>
      </w:r>
      <w:r>
        <w:rPr>
          <w:rFonts w:hint="eastAsia" w:ascii="仿宋_GB2312" w:hAnsi="仿宋_GB2312" w:eastAsia="仿宋_GB2312" w:cs="仿宋_GB2312"/>
          <w:color w:val="auto"/>
          <w:sz w:val="21"/>
          <w:szCs w:val="21"/>
          <w:lang w:val="en-US" w:eastAsia="zh-CN"/>
        </w:rPr>
        <w:t>承包方为该项目合同履行期间安全生产、环保治理、综合治理、文明生产的责任主体，必须无条件履行相关职责，由此产生的各项责任及处罚均由承包方全部承担。</w:t>
      </w:r>
    </w:p>
    <w:p>
      <w:pPr>
        <w:adjustRightInd w:val="0"/>
        <w:snapToGrid w:val="0"/>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16</w:t>
      </w:r>
      <w:r>
        <w:rPr>
          <w:rFonts w:hint="eastAsia" w:ascii="仿宋_GB2312" w:hAnsi="仿宋_GB2312" w:eastAsia="仿宋_GB2312" w:cs="仿宋_GB2312"/>
          <w:color w:val="auto"/>
          <w:sz w:val="21"/>
          <w:szCs w:val="21"/>
          <w:lang w:val="en-US" w:eastAsia="zh-CN"/>
        </w:rPr>
        <w:t>.按照国家安全、环保相关法律法规及发包方管理要求，承包方必须无条件保证安全、环保专项资金的投入、实施。</w:t>
      </w:r>
    </w:p>
    <w:p>
      <w:pPr>
        <w:adjustRightInd w:val="0"/>
        <w:snapToGrid w:val="0"/>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val="en-US" w:eastAsia="zh-CN"/>
        </w:rPr>
        <w:t>7.承包方日常作业、装运、堆存、现场管理等必须符合安全、环保及发包方的要求，作业现场、作业过程、物料堆存按照要求做好洒水抑尘，并且物料堆存按照入棚、围挡、苫盖、洒水等要求执行。</w:t>
      </w:r>
    </w:p>
    <w:p>
      <w:pPr>
        <w:adjustRightInd w:val="0"/>
        <w:snapToGrid w:val="0"/>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val="en-US" w:eastAsia="zh-CN"/>
        </w:rPr>
        <w:t>8.承包方在合同实施前必须确保安全、环保设施配备、安装完成，合同执行后应立即投入使用。</w:t>
      </w:r>
    </w:p>
    <w:p>
      <w:pPr>
        <w:adjustRightInd w:val="0"/>
        <w:snapToGrid w:val="0"/>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19</w:t>
      </w:r>
      <w:r>
        <w:rPr>
          <w:rFonts w:hint="eastAsia" w:ascii="仿宋_GB2312" w:hAnsi="仿宋_GB2312" w:eastAsia="仿宋_GB2312" w:cs="仿宋_GB2312"/>
          <w:color w:val="auto"/>
          <w:sz w:val="21"/>
          <w:szCs w:val="21"/>
          <w:lang w:val="en-US" w:eastAsia="zh-CN"/>
        </w:rPr>
        <w:t>.承包方应对</w:t>
      </w:r>
      <w:r>
        <w:rPr>
          <w:rFonts w:hint="eastAsia" w:ascii="仿宋_GB2312" w:hAnsi="仿宋_GB2312" w:eastAsia="仿宋_GB2312" w:cs="仿宋_GB2312"/>
          <w:color w:val="auto"/>
          <w:sz w:val="21"/>
          <w:szCs w:val="21"/>
          <w:lang w:eastAsia="zh-CN"/>
        </w:rPr>
        <w:t>其</w:t>
      </w:r>
      <w:r>
        <w:rPr>
          <w:rFonts w:hint="eastAsia" w:ascii="仿宋_GB2312" w:hAnsi="仿宋_GB2312" w:eastAsia="仿宋_GB2312" w:cs="仿宋_GB2312"/>
          <w:color w:val="auto"/>
          <w:sz w:val="21"/>
          <w:szCs w:val="21"/>
        </w:rPr>
        <w:t>从业人员</w:t>
      </w:r>
      <w:r>
        <w:rPr>
          <w:rFonts w:hint="eastAsia" w:ascii="仿宋_GB2312" w:hAnsi="仿宋_GB2312" w:eastAsia="仿宋_GB2312" w:cs="仿宋_GB2312"/>
          <w:color w:val="auto"/>
          <w:sz w:val="21"/>
          <w:szCs w:val="21"/>
          <w:lang w:eastAsia="zh-CN"/>
        </w:rPr>
        <w:t>进行岗前体检，不得有高血压、心脏病或存在其他影响安全作业疾病的人员入厂，应对符合要求的从业人员进行</w:t>
      </w:r>
      <w:r>
        <w:rPr>
          <w:rFonts w:hint="eastAsia" w:ascii="仿宋_GB2312" w:hAnsi="仿宋_GB2312" w:eastAsia="仿宋_GB2312" w:cs="仿宋_GB2312"/>
          <w:color w:val="auto"/>
          <w:sz w:val="21"/>
          <w:szCs w:val="21"/>
          <w:lang w:val="en-US" w:eastAsia="zh-CN"/>
        </w:rPr>
        <w:t>安全教育及上岗培训，安全考试合格后方可上岗。承包方应与从业人员签到劳动合同，承包方要为其员工缴纳工伤保险或国家相关政策规定的保险并配备劳动保护用品，对劳务人员实行全面用工管理，依法履行用人单位对劳动者的各种义务。</w:t>
      </w:r>
    </w:p>
    <w:p>
      <w:pPr>
        <w:adjustRightInd w:val="0"/>
        <w:snapToGrid w:val="0"/>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20</w:t>
      </w:r>
      <w:r>
        <w:rPr>
          <w:rFonts w:hint="eastAsia" w:ascii="仿宋_GB2312" w:hAnsi="仿宋_GB2312" w:eastAsia="仿宋_GB2312" w:cs="仿宋_GB2312"/>
          <w:color w:val="auto"/>
          <w:sz w:val="21"/>
          <w:szCs w:val="21"/>
          <w:lang w:val="en-US" w:eastAsia="zh-CN"/>
        </w:rPr>
        <w:t>.承包方作业人员发生工伤、工亡事故时，善后事宜全部由承包方承担，发包方不承担任何责任。因承包方管理不善或不按照发包方要求作业，所造成的安全、环保事件、事故等，由承包方承担全部责任及损失。</w:t>
      </w:r>
    </w:p>
    <w:p>
      <w:pPr>
        <w:adjustRightInd w:val="0"/>
        <w:snapToGrid w:val="0"/>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21</w:t>
      </w:r>
      <w:r>
        <w:rPr>
          <w:rFonts w:hint="eastAsia" w:ascii="仿宋_GB2312" w:hAnsi="仿宋_GB2312" w:eastAsia="仿宋_GB2312" w:cs="仿宋_GB2312"/>
          <w:color w:val="auto"/>
          <w:sz w:val="21"/>
          <w:szCs w:val="21"/>
          <w:lang w:val="en-US" w:eastAsia="zh-CN"/>
        </w:rPr>
        <w:t>.承包方与其雇佣的从业人员引起劳动争议所产生的法律后果均由承包方承担。</w:t>
      </w:r>
    </w:p>
    <w:p>
      <w:pPr>
        <w:adjustRightInd w:val="0"/>
        <w:snapToGrid w:val="0"/>
        <w:spacing w:line="240" w:lineRule="atLeas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22</w:t>
      </w:r>
      <w:r>
        <w:rPr>
          <w:rFonts w:hint="eastAsia" w:ascii="仿宋_GB2312" w:hAnsi="仿宋_GB2312" w:eastAsia="仿宋_GB2312" w:cs="仿宋_GB2312"/>
          <w:color w:val="auto"/>
          <w:sz w:val="21"/>
          <w:szCs w:val="21"/>
          <w:lang w:val="en-US" w:eastAsia="zh-CN"/>
        </w:rPr>
        <w:t>.承包方</w:t>
      </w:r>
      <w:r>
        <w:rPr>
          <w:rFonts w:hint="eastAsia" w:ascii="仿宋_GB2312" w:hAnsi="仿宋_GB2312" w:eastAsia="仿宋_GB2312" w:cs="仿宋_GB2312"/>
          <w:color w:val="auto"/>
          <w:sz w:val="21"/>
          <w:szCs w:val="21"/>
          <w:lang w:eastAsia="zh-CN"/>
        </w:rPr>
        <w:t>在</w:t>
      </w:r>
      <w:r>
        <w:rPr>
          <w:rFonts w:hint="eastAsia" w:ascii="仿宋_GB2312" w:hAnsi="仿宋_GB2312" w:eastAsia="仿宋_GB2312" w:cs="仿宋_GB2312"/>
          <w:color w:val="auto"/>
          <w:sz w:val="21"/>
          <w:szCs w:val="21"/>
        </w:rPr>
        <w:t>签订合同前，必须按</w:t>
      </w:r>
      <w:r>
        <w:rPr>
          <w:rFonts w:hint="eastAsia" w:ascii="仿宋_GB2312" w:hAnsi="仿宋_GB2312" w:eastAsia="仿宋_GB2312" w:cs="仿宋_GB2312"/>
          <w:color w:val="auto"/>
          <w:sz w:val="21"/>
          <w:szCs w:val="21"/>
          <w:lang w:val="en-US" w:eastAsia="zh-CN"/>
        </w:rPr>
        <w:t>《甘肃润源环境资源科技有限公司相关方安全管理办法》的要求</w:t>
      </w:r>
      <w:r>
        <w:rPr>
          <w:rFonts w:hint="eastAsia" w:ascii="仿宋_GB2312" w:hAnsi="仿宋_GB2312" w:eastAsia="仿宋_GB2312" w:cs="仿宋_GB2312"/>
          <w:color w:val="auto"/>
          <w:sz w:val="21"/>
          <w:szCs w:val="21"/>
        </w:rPr>
        <w:t>，将执行本合同所需的各类资质、材料送</w:t>
      </w:r>
      <w:r>
        <w:rPr>
          <w:rFonts w:hint="eastAsia" w:ascii="仿宋_GB2312" w:hAnsi="仿宋_GB2312" w:eastAsia="仿宋_GB2312" w:cs="仿宋_GB2312"/>
          <w:color w:val="auto"/>
          <w:sz w:val="21"/>
          <w:szCs w:val="21"/>
          <w:lang w:eastAsia="zh-CN"/>
        </w:rPr>
        <w:t>发包方</w:t>
      </w:r>
      <w:r>
        <w:rPr>
          <w:rFonts w:hint="eastAsia" w:ascii="仿宋_GB2312" w:hAnsi="仿宋_GB2312" w:eastAsia="仿宋_GB2312" w:cs="仿宋_GB2312"/>
          <w:color w:val="auto"/>
          <w:sz w:val="21"/>
          <w:szCs w:val="21"/>
        </w:rPr>
        <w:t>审核、备案。</w:t>
      </w:r>
    </w:p>
    <w:p>
      <w:pPr>
        <w:keepNext w:val="0"/>
        <w:keepLines w:val="0"/>
        <w:pageBreakBefore w:val="0"/>
        <w:widowControl w:val="0"/>
        <w:kinsoku/>
        <w:wordWrap/>
        <w:overflowPunct/>
        <w:topLinePunct w:val="0"/>
        <w:autoSpaceDE/>
        <w:autoSpaceDN/>
        <w:bidi w:val="0"/>
        <w:snapToGrid w:val="0"/>
        <w:spacing w:line="240" w:lineRule="atLeast"/>
        <w:ind w:right="0" w:rightChars="0" w:firstLine="420" w:firstLineChars="20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23</w:t>
      </w:r>
      <w:r>
        <w:rPr>
          <w:rFonts w:hint="eastAsia" w:ascii="仿宋_GB2312" w:hAnsi="仿宋_GB2312" w:eastAsia="仿宋_GB2312" w:cs="仿宋_GB2312"/>
          <w:color w:val="auto"/>
          <w:sz w:val="21"/>
          <w:szCs w:val="21"/>
          <w:lang w:val="en-US" w:eastAsia="zh-CN"/>
        </w:rPr>
        <w:t>.承包方中标后，在合同履行期间，必须按照合同约定内容履行完成合同，否则发包方将承包方列入润源公司不合格供方名单，禁止承包方参加任何润源公司的招标项目。</w:t>
      </w:r>
    </w:p>
    <w:p>
      <w:pPr>
        <w:keepNext w:val="0"/>
        <w:keepLines w:val="0"/>
        <w:pageBreakBefore w:val="0"/>
        <w:widowControl w:val="0"/>
        <w:kinsoku/>
        <w:wordWrap/>
        <w:overflowPunct/>
        <w:topLinePunct w:val="0"/>
        <w:autoSpaceDE/>
        <w:autoSpaceDN/>
        <w:bidi w:val="0"/>
        <w:snapToGrid w:val="0"/>
        <w:spacing w:line="240" w:lineRule="atLeast"/>
        <w:ind w:right="0" w:rightChars="0" w:firstLine="420" w:firstLineChars="20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24</w:t>
      </w:r>
      <w:r>
        <w:rPr>
          <w:rFonts w:hint="eastAsia" w:ascii="仿宋_GB2312" w:hAnsi="仿宋_GB2312" w:eastAsia="仿宋_GB2312" w:cs="仿宋_GB2312"/>
          <w:color w:val="auto"/>
          <w:sz w:val="21"/>
          <w:szCs w:val="21"/>
          <w:lang w:val="en-US" w:eastAsia="zh-CN"/>
        </w:rPr>
        <w:t>.承包方不得将此业务进行二次转包或分包，一经发现查实发包方可立即终止合同，并全额扣除承包方缴纳的合同保证金。</w:t>
      </w:r>
    </w:p>
    <w:p>
      <w:pPr>
        <w:spacing w:line="240" w:lineRule="atLeast"/>
        <w:ind w:firstLine="420" w:firstLineChars="200"/>
        <w:rPr>
          <w:rFonts w:hint="eastAsia" w:ascii="仿宋_GB2312" w:hAnsi="仿宋_GB2312" w:eastAsia="仿宋_GB2312" w:cs="仿宋_GB2312"/>
          <w:b w:val="0"/>
          <w:bCs w:val="0"/>
          <w:color w:val="auto"/>
          <w:kern w:val="28"/>
          <w:sz w:val="21"/>
          <w:szCs w:val="21"/>
          <w:lang w:val="en-US" w:eastAsia="zh-CN"/>
        </w:rPr>
      </w:pPr>
      <w:r>
        <w:rPr>
          <w:rFonts w:hint="eastAsia" w:ascii="仿宋_GB2312" w:hAnsi="仿宋_GB2312" w:eastAsia="仿宋_GB2312" w:cs="仿宋_GB2312"/>
          <w:b w:val="0"/>
          <w:bCs w:val="0"/>
          <w:color w:val="auto"/>
          <w:kern w:val="28"/>
          <w:sz w:val="21"/>
          <w:szCs w:val="21"/>
          <w:lang w:val="en-US" w:eastAsia="zh-CN"/>
        </w:rPr>
        <w:t>2</w:t>
      </w:r>
      <w:r>
        <w:rPr>
          <w:rFonts w:hint="eastAsia" w:ascii="仿宋_GB2312" w:hAnsi="仿宋_GB2312" w:eastAsia="仿宋_GB2312" w:cs="仿宋_GB2312"/>
          <w:b w:val="0"/>
          <w:bCs w:val="0"/>
          <w:color w:val="auto"/>
          <w:kern w:val="28"/>
          <w:sz w:val="21"/>
          <w:szCs w:val="21"/>
          <w:lang w:val="en-US" w:eastAsia="zh-CN"/>
        </w:rPr>
        <w:t>5</w:t>
      </w:r>
      <w:r>
        <w:rPr>
          <w:rFonts w:hint="eastAsia" w:ascii="仿宋_GB2312" w:hAnsi="仿宋_GB2312" w:eastAsia="仿宋_GB2312" w:cs="仿宋_GB2312"/>
          <w:b w:val="0"/>
          <w:bCs w:val="0"/>
          <w:color w:val="auto"/>
          <w:kern w:val="28"/>
          <w:sz w:val="21"/>
          <w:szCs w:val="21"/>
          <w:lang w:val="en-US" w:eastAsia="zh-CN"/>
        </w:rPr>
        <w:t>.承包方工作人员在酒钢厂区内不得使用、穿戴有酒钢集团公司标志的劳动保护用品。承包方人员进入发包方相关生产现场时必须遵守发包方的各种安全规章制度，劳保用品穿戴齐全。</w:t>
      </w:r>
    </w:p>
    <w:p>
      <w:pPr>
        <w:spacing w:line="240" w:lineRule="atLeast"/>
        <w:rPr>
          <w:rFonts w:hint="eastAsia" w:ascii="仿宋_GB2312" w:hAnsi="仿宋_GB2312" w:eastAsia="仿宋_GB2312" w:cs="仿宋_GB2312"/>
          <w:b w:val="0"/>
          <w:bCs w:val="0"/>
          <w:color w:val="auto"/>
          <w:kern w:val="28"/>
          <w:sz w:val="21"/>
          <w:szCs w:val="21"/>
          <w:lang w:val="en-US" w:eastAsia="zh-CN"/>
        </w:rPr>
      </w:pPr>
      <w:r>
        <w:rPr>
          <w:rFonts w:hint="eastAsia" w:ascii="仿宋_GB2312" w:hAnsi="仿宋_GB2312" w:eastAsia="仿宋_GB2312" w:cs="仿宋_GB2312"/>
          <w:b w:val="0"/>
          <w:bCs w:val="0"/>
          <w:color w:val="auto"/>
          <w:kern w:val="28"/>
          <w:sz w:val="21"/>
          <w:szCs w:val="21"/>
          <w:lang w:val="en-US" w:eastAsia="zh-CN"/>
        </w:rPr>
        <w:t xml:space="preserve">    2</w:t>
      </w:r>
      <w:r>
        <w:rPr>
          <w:rFonts w:hint="eastAsia" w:ascii="仿宋_GB2312" w:hAnsi="仿宋_GB2312" w:eastAsia="仿宋_GB2312" w:cs="仿宋_GB2312"/>
          <w:b w:val="0"/>
          <w:bCs w:val="0"/>
          <w:color w:val="auto"/>
          <w:kern w:val="28"/>
          <w:sz w:val="21"/>
          <w:szCs w:val="21"/>
          <w:lang w:val="en-US" w:eastAsia="zh-CN"/>
        </w:rPr>
        <w:t>6</w:t>
      </w:r>
      <w:r>
        <w:rPr>
          <w:rFonts w:hint="eastAsia" w:ascii="仿宋_GB2312" w:hAnsi="仿宋_GB2312" w:eastAsia="仿宋_GB2312" w:cs="仿宋_GB2312"/>
          <w:b w:val="0"/>
          <w:bCs w:val="0"/>
          <w:color w:val="auto"/>
          <w:kern w:val="28"/>
          <w:sz w:val="21"/>
          <w:szCs w:val="21"/>
          <w:lang w:val="en-US" w:eastAsia="zh-CN"/>
        </w:rPr>
        <w:t>.承包方的车辆及人员若有中途退出的，应及时收回出入酒钢集团公司厂区牌照及相关手续，如因此造成意外问题，承包方承担全部责任。</w:t>
      </w:r>
    </w:p>
    <w:p>
      <w:pPr>
        <w:spacing w:line="240" w:lineRule="atLeast"/>
        <w:rPr>
          <w:rFonts w:hint="eastAsia" w:ascii="仿宋_GB2312" w:hAnsi="仿宋_GB2312" w:eastAsia="仿宋_GB2312" w:cs="仿宋_GB2312"/>
          <w:b w:val="0"/>
          <w:bCs w:val="0"/>
          <w:color w:val="auto"/>
          <w:kern w:val="28"/>
          <w:sz w:val="21"/>
          <w:szCs w:val="21"/>
          <w:lang w:val="en-US" w:eastAsia="zh-CN"/>
        </w:rPr>
      </w:pPr>
      <w:r>
        <w:rPr>
          <w:rFonts w:hint="eastAsia" w:ascii="仿宋_GB2312" w:hAnsi="仿宋_GB2312" w:eastAsia="仿宋_GB2312" w:cs="仿宋_GB2312"/>
          <w:b w:val="0"/>
          <w:bCs w:val="0"/>
          <w:color w:val="auto"/>
          <w:kern w:val="28"/>
          <w:sz w:val="21"/>
          <w:szCs w:val="21"/>
          <w:lang w:val="en-US" w:eastAsia="zh-CN"/>
        </w:rPr>
        <w:t xml:space="preserve">    2</w:t>
      </w:r>
      <w:r>
        <w:rPr>
          <w:rFonts w:hint="eastAsia" w:ascii="仿宋_GB2312" w:hAnsi="仿宋_GB2312" w:eastAsia="仿宋_GB2312" w:cs="仿宋_GB2312"/>
          <w:b w:val="0"/>
          <w:bCs w:val="0"/>
          <w:color w:val="auto"/>
          <w:kern w:val="28"/>
          <w:sz w:val="21"/>
          <w:szCs w:val="21"/>
          <w:lang w:val="en-US" w:eastAsia="zh-CN"/>
        </w:rPr>
        <w:t>7</w:t>
      </w:r>
      <w:r>
        <w:rPr>
          <w:rFonts w:hint="eastAsia" w:ascii="仿宋_GB2312" w:hAnsi="仿宋_GB2312" w:eastAsia="仿宋_GB2312" w:cs="仿宋_GB2312"/>
          <w:b w:val="0"/>
          <w:bCs w:val="0"/>
          <w:color w:val="auto"/>
          <w:kern w:val="28"/>
          <w:sz w:val="21"/>
          <w:szCs w:val="21"/>
          <w:lang w:val="en-US" w:eastAsia="zh-CN"/>
        </w:rPr>
        <w:t>.承包方必须按酒钢集团公司和发包方综合治理的要求，做好车辆与人员的管理工作。遵守厂区车辆运输管理办法和相应的安全制度及交通法规，作业期间发生的任何人身、设备、交通事故所造成的责任和损失均由承包方承担全部责任。</w:t>
      </w:r>
    </w:p>
    <w:p>
      <w:pPr>
        <w:spacing w:line="240" w:lineRule="atLeast"/>
        <w:rPr>
          <w:rFonts w:hint="eastAsia" w:ascii="仿宋_GB2312" w:hAnsi="仿宋_GB2312" w:eastAsia="仿宋_GB2312" w:cs="仿宋_GB2312"/>
          <w:b w:val="0"/>
          <w:bCs w:val="0"/>
          <w:color w:val="auto"/>
          <w:kern w:val="28"/>
          <w:sz w:val="21"/>
          <w:szCs w:val="21"/>
          <w:lang w:val="en-US" w:eastAsia="zh-CN"/>
        </w:rPr>
      </w:pPr>
      <w:r>
        <w:rPr>
          <w:rFonts w:hint="eastAsia" w:ascii="仿宋_GB2312" w:hAnsi="仿宋_GB2312" w:eastAsia="仿宋_GB2312" w:cs="仿宋_GB2312"/>
          <w:b w:val="0"/>
          <w:bCs w:val="0"/>
          <w:color w:val="auto"/>
          <w:kern w:val="28"/>
          <w:sz w:val="21"/>
          <w:szCs w:val="21"/>
          <w:lang w:val="en-US" w:eastAsia="zh-CN"/>
        </w:rPr>
        <w:t xml:space="preserve">    2</w:t>
      </w:r>
      <w:r>
        <w:rPr>
          <w:rFonts w:hint="eastAsia" w:ascii="仿宋_GB2312" w:hAnsi="仿宋_GB2312" w:eastAsia="仿宋_GB2312" w:cs="仿宋_GB2312"/>
          <w:b w:val="0"/>
          <w:bCs w:val="0"/>
          <w:color w:val="auto"/>
          <w:kern w:val="28"/>
          <w:sz w:val="21"/>
          <w:szCs w:val="21"/>
          <w:lang w:val="en-US" w:eastAsia="zh-CN"/>
        </w:rPr>
        <w:t>8.</w:t>
      </w:r>
      <w:r>
        <w:rPr>
          <w:rFonts w:hint="eastAsia" w:ascii="仿宋_GB2312" w:hAnsi="仿宋_GB2312" w:eastAsia="仿宋_GB2312" w:cs="仿宋_GB2312"/>
          <w:b w:val="0"/>
          <w:bCs w:val="0"/>
          <w:color w:val="auto"/>
          <w:kern w:val="28"/>
          <w:sz w:val="21"/>
          <w:szCs w:val="21"/>
          <w:lang w:val="en-US" w:eastAsia="zh-CN"/>
        </w:rPr>
        <w:t>承包方不按要求开具运输增值税专用发票的，不予结算运费；开具虚假运输增值税发票的，除扣罚合同履约保证金和应付费用外，发包方有权解除合同。</w:t>
      </w:r>
    </w:p>
    <w:p>
      <w:pPr>
        <w:spacing w:line="240" w:lineRule="atLeast"/>
        <w:rPr>
          <w:rFonts w:hint="eastAsia" w:ascii="仿宋_GB2312" w:hAnsi="仿宋_GB2312" w:eastAsia="仿宋_GB2312" w:cs="仿宋_GB2312"/>
          <w:b w:val="0"/>
          <w:bCs w:val="0"/>
          <w:color w:val="auto"/>
          <w:kern w:val="28"/>
          <w:sz w:val="21"/>
          <w:szCs w:val="21"/>
          <w:lang w:val="en-US" w:eastAsia="zh-CN"/>
        </w:rPr>
      </w:pPr>
      <w:r>
        <w:rPr>
          <w:rFonts w:hint="eastAsia" w:ascii="仿宋_GB2312" w:hAnsi="仿宋_GB2312" w:eastAsia="仿宋_GB2312" w:cs="仿宋_GB2312"/>
          <w:b w:val="0"/>
          <w:bCs w:val="0"/>
          <w:color w:val="auto"/>
          <w:kern w:val="28"/>
          <w:sz w:val="21"/>
          <w:szCs w:val="21"/>
          <w:lang w:val="en-US" w:eastAsia="zh-CN"/>
        </w:rPr>
        <w:t xml:space="preserve">    2</w:t>
      </w:r>
      <w:r>
        <w:rPr>
          <w:rFonts w:hint="eastAsia" w:ascii="仿宋_GB2312" w:hAnsi="仿宋_GB2312" w:eastAsia="仿宋_GB2312" w:cs="仿宋_GB2312"/>
          <w:b w:val="0"/>
          <w:bCs w:val="0"/>
          <w:color w:val="auto"/>
          <w:kern w:val="28"/>
          <w:sz w:val="21"/>
          <w:szCs w:val="21"/>
          <w:lang w:val="en-US" w:eastAsia="zh-CN"/>
        </w:rPr>
        <w:t>9</w:t>
      </w:r>
      <w:r>
        <w:rPr>
          <w:rFonts w:hint="eastAsia" w:ascii="仿宋_GB2312" w:hAnsi="仿宋_GB2312" w:eastAsia="仿宋_GB2312" w:cs="仿宋_GB2312"/>
          <w:b w:val="0"/>
          <w:bCs w:val="0"/>
          <w:color w:val="auto"/>
          <w:kern w:val="28"/>
          <w:sz w:val="21"/>
          <w:szCs w:val="21"/>
          <w:lang w:val="en-US" w:eastAsia="zh-CN"/>
        </w:rPr>
        <w:t>.承包方履行合同时现场作业的承包方人员发生工伤事故后，由承包方负责上报、善后处理及赔偿的全部责任。</w:t>
      </w:r>
    </w:p>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30</w:t>
      </w:r>
      <w:r>
        <w:rPr>
          <w:rFonts w:hint="eastAsia" w:ascii="仿宋_GB2312" w:hAnsi="仿宋_GB2312" w:eastAsia="仿宋_GB2312" w:cs="仿宋_GB2312"/>
          <w:b w:val="0"/>
          <w:bCs w:val="0"/>
          <w:color w:val="auto"/>
          <w:sz w:val="21"/>
          <w:szCs w:val="21"/>
          <w:lang w:val="en-US" w:eastAsia="zh-CN"/>
        </w:rPr>
        <w:t>.承包方合同执行完毕后，必须对作业场地进行推整、清理，符合发包方要求后方可退出作业现场。</w:t>
      </w:r>
    </w:p>
    <w:p>
      <w:pPr>
        <w:autoSpaceDE w:val="0"/>
        <w:autoSpaceDN w:val="0"/>
        <w:adjustRightInd w:val="0"/>
        <w:spacing w:line="360" w:lineRule="auto"/>
        <w:ind w:firstLine="420" w:firstLineChars="200"/>
        <w:jc w:val="left"/>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31.</w:t>
      </w:r>
      <w:r>
        <w:rPr>
          <w:rFonts w:hint="eastAsia" w:ascii="仿宋_GB2312" w:hAnsi="仿宋_GB2312" w:eastAsia="仿宋_GB2312" w:cs="仿宋_GB2312"/>
          <w:b w:val="0"/>
          <w:bCs w:val="0"/>
          <w:color w:val="auto"/>
          <w:sz w:val="21"/>
          <w:szCs w:val="21"/>
          <w:lang w:val="en-US" w:eastAsia="zh-CN"/>
        </w:rPr>
        <w:t>承包方按照提供的</w:t>
      </w:r>
      <w:r>
        <w:rPr>
          <w:rFonts w:hint="eastAsia" w:ascii="仿宋_GB2312" w:hAnsi="仿宋_GB2312" w:eastAsia="仿宋_GB2312" w:cs="仿宋_GB2312"/>
          <w:b w:val="0"/>
          <w:bCs w:val="0"/>
          <w:color w:val="auto"/>
          <w:sz w:val="21"/>
          <w:szCs w:val="21"/>
          <w:lang w:val="en-US" w:eastAsia="zh-CN"/>
        </w:rPr>
        <w:t>保产</w:t>
      </w:r>
      <w:r>
        <w:rPr>
          <w:rFonts w:hint="eastAsia" w:ascii="仿宋_GB2312" w:hAnsi="仿宋_GB2312" w:eastAsia="仿宋_GB2312" w:cs="仿宋_GB2312"/>
          <w:b w:val="0"/>
          <w:bCs w:val="0"/>
          <w:color w:val="auto"/>
          <w:sz w:val="21"/>
          <w:szCs w:val="21"/>
          <w:lang w:val="en-US" w:eastAsia="zh-CN"/>
        </w:rPr>
        <w:t>组织机构设置配备齐全现场管理人员，</w:t>
      </w:r>
      <w:r>
        <w:rPr>
          <w:rFonts w:hint="eastAsia" w:ascii="仿宋_GB2312" w:hAnsi="仿宋_GB2312" w:eastAsia="仿宋_GB2312" w:cs="仿宋_GB2312"/>
          <w:b w:val="0"/>
          <w:bCs w:val="0"/>
          <w:color w:val="auto"/>
          <w:sz w:val="21"/>
          <w:szCs w:val="21"/>
          <w:lang w:val="en-US" w:eastAsia="zh-CN"/>
        </w:rPr>
        <w:t>并</w:t>
      </w:r>
      <w:r>
        <w:rPr>
          <w:rFonts w:hint="eastAsia" w:ascii="仿宋_GB2312" w:hAnsi="仿宋_GB2312" w:eastAsia="仿宋_GB2312" w:cs="仿宋_GB2312"/>
          <w:b w:val="0"/>
          <w:bCs w:val="0"/>
          <w:color w:val="auto"/>
          <w:sz w:val="21"/>
          <w:szCs w:val="21"/>
          <w:lang w:val="en-US" w:eastAsia="zh-CN"/>
        </w:rPr>
        <w:t>每日对现场</w:t>
      </w:r>
      <w:r>
        <w:rPr>
          <w:rFonts w:hint="eastAsia" w:ascii="仿宋_GB2312" w:hAnsi="仿宋_GB2312" w:eastAsia="仿宋_GB2312" w:cs="仿宋_GB2312"/>
          <w:b w:val="0"/>
          <w:bCs w:val="0"/>
          <w:color w:val="auto"/>
          <w:sz w:val="21"/>
          <w:szCs w:val="21"/>
          <w:lang w:val="en-US" w:eastAsia="zh-CN"/>
        </w:rPr>
        <w:t>作业</w:t>
      </w:r>
      <w:r>
        <w:rPr>
          <w:rFonts w:hint="eastAsia" w:ascii="仿宋_GB2312" w:hAnsi="仿宋_GB2312" w:eastAsia="仿宋_GB2312" w:cs="仿宋_GB2312"/>
          <w:b w:val="0"/>
          <w:bCs w:val="0"/>
          <w:color w:val="auto"/>
          <w:sz w:val="21"/>
          <w:szCs w:val="21"/>
          <w:lang w:val="en-US" w:eastAsia="zh-CN"/>
        </w:rPr>
        <w:t>进行</w:t>
      </w:r>
      <w:r>
        <w:rPr>
          <w:rFonts w:hint="eastAsia" w:ascii="仿宋_GB2312" w:hAnsi="仿宋_GB2312" w:eastAsia="仿宋_GB2312" w:cs="仿宋_GB2312"/>
          <w:b w:val="0"/>
          <w:bCs w:val="0"/>
          <w:color w:val="auto"/>
          <w:sz w:val="21"/>
          <w:szCs w:val="21"/>
          <w:lang w:val="en-US" w:eastAsia="zh-CN"/>
        </w:rPr>
        <w:t>检查</w:t>
      </w:r>
      <w:r>
        <w:rPr>
          <w:rFonts w:hint="eastAsia" w:ascii="仿宋_GB2312" w:hAnsi="仿宋_GB2312" w:eastAsia="仿宋_GB2312" w:cs="仿宋_GB2312"/>
          <w:b w:val="0"/>
          <w:bCs w:val="0"/>
          <w:color w:val="auto"/>
          <w:sz w:val="21"/>
          <w:szCs w:val="21"/>
          <w:lang w:val="en-US" w:eastAsia="zh-CN"/>
        </w:rPr>
        <w:t xml:space="preserve">管理。 </w:t>
      </w:r>
    </w:p>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六、投标报价要求</w:t>
      </w:r>
    </w:p>
    <w:tbl>
      <w:tblPr>
        <w:tblStyle w:val="8"/>
        <w:tblW w:w="9135" w:type="dxa"/>
        <w:tblInd w:w="0" w:type="dxa"/>
        <w:tblLayout w:type="fixed"/>
        <w:tblCellMar>
          <w:top w:w="0" w:type="dxa"/>
          <w:left w:w="0" w:type="dxa"/>
          <w:bottom w:w="0" w:type="dxa"/>
          <w:right w:w="0" w:type="dxa"/>
        </w:tblCellMar>
      </w:tblPr>
      <w:tblGrid>
        <w:gridCol w:w="680"/>
        <w:gridCol w:w="1930"/>
        <w:gridCol w:w="980"/>
        <w:gridCol w:w="1200"/>
        <w:gridCol w:w="1260"/>
        <w:gridCol w:w="1125"/>
        <w:gridCol w:w="1960"/>
      </w:tblGrid>
      <w:tr>
        <w:trPr>
          <w:trHeight w:val="343" w:hRule="atLeast"/>
        </w:trPr>
        <w:tc>
          <w:tcPr>
            <w:tcW w:w="680"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序号</w:t>
            </w:r>
          </w:p>
        </w:tc>
        <w:tc>
          <w:tcPr>
            <w:tcW w:w="1930" w:type="dxa"/>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作业名称</w:t>
            </w:r>
          </w:p>
        </w:tc>
        <w:tc>
          <w:tcPr>
            <w:tcW w:w="980" w:type="dxa"/>
            <w:tcBorders>
              <w:top w:val="single" w:color="000000" w:sz="8" w:space="0"/>
              <w:left w:val="nil"/>
              <w:bottom w:val="nil"/>
              <w:right w:val="single" w:color="000000" w:sz="8" w:space="0"/>
            </w:tcBorders>
            <w:noWrap w:val="0"/>
            <w:tcMar>
              <w:top w:w="15" w:type="dxa"/>
              <w:left w:w="15" w:type="dxa"/>
              <w:right w:w="15" w:type="dxa"/>
            </w:tcMar>
            <w:vAlign w:val="center"/>
          </w:tcPr>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税率</w:t>
            </w:r>
          </w:p>
        </w:tc>
        <w:tc>
          <w:tcPr>
            <w:tcW w:w="1200" w:type="dxa"/>
            <w:tcBorders>
              <w:top w:val="single" w:color="000000" w:sz="8" w:space="0"/>
              <w:left w:val="nil"/>
              <w:bottom w:val="nil"/>
              <w:right w:val="single" w:color="000000" w:sz="8" w:space="0"/>
            </w:tcBorders>
            <w:noWrap w:val="0"/>
            <w:tcMar>
              <w:top w:w="15" w:type="dxa"/>
              <w:left w:w="15" w:type="dxa"/>
              <w:right w:w="15" w:type="dxa"/>
            </w:tcMar>
            <w:vAlign w:val="center"/>
          </w:tcPr>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数量</w:t>
            </w:r>
          </w:p>
        </w:tc>
        <w:tc>
          <w:tcPr>
            <w:tcW w:w="1260" w:type="dxa"/>
            <w:tcBorders>
              <w:top w:val="single" w:color="000000" w:sz="8" w:space="0"/>
              <w:left w:val="nil"/>
              <w:bottom w:val="nil"/>
              <w:right w:val="single" w:color="000000" w:sz="8" w:space="0"/>
            </w:tcBorders>
            <w:noWrap w:val="0"/>
            <w:tcMar>
              <w:top w:w="15" w:type="dxa"/>
              <w:left w:w="15" w:type="dxa"/>
              <w:right w:w="15" w:type="dxa"/>
            </w:tcMar>
            <w:vAlign w:val="center"/>
          </w:tcPr>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单价</w:t>
            </w:r>
          </w:p>
        </w:tc>
        <w:tc>
          <w:tcPr>
            <w:tcW w:w="1125" w:type="dxa"/>
            <w:tcBorders>
              <w:top w:val="single" w:color="000000" w:sz="8" w:space="0"/>
              <w:left w:val="nil"/>
              <w:bottom w:val="nil"/>
              <w:right w:val="single" w:color="000000" w:sz="8" w:space="0"/>
            </w:tcBorders>
            <w:noWrap w:val="0"/>
            <w:tcMar>
              <w:top w:w="15" w:type="dxa"/>
              <w:left w:w="15" w:type="dxa"/>
              <w:right w:w="15" w:type="dxa"/>
            </w:tcMar>
            <w:vAlign w:val="center"/>
          </w:tcPr>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总价</w:t>
            </w:r>
          </w:p>
        </w:tc>
        <w:tc>
          <w:tcPr>
            <w:tcW w:w="1960" w:type="dxa"/>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备注</w:t>
            </w:r>
          </w:p>
        </w:tc>
      </w:tr>
      <w:tr>
        <w:tblPrEx>
          <w:tblCellMar>
            <w:top w:w="0" w:type="dxa"/>
            <w:left w:w="0" w:type="dxa"/>
            <w:bottom w:w="0" w:type="dxa"/>
            <w:right w:w="0" w:type="dxa"/>
          </w:tblCellMar>
        </w:tblPrEx>
        <w:trPr>
          <w:trHeight w:val="343" w:hRule="atLeast"/>
        </w:trPr>
        <w:tc>
          <w:tcPr>
            <w:tcW w:w="68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p>
        </w:tc>
        <w:tc>
          <w:tcPr>
            <w:tcW w:w="1930" w:type="dxa"/>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p>
        </w:tc>
        <w:tc>
          <w:tcPr>
            <w:tcW w:w="980" w:type="dxa"/>
            <w:tcBorders>
              <w:top w:val="nil"/>
              <w:left w:val="nil"/>
              <w:bottom w:val="single" w:color="000000" w:sz="8" w:space="0"/>
              <w:right w:val="single" w:color="000000" w:sz="8" w:space="0"/>
            </w:tcBorders>
            <w:noWrap w:val="0"/>
            <w:tcMar>
              <w:top w:w="15" w:type="dxa"/>
              <w:left w:w="15" w:type="dxa"/>
              <w:right w:w="15" w:type="dxa"/>
            </w:tcMar>
            <w:vAlign w:val="center"/>
          </w:tcPr>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w:t>
            </w:r>
          </w:p>
        </w:tc>
        <w:tc>
          <w:tcPr>
            <w:tcW w:w="1200" w:type="dxa"/>
            <w:tcBorders>
              <w:top w:val="nil"/>
              <w:left w:val="nil"/>
              <w:bottom w:val="single" w:color="000000" w:sz="8" w:space="0"/>
              <w:right w:val="single" w:color="000000" w:sz="8" w:space="0"/>
            </w:tcBorders>
            <w:noWrap w:val="0"/>
            <w:tcMar>
              <w:top w:w="15" w:type="dxa"/>
              <w:left w:w="15" w:type="dxa"/>
              <w:right w:w="15" w:type="dxa"/>
            </w:tcMar>
            <w:vAlign w:val="center"/>
          </w:tcPr>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（吨）</w:t>
            </w:r>
          </w:p>
        </w:tc>
        <w:tc>
          <w:tcPr>
            <w:tcW w:w="1260" w:type="dxa"/>
            <w:tcBorders>
              <w:top w:val="nil"/>
              <w:left w:val="nil"/>
              <w:bottom w:val="single" w:color="000000" w:sz="8" w:space="0"/>
              <w:right w:val="single" w:color="000000" w:sz="8" w:space="0"/>
            </w:tcBorders>
            <w:noWrap w:val="0"/>
            <w:tcMar>
              <w:top w:w="15" w:type="dxa"/>
              <w:left w:w="15" w:type="dxa"/>
              <w:right w:w="15" w:type="dxa"/>
            </w:tcMar>
            <w:vAlign w:val="center"/>
          </w:tcPr>
          <w:p>
            <w:pPr>
              <w:adjustRightInd w:val="0"/>
              <w:snapToGrid w:val="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（元/吨）</w:t>
            </w:r>
          </w:p>
        </w:tc>
        <w:tc>
          <w:tcPr>
            <w:tcW w:w="1125" w:type="dxa"/>
            <w:tcBorders>
              <w:top w:val="nil"/>
              <w:left w:val="nil"/>
              <w:bottom w:val="single" w:color="000000" w:sz="8" w:space="0"/>
              <w:right w:val="single" w:color="000000" w:sz="8" w:space="0"/>
            </w:tcBorders>
            <w:noWrap w:val="0"/>
            <w:tcMar>
              <w:top w:w="15" w:type="dxa"/>
              <w:left w:w="15" w:type="dxa"/>
              <w:right w:w="15" w:type="dxa"/>
            </w:tcMar>
            <w:vAlign w:val="center"/>
          </w:tcPr>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（元）</w:t>
            </w:r>
          </w:p>
        </w:tc>
        <w:tc>
          <w:tcPr>
            <w:tcW w:w="1960" w:type="dxa"/>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p>
        </w:tc>
      </w:tr>
      <w:tr>
        <w:tblPrEx>
          <w:tblCellMar>
            <w:top w:w="0" w:type="dxa"/>
            <w:left w:w="0" w:type="dxa"/>
            <w:bottom w:w="0" w:type="dxa"/>
            <w:right w:w="0" w:type="dxa"/>
          </w:tblCellMar>
        </w:tblPrEx>
        <w:trPr>
          <w:trHeight w:val="90" w:hRule="atLeast"/>
        </w:trPr>
        <w:tc>
          <w:tcPr>
            <w:tcW w:w="68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w:t>
            </w:r>
          </w:p>
        </w:tc>
        <w:tc>
          <w:tcPr>
            <w:tcW w:w="193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碳钢直立墙保产</w:t>
            </w:r>
          </w:p>
        </w:tc>
        <w:tc>
          <w:tcPr>
            <w:tcW w:w="980" w:type="dxa"/>
            <w:tcBorders>
              <w:top w:val="nil"/>
              <w:left w:val="nil"/>
              <w:bottom w:val="single" w:color="000000" w:sz="8" w:space="0"/>
              <w:right w:val="single" w:color="000000" w:sz="8" w:space="0"/>
            </w:tcBorders>
            <w:noWrap w:val="0"/>
            <w:tcMar>
              <w:top w:w="15" w:type="dxa"/>
              <w:left w:w="15" w:type="dxa"/>
              <w:right w:w="15" w:type="dxa"/>
            </w:tcMar>
            <w:vAlign w:val="center"/>
          </w:tcPr>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6</w:t>
            </w:r>
          </w:p>
        </w:tc>
        <w:tc>
          <w:tcPr>
            <w:tcW w:w="1200" w:type="dxa"/>
            <w:tcBorders>
              <w:top w:val="nil"/>
              <w:left w:val="nil"/>
              <w:bottom w:val="single" w:color="000000" w:sz="8" w:space="0"/>
              <w:right w:val="single" w:color="000000" w:sz="8" w:space="0"/>
            </w:tcBorders>
            <w:noWrap w:val="0"/>
            <w:tcMar>
              <w:top w:w="15" w:type="dxa"/>
              <w:left w:w="15" w:type="dxa"/>
              <w:right w:w="15" w:type="dxa"/>
            </w:tcMar>
            <w:vAlign w:val="center"/>
          </w:tcPr>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7</w:t>
            </w:r>
            <w:r>
              <w:rPr>
                <w:rFonts w:hint="eastAsia" w:ascii="仿宋_GB2312" w:hAnsi="仿宋_GB2312" w:eastAsia="仿宋_GB2312" w:cs="仿宋_GB2312"/>
                <w:b w:val="0"/>
                <w:bCs w:val="0"/>
                <w:color w:val="auto"/>
                <w:sz w:val="21"/>
                <w:szCs w:val="21"/>
                <w:lang w:val="en-US" w:eastAsia="zh-CN"/>
              </w:rPr>
              <w:t>00000</w:t>
            </w:r>
          </w:p>
        </w:tc>
        <w:tc>
          <w:tcPr>
            <w:tcW w:w="1260" w:type="dxa"/>
            <w:tcBorders>
              <w:top w:val="nil"/>
              <w:left w:val="nil"/>
              <w:bottom w:val="single" w:color="000000" w:sz="8" w:space="0"/>
              <w:right w:val="single" w:color="000000" w:sz="8" w:space="0"/>
            </w:tcBorders>
            <w:noWrap w:val="0"/>
            <w:tcMar>
              <w:top w:w="15" w:type="dxa"/>
              <w:left w:w="15" w:type="dxa"/>
              <w:right w:w="15" w:type="dxa"/>
            </w:tcMar>
            <w:vAlign w:val="center"/>
          </w:tcPr>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p>
        </w:tc>
        <w:tc>
          <w:tcPr>
            <w:tcW w:w="1125" w:type="dxa"/>
            <w:tcBorders>
              <w:top w:val="nil"/>
              <w:left w:val="nil"/>
              <w:bottom w:val="single" w:color="000000" w:sz="8" w:space="0"/>
              <w:right w:val="single" w:color="000000" w:sz="8" w:space="0"/>
            </w:tcBorders>
            <w:noWrap w:val="0"/>
            <w:tcMar>
              <w:top w:w="15" w:type="dxa"/>
              <w:left w:w="15" w:type="dxa"/>
              <w:right w:w="15" w:type="dxa"/>
            </w:tcMar>
            <w:vAlign w:val="center"/>
          </w:tcPr>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p>
        </w:tc>
        <w:tc>
          <w:tcPr>
            <w:tcW w:w="1960" w:type="dxa"/>
            <w:tcBorders>
              <w:top w:val="nil"/>
              <w:left w:val="nil"/>
              <w:bottom w:val="single" w:color="000000" w:sz="8" w:space="0"/>
              <w:right w:val="single" w:color="000000" w:sz="8" w:space="0"/>
            </w:tcBorders>
            <w:noWrap w:val="0"/>
            <w:tcMar>
              <w:top w:w="15" w:type="dxa"/>
              <w:left w:w="15" w:type="dxa"/>
              <w:right w:w="15" w:type="dxa"/>
            </w:tcMar>
            <w:vAlign w:val="center"/>
          </w:tcPr>
          <w:p>
            <w:pPr>
              <w:adjustRightInd w:val="0"/>
              <w:snapToGrid w:val="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实际产渣量结算</w:t>
            </w:r>
          </w:p>
        </w:tc>
      </w:tr>
      <w:tr>
        <w:tblPrEx>
          <w:tblCellMar>
            <w:top w:w="0" w:type="dxa"/>
            <w:left w:w="0" w:type="dxa"/>
            <w:bottom w:w="0" w:type="dxa"/>
            <w:right w:w="0" w:type="dxa"/>
          </w:tblCellMar>
        </w:tblPrEx>
        <w:trPr>
          <w:trHeight w:val="90" w:hRule="atLeast"/>
        </w:trPr>
        <w:tc>
          <w:tcPr>
            <w:tcW w:w="2610" w:type="dxa"/>
            <w:gridSpan w:val="2"/>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合计</w:t>
            </w:r>
          </w:p>
        </w:tc>
        <w:tc>
          <w:tcPr>
            <w:tcW w:w="6525" w:type="dxa"/>
            <w:gridSpan w:val="5"/>
            <w:tcBorders>
              <w:top w:val="nil"/>
              <w:left w:val="nil"/>
              <w:bottom w:val="single" w:color="000000" w:sz="8" w:space="0"/>
              <w:right w:val="single" w:color="000000" w:sz="8" w:space="0"/>
            </w:tcBorders>
            <w:noWrap w:val="0"/>
            <w:tcMar>
              <w:top w:w="15" w:type="dxa"/>
              <w:left w:w="15" w:type="dxa"/>
              <w:right w:w="15" w:type="dxa"/>
            </w:tcMar>
            <w:vAlign w:val="center"/>
          </w:tcPr>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p>
        </w:tc>
      </w:tr>
    </w:tbl>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 xml:space="preserve">合计总价：￥：           （大写：                   ） </w:t>
      </w:r>
    </w:p>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1.投标人在报价时按照表中的作业内容、税率、数量、单价、总价（包含人民币合计金额大写）进行填报，如未按相应要求写报价或报价存在异议等后果，由承包方自行承担后果。</w:t>
      </w:r>
    </w:p>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七、 其它</w:t>
      </w:r>
    </w:p>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1.承包</w:t>
      </w:r>
      <w:r>
        <w:rPr>
          <w:rFonts w:hint="eastAsia" w:ascii="仿宋_GB2312" w:hAnsi="仿宋_GB2312" w:eastAsia="仿宋_GB2312" w:cs="仿宋_GB2312"/>
          <w:b w:val="0"/>
          <w:bCs w:val="0"/>
          <w:color w:val="auto"/>
          <w:sz w:val="21"/>
          <w:szCs w:val="21"/>
          <w:lang w:val="sq-AL" w:eastAsia="zh-CN"/>
        </w:rPr>
        <w:t>方</w:t>
      </w:r>
      <w:r>
        <w:rPr>
          <w:rFonts w:hint="eastAsia" w:ascii="仿宋_GB2312" w:hAnsi="仿宋_GB2312" w:eastAsia="仿宋_GB2312" w:cs="仿宋_GB2312"/>
          <w:b w:val="0"/>
          <w:bCs w:val="0"/>
          <w:color w:val="auto"/>
          <w:sz w:val="21"/>
          <w:szCs w:val="21"/>
          <w:lang w:val="en-US" w:eastAsia="zh-CN"/>
        </w:rPr>
        <w:t>入场作业前，需与润源公司冶金渣处理分厂签定《安全生产管理协议》、《综合治理协议》、《环保协议》</w:t>
      </w:r>
      <w:r>
        <w:rPr>
          <w:rFonts w:hint="eastAsia" w:ascii="仿宋_GB2312" w:hAnsi="仿宋_GB2312" w:eastAsia="仿宋_GB2312" w:cs="仿宋_GB2312"/>
          <w:b w:val="0"/>
          <w:bCs w:val="0"/>
          <w:color w:val="auto"/>
          <w:sz w:val="21"/>
          <w:szCs w:val="21"/>
          <w:lang w:val="en-US" w:eastAsia="zh-CN"/>
        </w:rPr>
        <w:t>、《廉洁协议》</w:t>
      </w:r>
      <w:r>
        <w:rPr>
          <w:rFonts w:hint="eastAsia" w:ascii="仿宋_GB2312" w:hAnsi="仿宋_GB2312" w:eastAsia="仿宋_GB2312" w:cs="仿宋_GB2312"/>
          <w:b w:val="0"/>
          <w:bCs w:val="0"/>
          <w:color w:val="auto"/>
          <w:sz w:val="21"/>
          <w:szCs w:val="21"/>
          <w:lang w:val="en-US" w:eastAsia="zh-CN"/>
        </w:rPr>
        <w:t>及《职业危害告知》。</w:t>
      </w:r>
    </w:p>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2.承包</w:t>
      </w:r>
      <w:r>
        <w:rPr>
          <w:rFonts w:hint="eastAsia" w:ascii="仿宋_GB2312" w:hAnsi="仿宋_GB2312" w:eastAsia="仿宋_GB2312" w:cs="仿宋_GB2312"/>
          <w:b w:val="0"/>
          <w:bCs w:val="0"/>
          <w:color w:val="auto"/>
          <w:sz w:val="21"/>
          <w:szCs w:val="21"/>
          <w:lang w:val="sq-AL" w:eastAsia="zh-CN"/>
        </w:rPr>
        <w:t>方</w:t>
      </w:r>
      <w:r>
        <w:rPr>
          <w:rFonts w:hint="eastAsia" w:ascii="仿宋_GB2312" w:hAnsi="仿宋_GB2312" w:eastAsia="仿宋_GB2312" w:cs="仿宋_GB2312"/>
          <w:b w:val="0"/>
          <w:bCs w:val="0"/>
          <w:color w:val="auto"/>
          <w:sz w:val="21"/>
          <w:szCs w:val="21"/>
          <w:lang w:val="en-US" w:eastAsia="zh-CN"/>
        </w:rPr>
        <w:t>承担的违约金可在应付承包</w:t>
      </w:r>
      <w:r>
        <w:rPr>
          <w:rFonts w:hint="eastAsia" w:ascii="仿宋_GB2312" w:hAnsi="仿宋_GB2312" w:eastAsia="仿宋_GB2312" w:cs="仿宋_GB2312"/>
          <w:b w:val="0"/>
          <w:bCs w:val="0"/>
          <w:color w:val="auto"/>
          <w:sz w:val="21"/>
          <w:szCs w:val="21"/>
          <w:lang w:val="sq-AL" w:eastAsia="zh-CN"/>
        </w:rPr>
        <w:t>方</w:t>
      </w:r>
      <w:r>
        <w:rPr>
          <w:rFonts w:hint="eastAsia" w:ascii="仿宋_GB2312" w:hAnsi="仿宋_GB2312" w:eastAsia="仿宋_GB2312" w:cs="仿宋_GB2312"/>
          <w:b w:val="0"/>
          <w:bCs w:val="0"/>
          <w:color w:val="auto"/>
          <w:sz w:val="21"/>
          <w:szCs w:val="21"/>
          <w:lang w:val="en-US" w:eastAsia="zh-CN"/>
        </w:rPr>
        <w:t>费用和合同质保证金中扣除，若不够承担时，发包方采取必要的形式追回损失。</w:t>
      </w:r>
    </w:p>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3.由于承包</w:t>
      </w:r>
      <w:r>
        <w:rPr>
          <w:rFonts w:hint="eastAsia" w:ascii="仿宋_GB2312" w:hAnsi="仿宋_GB2312" w:eastAsia="仿宋_GB2312" w:cs="仿宋_GB2312"/>
          <w:b w:val="0"/>
          <w:bCs w:val="0"/>
          <w:color w:val="auto"/>
          <w:sz w:val="21"/>
          <w:szCs w:val="21"/>
          <w:lang w:val="sq-AL" w:eastAsia="zh-CN"/>
        </w:rPr>
        <w:t>方</w:t>
      </w:r>
      <w:r>
        <w:rPr>
          <w:rFonts w:hint="eastAsia" w:ascii="仿宋_GB2312" w:hAnsi="仿宋_GB2312" w:eastAsia="仿宋_GB2312" w:cs="仿宋_GB2312"/>
          <w:b w:val="0"/>
          <w:bCs w:val="0"/>
          <w:color w:val="auto"/>
          <w:sz w:val="21"/>
          <w:szCs w:val="21"/>
          <w:lang w:val="en-US" w:eastAsia="zh-CN"/>
        </w:rPr>
        <w:t>在入场作业前未按《甘肃润源环境资源科技有限公司相关方安全管理办法》提报相关资质、材料或提报延迟，按照每天2000元承担违约金。</w:t>
      </w:r>
    </w:p>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4.本业务合同中未约定的安全违约责任，执行《甘肃润源环境资源科技有限公司相关方安全管理办法》中的专项考核细则。</w:t>
      </w:r>
    </w:p>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5.承包方若因自身原因中途解除合同时，提前一个月向冶金渣处理分厂提出申请，冶金渣处理分厂同意后对合同保证金按月均摊后，扣除合同未履行的月份的保证金，否则全额扣除保证金。</w:t>
      </w:r>
    </w:p>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6.承包方是本单位安全生产、环保治理及综合治理责任主体，对本单位人员、设备等负责管理，确保各项作业依法合规。</w:t>
      </w:r>
    </w:p>
    <w:p>
      <w:pPr>
        <w:adjustRightInd w:val="0"/>
        <w:snapToGrid w:val="0"/>
        <w:ind w:firstLine="420" w:firstLineChars="200"/>
        <w:rPr>
          <w:rFonts w:hint="eastAsia" w:ascii="仿宋_GB2312" w:hAnsi="仿宋_GB2312" w:eastAsia="仿宋_GB2312" w:cs="仿宋_GB2312"/>
          <w:b w:val="0"/>
          <w:bCs w:val="0"/>
          <w:color w:val="auto"/>
          <w:sz w:val="21"/>
          <w:szCs w:val="21"/>
          <w:lang w:val="zh-CN" w:eastAsia="zh-CN"/>
        </w:rPr>
      </w:pPr>
      <w:r>
        <w:rPr>
          <w:rFonts w:hint="eastAsia" w:ascii="仿宋_GB2312" w:hAnsi="仿宋_GB2312" w:eastAsia="仿宋_GB2312" w:cs="仿宋_GB2312"/>
          <w:b w:val="0"/>
          <w:bCs w:val="0"/>
          <w:color w:val="auto"/>
          <w:sz w:val="21"/>
          <w:szCs w:val="21"/>
          <w:lang w:val="en-US" w:eastAsia="zh-CN"/>
        </w:rPr>
        <w:t>7.发包方因生产经营条件发生变化或发生不可抗力的因素，致使合同无法履行，发包方可提前解除合同</w:t>
      </w:r>
      <w:r>
        <w:rPr>
          <w:rFonts w:hint="eastAsia" w:ascii="仿宋_GB2312" w:hAnsi="仿宋_GB2312" w:eastAsia="仿宋_GB2312" w:cs="仿宋_GB2312"/>
          <w:b w:val="0"/>
          <w:bCs w:val="0"/>
          <w:color w:val="auto"/>
          <w:sz w:val="21"/>
          <w:szCs w:val="21"/>
          <w:lang w:val="zh-CN" w:eastAsia="zh-CN"/>
        </w:rPr>
        <w:t>不承担任何责任。</w:t>
      </w:r>
    </w:p>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8.合同实际发生金额超出合同总金额或合同超期时，合同自动终止。</w:t>
      </w:r>
    </w:p>
    <w:p>
      <w:pPr>
        <w:adjustRightInd w:val="0"/>
        <w:snapToGrid w:val="0"/>
        <w:ind w:firstLine="420" w:firstLineChars="20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本协议一式两份，发包方、承包方各一份。</w:t>
      </w:r>
    </w:p>
    <w:p>
      <w:pPr>
        <w:keepNext w:val="0"/>
        <w:keepLines w:val="0"/>
        <w:pageBreakBefore w:val="0"/>
        <w:widowControl w:val="0"/>
        <w:kinsoku/>
        <w:wordWrap/>
        <w:overflowPunct/>
        <w:topLinePunct w:val="0"/>
        <w:autoSpaceDE/>
        <w:autoSpaceDN/>
        <w:bidi w:val="0"/>
        <w:snapToGrid w:val="0"/>
        <w:spacing w:line="240" w:lineRule="exact"/>
        <w:ind w:right="0" w:rightChars="0" w:firstLine="420" w:firstLineChars="200"/>
        <w:jc w:val="both"/>
        <w:textAlignment w:val="auto"/>
        <w:outlineLvl w:val="9"/>
        <w:rPr>
          <w:rFonts w:hint="eastAsia" w:ascii="仿宋_GB2312" w:hAnsi="仿宋_GB2312" w:eastAsia="仿宋_GB2312" w:cs="仿宋_GB2312"/>
          <w:sz w:val="21"/>
          <w:szCs w:val="21"/>
          <w:lang w:val="en-US" w:eastAsia="zh-CN"/>
        </w:rPr>
      </w:pPr>
    </w:p>
    <w:p>
      <w:pPr>
        <w:keepNext w:val="0"/>
        <w:keepLines w:val="0"/>
        <w:pageBreakBefore w:val="0"/>
        <w:kinsoku/>
        <w:wordWrap/>
        <w:overflowPunct/>
        <w:topLinePunct w:val="0"/>
        <w:autoSpaceDE/>
        <w:autoSpaceDN/>
        <w:bidi w:val="0"/>
        <w:spacing w:line="240" w:lineRule="exact"/>
        <w:ind w:firstLine="840" w:firstLineChars="4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发包方（甲方）:甘肃润源环境资源科技有限公司      承包方（乙方）: </w:t>
      </w:r>
    </w:p>
    <w:p>
      <w:pPr>
        <w:keepNext w:val="0"/>
        <w:keepLines w:val="0"/>
        <w:pageBreakBefore w:val="0"/>
        <w:widowControl w:val="0"/>
        <w:kinsoku/>
        <w:wordWrap/>
        <w:overflowPunct/>
        <w:topLinePunct w:val="0"/>
        <w:autoSpaceDE/>
        <w:autoSpaceDN/>
        <w:bidi w:val="0"/>
        <w:snapToGrid w:val="0"/>
        <w:spacing w:line="240" w:lineRule="exact"/>
        <w:ind w:right="0" w:rightChars="0" w:firstLine="420" w:firstLineChars="200"/>
        <w:jc w:val="both"/>
        <w:textAlignment w:val="auto"/>
        <w:outlineLvl w:val="9"/>
        <w:rPr>
          <w:rFonts w:hint="eastAsia" w:ascii="仿宋_GB2312" w:hAnsi="仿宋_GB2312" w:eastAsia="仿宋_GB2312" w:cs="仿宋_GB2312"/>
          <w:sz w:val="21"/>
          <w:szCs w:val="21"/>
          <w:lang w:val="en-US" w:eastAsia="zh-CN"/>
        </w:rPr>
      </w:pPr>
    </w:p>
    <w:p>
      <w:pPr>
        <w:keepNext w:val="0"/>
        <w:keepLines w:val="0"/>
        <w:pageBreakBefore w:val="0"/>
        <w:widowControl w:val="0"/>
        <w:kinsoku/>
        <w:wordWrap/>
        <w:overflowPunct/>
        <w:topLinePunct w:val="0"/>
        <w:autoSpaceDE/>
        <w:autoSpaceDN/>
        <w:bidi w:val="0"/>
        <w:snapToGrid w:val="0"/>
        <w:spacing w:line="240" w:lineRule="exact"/>
        <w:ind w:right="0" w:rightChars="0" w:firstLine="420" w:firstLineChars="20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w:t>
      </w:r>
    </w:p>
    <w:p>
      <w:pPr>
        <w:keepNext w:val="0"/>
        <w:keepLines w:val="0"/>
        <w:pageBreakBefore w:val="0"/>
        <w:kinsoku/>
        <w:wordWrap/>
        <w:overflowPunct/>
        <w:topLinePunct w:val="0"/>
        <w:autoSpaceDE/>
        <w:autoSpaceDN/>
        <w:bidi w:val="0"/>
        <w:spacing w:line="240" w:lineRule="exact"/>
        <w:rPr>
          <w:rFonts w:hint="eastAsia" w:ascii="仿宋_GB2312" w:hAnsi="仿宋_GB2312" w:eastAsia="仿宋_GB2312" w:cs="仿宋_GB2312"/>
          <w:sz w:val="21"/>
          <w:szCs w:val="21"/>
          <w:lang w:val="en-US" w:eastAsia="zh-CN"/>
        </w:rPr>
      </w:pPr>
    </w:p>
    <w:p>
      <w:pPr>
        <w:keepNext w:val="0"/>
        <w:keepLines w:val="0"/>
        <w:pageBreakBefore w:val="0"/>
        <w:kinsoku/>
        <w:wordWrap/>
        <w:overflowPunct/>
        <w:topLinePunct w:val="0"/>
        <w:autoSpaceDE/>
        <w:autoSpaceDN/>
        <w:bidi w:val="0"/>
        <w:spacing w:line="240" w:lineRule="exact"/>
        <w:ind w:firstLine="840" w:firstLineChars="4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法定代表人：                             法定代表人：</w:t>
      </w:r>
    </w:p>
    <w:p>
      <w:pPr>
        <w:keepNext w:val="0"/>
        <w:keepLines w:val="0"/>
        <w:pageBreakBefore w:val="0"/>
        <w:kinsoku/>
        <w:wordWrap/>
        <w:overflowPunct/>
        <w:topLinePunct w:val="0"/>
        <w:autoSpaceDE/>
        <w:autoSpaceDN/>
        <w:bidi w:val="0"/>
        <w:spacing w:line="240" w:lineRule="exac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w:t>
      </w:r>
    </w:p>
    <w:p>
      <w:pPr>
        <w:keepNext w:val="0"/>
        <w:keepLines w:val="0"/>
        <w:pageBreakBefore w:val="0"/>
        <w:kinsoku/>
        <w:wordWrap/>
        <w:overflowPunct/>
        <w:topLinePunct w:val="0"/>
        <w:autoSpaceDE/>
        <w:autoSpaceDN/>
        <w:bidi w:val="0"/>
        <w:spacing w:line="240" w:lineRule="exact"/>
        <w:ind w:firstLine="210" w:firstLineChars="1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w:t>
      </w:r>
    </w:p>
    <w:p>
      <w:pPr>
        <w:keepNext w:val="0"/>
        <w:keepLines w:val="0"/>
        <w:pageBreakBefore w:val="0"/>
        <w:kinsoku/>
        <w:wordWrap/>
        <w:overflowPunct/>
        <w:topLinePunct w:val="0"/>
        <w:autoSpaceDE/>
        <w:autoSpaceDN/>
        <w:bidi w:val="0"/>
        <w:spacing w:line="240" w:lineRule="exact"/>
        <w:ind w:firstLine="840" w:firstLineChars="4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委托代理人:                              委托代理人:</w:t>
      </w:r>
    </w:p>
    <w:p>
      <w:pPr>
        <w:keepNext w:val="0"/>
        <w:keepLines w:val="0"/>
        <w:pageBreakBefore w:val="0"/>
        <w:kinsoku/>
        <w:wordWrap/>
        <w:overflowPunct/>
        <w:topLinePunct w:val="0"/>
        <w:autoSpaceDE/>
        <w:autoSpaceDN/>
        <w:bidi w:val="0"/>
        <w:spacing w:line="240" w:lineRule="exact"/>
        <w:ind w:firstLine="840" w:firstLineChars="400"/>
        <w:rPr>
          <w:rFonts w:hint="eastAsia" w:ascii="仿宋_GB2312" w:hAnsi="仿宋_GB2312" w:eastAsia="仿宋_GB2312" w:cs="仿宋_GB2312"/>
          <w:sz w:val="21"/>
          <w:szCs w:val="21"/>
          <w:lang w:val="en-US" w:eastAsia="zh-CN"/>
        </w:rPr>
      </w:pPr>
    </w:p>
    <w:p>
      <w:pPr>
        <w:keepNext w:val="0"/>
        <w:keepLines w:val="0"/>
        <w:pageBreakBefore w:val="0"/>
        <w:kinsoku/>
        <w:wordWrap/>
        <w:overflowPunct/>
        <w:topLinePunct w:val="0"/>
        <w:autoSpaceDE/>
        <w:autoSpaceDN/>
        <w:bidi w:val="0"/>
        <w:spacing w:line="240" w:lineRule="exact"/>
        <w:ind w:firstLine="210" w:firstLineChars="1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w:t>
      </w:r>
    </w:p>
    <w:p>
      <w:pPr>
        <w:keepNext w:val="0"/>
        <w:keepLines w:val="0"/>
        <w:pageBreakBefore w:val="0"/>
        <w:kinsoku/>
        <w:wordWrap/>
        <w:overflowPunct/>
        <w:topLinePunct w:val="0"/>
        <w:autoSpaceDE/>
        <w:autoSpaceDN/>
        <w:bidi w:val="0"/>
        <w:spacing w:line="240" w:lineRule="exact"/>
        <w:ind w:firstLine="840" w:firstLineChars="4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年    月    日                           年    月    日</w:t>
      </w:r>
    </w:p>
    <w:p>
      <w:pPr>
        <w:rPr>
          <w:rFonts w:hint="eastAsia" w:ascii="仿宋_GB2312" w:hAnsi="仿宋_GB2312" w:eastAsia="仿宋_GB2312" w:cs="仿宋_GB2312"/>
        </w:rPr>
      </w:pPr>
    </w:p>
    <w:sectPr>
      <w:headerReference r:id="rId3" w:type="default"/>
      <w:footerReference r:id="rId4" w:type="default"/>
      <w:pgSz w:w="11906" w:h="16838"/>
      <w:pgMar w:top="1043" w:right="1009" w:bottom="986" w:left="1066"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rPr>
        <w:sz w:val="18"/>
      </w:rPr>
      <w:pict>
        <v:shape id="PowerPlusWaterMarkObject29543" o:spid="_x0000_s4097" o:spt="136" type="#_x0000_t136" style="position:absolute;left:0pt;height:166.15pt;width:421.1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2021版"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0AEE9"/>
    <w:multiLevelType w:val="singleLevel"/>
    <w:tmpl w:val="6A90AEE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F5DCA"/>
    <w:rsid w:val="030A0502"/>
    <w:rsid w:val="032B2E48"/>
    <w:rsid w:val="04613FFC"/>
    <w:rsid w:val="04C52D5F"/>
    <w:rsid w:val="05ED0E0D"/>
    <w:rsid w:val="067B5CB9"/>
    <w:rsid w:val="07005786"/>
    <w:rsid w:val="08865BB3"/>
    <w:rsid w:val="0A936336"/>
    <w:rsid w:val="0AE67422"/>
    <w:rsid w:val="0C0250D4"/>
    <w:rsid w:val="0C8A5987"/>
    <w:rsid w:val="11710C8D"/>
    <w:rsid w:val="123514DE"/>
    <w:rsid w:val="157510FD"/>
    <w:rsid w:val="16477CE6"/>
    <w:rsid w:val="198C38AF"/>
    <w:rsid w:val="1D376F36"/>
    <w:rsid w:val="1EC62C77"/>
    <w:rsid w:val="1EED08BD"/>
    <w:rsid w:val="1EF7652F"/>
    <w:rsid w:val="216B1113"/>
    <w:rsid w:val="216C17C9"/>
    <w:rsid w:val="21E06C81"/>
    <w:rsid w:val="22AB4554"/>
    <w:rsid w:val="22B758A4"/>
    <w:rsid w:val="243C6E50"/>
    <w:rsid w:val="24851E9A"/>
    <w:rsid w:val="294057F1"/>
    <w:rsid w:val="2ED8476D"/>
    <w:rsid w:val="309649A3"/>
    <w:rsid w:val="31AD17E2"/>
    <w:rsid w:val="31CC7044"/>
    <w:rsid w:val="329C6015"/>
    <w:rsid w:val="339E7FA9"/>
    <w:rsid w:val="341724F7"/>
    <w:rsid w:val="34E91996"/>
    <w:rsid w:val="361029AE"/>
    <w:rsid w:val="37115777"/>
    <w:rsid w:val="38D11552"/>
    <w:rsid w:val="38D33EED"/>
    <w:rsid w:val="39AF0132"/>
    <w:rsid w:val="3BA217BF"/>
    <w:rsid w:val="3F78746A"/>
    <w:rsid w:val="41170FCC"/>
    <w:rsid w:val="4368188F"/>
    <w:rsid w:val="43FC01B9"/>
    <w:rsid w:val="453D5CAD"/>
    <w:rsid w:val="45CF0F1B"/>
    <w:rsid w:val="46980D77"/>
    <w:rsid w:val="48562C5D"/>
    <w:rsid w:val="49B9306E"/>
    <w:rsid w:val="4A7274BB"/>
    <w:rsid w:val="4EF168C3"/>
    <w:rsid w:val="50E31065"/>
    <w:rsid w:val="5102049D"/>
    <w:rsid w:val="514A10CF"/>
    <w:rsid w:val="523A3273"/>
    <w:rsid w:val="526A28A8"/>
    <w:rsid w:val="52731623"/>
    <w:rsid w:val="54573EE7"/>
    <w:rsid w:val="54BE6CD0"/>
    <w:rsid w:val="54F71666"/>
    <w:rsid w:val="57C441C2"/>
    <w:rsid w:val="57DE4CE8"/>
    <w:rsid w:val="58217130"/>
    <w:rsid w:val="59FF282D"/>
    <w:rsid w:val="5A110A20"/>
    <w:rsid w:val="5B892126"/>
    <w:rsid w:val="5C4C3E7A"/>
    <w:rsid w:val="62D16E02"/>
    <w:rsid w:val="635814CC"/>
    <w:rsid w:val="6782132D"/>
    <w:rsid w:val="6791289D"/>
    <w:rsid w:val="685A4699"/>
    <w:rsid w:val="689D4120"/>
    <w:rsid w:val="6AEF34D0"/>
    <w:rsid w:val="6B573646"/>
    <w:rsid w:val="6BE1402E"/>
    <w:rsid w:val="6DDC768D"/>
    <w:rsid w:val="6E78783B"/>
    <w:rsid w:val="6EF551BF"/>
    <w:rsid w:val="71420A8D"/>
    <w:rsid w:val="742D3BC7"/>
    <w:rsid w:val="74D04799"/>
    <w:rsid w:val="79627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Arial"/>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ind w:firstLine="390"/>
    </w:pPr>
    <w:rPr>
      <w:sz w:val="30"/>
      <w:szCs w:val="20"/>
    </w:rPr>
  </w:style>
  <w:style w:type="paragraph" w:styleId="3">
    <w:name w:val="Body Text Indent"/>
    <w:basedOn w:val="1"/>
    <w:qFormat/>
    <w:uiPriority w:val="0"/>
    <w:pPr>
      <w:ind w:firstLine="560" w:firstLineChars="200"/>
    </w:pPr>
    <w:rPr>
      <w:rFonts w:ascii="宋体" w:hAnsi="宋体"/>
      <w:sz w:val="28"/>
      <w:szCs w:val="28"/>
    </w:rPr>
  </w:style>
  <w:style w:type="paragraph" w:styleId="4">
    <w:name w:val="Plain Text"/>
    <w:basedOn w:val="1"/>
    <w:link w:val="11"/>
    <w:unhideWhenUsed/>
    <w:qFormat/>
    <w:uiPriority w:val="0"/>
    <w:rPr>
      <w:rFonts w:ascii="宋体" w:hAnsi="Courier New"/>
      <w:kern w:val="0"/>
      <w:sz w:val="2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2"/>
    <w:basedOn w:val="3"/>
    <w:qFormat/>
    <w:uiPriority w:val="0"/>
    <w:pPr>
      <w:tabs>
        <w:tab w:val="left" w:pos="-105"/>
      </w:tabs>
      <w:spacing w:after="120" w:line="240" w:lineRule="auto"/>
      <w:ind w:left="420" w:firstLine="210"/>
      <w:jc w:val="left"/>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纯文本 Char"/>
    <w:link w:val="4"/>
    <w:qFormat/>
    <w:uiPriority w:val="99"/>
    <w:rPr>
      <w:rFonts w:ascii="宋体" w:hAnsi="Courier New"/>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2021-09-03T01:02:00Z</dcterms:created>
  <dc:creator>Administrator</dc:creator>
  <cp:lastModifiedBy>高峰</cp:lastModifiedBy>
  <dcterms:modified xsi:type="dcterms:W3CDTF">2021-09-17T08:31:19Z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