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50" w:afterLines="50" w:line="340" w:lineRule="exact"/>
        <w:ind w:firstLine="0" w:firstLineChars="0"/>
        <w:rPr>
          <w:rFonts w:ascii="宋体" w:hAnsi="宋体"/>
          <w:i w:val="0"/>
          <w:iCs w:val="0"/>
          <w:color w:val="auto"/>
        </w:rPr>
      </w:pPr>
      <w:r>
        <w:rPr>
          <w:rFonts w:hint="eastAsia" w:ascii="宋体" w:hAnsi="宋体"/>
          <w:i w:val="0"/>
          <w:iCs w:val="0"/>
          <w:color w:val="auto"/>
        </w:rPr>
        <w:t>榆钢3</w:t>
      </w:r>
      <w:r>
        <w:rPr>
          <w:rFonts w:hint="eastAsia" w:ascii="宋体" w:hAnsi="宋体"/>
          <w:i w:val="0"/>
          <w:iCs w:val="0"/>
          <w:color w:val="auto"/>
          <w:lang w:val="en-US" w:eastAsia="zh-CN"/>
        </w:rPr>
        <w:t>#</w:t>
      </w:r>
      <w:r>
        <w:rPr>
          <w:rFonts w:hint="eastAsia" w:ascii="宋体" w:hAnsi="宋体"/>
          <w:i w:val="0"/>
          <w:iCs w:val="0"/>
          <w:color w:val="auto"/>
        </w:rPr>
        <w:t>高炉渣铁沟</w:t>
      </w:r>
      <w:r>
        <w:rPr>
          <w:rFonts w:hint="eastAsia" w:ascii="宋体" w:hAnsi="宋体"/>
          <w:i w:val="0"/>
          <w:iCs w:val="0"/>
          <w:color w:val="auto"/>
          <w:lang w:eastAsia="zh-CN"/>
        </w:rPr>
        <w:t>整体耐火材料承包</w:t>
      </w:r>
      <w:r>
        <w:rPr>
          <w:rFonts w:hint="eastAsia" w:ascii="宋体" w:hAnsi="宋体"/>
          <w:i w:val="0"/>
          <w:iCs w:val="0"/>
          <w:color w:val="auto"/>
        </w:rPr>
        <w:t>技术协议</w:t>
      </w:r>
    </w:p>
    <w:p>
      <w:pPr>
        <w:spacing w:line="300" w:lineRule="exact"/>
        <w:ind w:firstLine="420" w:firstLineChars="200"/>
        <w:rPr>
          <w:rFonts w:hint="eastAsia" w:ascii="宋体" w:hAnsi="宋体" w:cs="Times New Roman"/>
          <w:szCs w:val="21"/>
        </w:rPr>
      </w:pPr>
    </w:p>
    <w:p>
      <w:pPr>
        <w:spacing w:line="300" w:lineRule="exact"/>
        <w:ind w:firstLine="420" w:firstLineChars="200"/>
        <w:rPr>
          <w:rFonts w:hint="eastAsia" w:ascii="宋体" w:hAnsi="宋体" w:cs="Times New Roman"/>
          <w:szCs w:val="21"/>
        </w:rPr>
      </w:pPr>
      <w:r>
        <w:rPr>
          <w:rFonts w:hint="eastAsia" w:ascii="宋体" w:hAnsi="宋体" w:cs="Times New Roman"/>
          <w:szCs w:val="21"/>
        </w:rPr>
        <w:t>甲方：甘肃酒钢集团科力耐火材料股份有限公司</w:t>
      </w:r>
    </w:p>
    <w:p>
      <w:pPr>
        <w:spacing w:line="300" w:lineRule="exact"/>
        <w:ind w:firstLine="420" w:firstLineChars="200"/>
        <w:rPr>
          <w:rFonts w:hint="eastAsia" w:ascii="宋体" w:hAnsi="宋体" w:cs="Times New Roman"/>
          <w:szCs w:val="21"/>
        </w:rPr>
      </w:pPr>
      <w:r>
        <w:rPr>
          <w:rFonts w:hint="eastAsia" w:ascii="宋体" w:hAnsi="宋体" w:cs="Times New Roman"/>
          <w:szCs w:val="21"/>
        </w:rPr>
        <w:t>乙方：</w:t>
      </w:r>
    </w:p>
    <w:p>
      <w:pPr>
        <w:spacing w:line="300" w:lineRule="exact"/>
        <w:ind w:firstLine="420" w:firstLineChars="200"/>
        <w:rPr>
          <w:rFonts w:hint="eastAsia" w:ascii="宋体" w:hAnsi="宋体" w:cs="Times New Roman"/>
          <w:szCs w:val="21"/>
        </w:rPr>
      </w:pPr>
    </w:p>
    <w:p>
      <w:pPr>
        <w:pStyle w:val="3"/>
        <w:spacing w:line="300" w:lineRule="exact"/>
        <w:ind w:firstLine="420" w:firstLineChars="200"/>
        <w:rPr>
          <w:rFonts w:ascii="宋体" w:hAnsi="宋体"/>
          <w:sz w:val="21"/>
          <w:szCs w:val="21"/>
        </w:rPr>
      </w:pPr>
      <w:r>
        <w:rPr>
          <w:rFonts w:hint="eastAsia" w:ascii="宋体" w:hAnsi="宋体"/>
          <w:sz w:val="21"/>
          <w:szCs w:val="21"/>
        </w:rPr>
        <w:t>依照《中华人民共和国</w:t>
      </w:r>
      <w:r>
        <w:rPr>
          <w:rFonts w:hint="eastAsia" w:ascii="宋体" w:hAnsi="宋体"/>
          <w:sz w:val="21"/>
          <w:szCs w:val="21"/>
          <w:lang w:eastAsia="zh-CN"/>
        </w:rPr>
        <w:t>民法典</w:t>
      </w:r>
      <w:r>
        <w:rPr>
          <w:rFonts w:hint="eastAsia" w:ascii="宋体" w:hAnsi="宋体"/>
          <w:sz w:val="21"/>
          <w:szCs w:val="21"/>
        </w:rPr>
        <w:t>》及其他有关法律、行政法规，遵循平等、自愿、公平和诚实信用的原则，甲乙双方就乙方承担榆钢3#高炉渣铁沟耐材保产业务协商一致，达成以下协议：</w:t>
      </w:r>
    </w:p>
    <w:p>
      <w:pPr>
        <w:spacing w:line="300" w:lineRule="exact"/>
        <w:ind w:firstLine="420" w:firstLineChars="200"/>
        <w:rPr>
          <w:rFonts w:ascii="宋体" w:hAnsi="宋体"/>
          <w:szCs w:val="21"/>
        </w:rPr>
      </w:pPr>
      <w:r>
        <w:rPr>
          <w:rFonts w:hint="eastAsia" w:ascii="宋体" w:hAnsi="宋体"/>
          <w:szCs w:val="21"/>
        </w:rPr>
        <w:t xml:space="preserve">1供货范围和名称: </w:t>
      </w:r>
    </w:p>
    <w:p>
      <w:pPr>
        <w:pStyle w:val="3"/>
        <w:spacing w:line="300" w:lineRule="exact"/>
        <w:ind w:firstLine="420" w:firstLineChars="200"/>
        <w:rPr>
          <w:rFonts w:ascii="宋体" w:hAnsi="宋体"/>
          <w:sz w:val="21"/>
          <w:szCs w:val="21"/>
        </w:rPr>
      </w:pPr>
      <w:r>
        <w:rPr>
          <w:rFonts w:hint="eastAsia" w:ascii="宋体" w:hAnsi="宋体"/>
          <w:sz w:val="21"/>
          <w:szCs w:val="21"/>
        </w:rPr>
        <w:t>1.1榆钢3号高炉主沟、铁沟、铁摆、渣沟、残铁沟、铁沟盖板、沟帮子大修、小修及日常维护所需耐火材料的供应。</w:t>
      </w:r>
    </w:p>
    <w:p>
      <w:pPr>
        <w:pStyle w:val="3"/>
        <w:spacing w:line="300" w:lineRule="exact"/>
        <w:ind w:firstLine="420" w:firstLineChars="200"/>
        <w:rPr>
          <w:rFonts w:ascii="宋体" w:hAnsi="宋体"/>
          <w:sz w:val="21"/>
          <w:szCs w:val="21"/>
        </w:rPr>
      </w:pPr>
      <w:r>
        <w:rPr>
          <w:rFonts w:hint="eastAsia" w:ascii="宋体" w:hAnsi="宋体"/>
          <w:sz w:val="21"/>
          <w:szCs w:val="21"/>
        </w:rPr>
        <w:t>1.2榆钢3号高炉除尘罩、渣铁沟盖板打结喷涂用耐火材料；渣沟挡码子用沟料、铁口泥套浇注料；3号高炉日常维护用高炉铁口灌浆料、高炉及热风炉灌浆料及应急维护用浇注料。</w:t>
      </w:r>
    </w:p>
    <w:p>
      <w:pPr>
        <w:pStyle w:val="3"/>
        <w:spacing w:line="300" w:lineRule="exact"/>
        <w:ind w:firstLine="420" w:firstLineChars="200"/>
        <w:rPr>
          <w:rFonts w:ascii="宋体" w:hAnsi="宋体"/>
          <w:sz w:val="21"/>
          <w:szCs w:val="21"/>
        </w:rPr>
      </w:pPr>
      <w:r>
        <w:rPr>
          <w:rFonts w:hint="eastAsia" w:ascii="宋体" w:hAnsi="宋体"/>
          <w:sz w:val="21"/>
          <w:szCs w:val="21"/>
        </w:rPr>
        <w:t>1.3榆钢3号高炉主沟外模检修需要投入的所有耐火材料。</w:t>
      </w:r>
    </w:p>
    <w:p>
      <w:pPr>
        <w:pStyle w:val="3"/>
        <w:spacing w:line="300" w:lineRule="exact"/>
        <w:ind w:firstLine="420" w:firstLineChars="200"/>
        <w:rPr>
          <w:rFonts w:ascii="宋体" w:hAnsi="宋体"/>
          <w:sz w:val="21"/>
          <w:szCs w:val="21"/>
        </w:rPr>
      </w:pPr>
      <w:r>
        <w:rPr>
          <w:rFonts w:hint="eastAsia" w:ascii="宋体" w:hAnsi="宋体"/>
          <w:sz w:val="21"/>
          <w:szCs w:val="21"/>
        </w:rPr>
        <w:t>1.4榆钢3号高炉以上1.1、1.2条款中所有耐火材料施工及拆除过程中所使用的材料备件和工器具。</w:t>
      </w:r>
    </w:p>
    <w:p>
      <w:pPr>
        <w:spacing w:line="300" w:lineRule="exact"/>
        <w:ind w:firstLine="420" w:firstLineChars="200"/>
        <w:rPr>
          <w:rFonts w:ascii="宋体" w:hAnsi="宋体"/>
          <w:szCs w:val="21"/>
        </w:rPr>
      </w:pPr>
      <w:r>
        <w:rPr>
          <w:rFonts w:hint="eastAsia" w:ascii="宋体" w:hAnsi="宋体"/>
          <w:szCs w:val="21"/>
        </w:rPr>
        <w:t>1.5榆钢3号高炉维护施工过程中的物料及模具的倒运，负责提供工程车辆燃油，发生的铁路占延费、内部车辆倒运费及运输费由供方承担。</w:t>
      </w:r>
    </w:p>
    <w:p>
      <w:pPr>
        <w:spacing w:line="300" w:lineRule="exact"/>
        <w:ind w:firstLine="420" w:firstLineChars="200"/>
        <w:rPr>
          <w:rFonts w:ascii="宋体" w:hAnsi="宋体"/>
          <w:szCs w:val="21"/>
        </w:rPr>
      </w:pPr>
      <w:r>
        <w:rPr>
          <w:rFonts w:hint="eastAsia" w:ascii="宋体" w:hAnsi="宋体"/>
          <w:szCs w:val="21"/>
        </w:rPr>
        <w:t>1.6保产过程中产生的废弃物进行无害化规范处置，达标排放。</w:t>
      </w:r>
    </w:p>
    <w:p>
      <w:pPr>
        <w:spacing w:line="300" w:lineRule="exact"/>
        <w:ind w:firstLine="420" w:firstLineChars="200"/>
        <w:rPr>
          <w:rFonts w:ascii="宋体" w:hAnsi="宋体"/>
          <w:szCs w:val="21"/>
        </w:rPr>
      </w:pPr>
      <w:r>
        <w:rPr>
          <w:rFonts w:hint="eastAsia" w:ascii="宋体" w:hAnsi="宋体"/>
          <w:szCs w:val="21"/>
        </w:rPr>
        <w:t>2甲方使用条件和要求</w:t>
      </w:r>
    </w:p>
    <w:p>
      <w:pPr>
        <w:spacing w:line="300" w:lineRule="exact"/>
        <w:ind w:firstLine="420" w:firstLineChars="200"/>
        <w:rPr>
          <w:rFonts w:ascii="宋体" w:hAnsi="宋体"/>
          <w:szCs w:val="21"/>
        </w:rPr>
      </w:pPr>
      <w:r>
        <w:rPr>
          <w:rFonts w:hint="eastAsia" w:ascii="宋体" w:hAnsi="宋体"/>
          <w:szCs w:val="21"/>
        </w:rPr>
        <w:t>2.1工艺要求</w:t>
      </w:r>
    </w:p>
    <w:p>
      <w:pPr>
        <w:tabs>
          <w:tab w:val="left" w:pos="8280"/>
        </w:tabs>
        <w:spacing w:line="300" w:lineRule="exact"/>
        <w:ind w:firstLine="420" w:firstLineChars="200"/>
        <w:rPr>
          <w:rFonts w:ascii="宋体" w:hAnsi="宋体"/>
          <w:szCs w:val="21"/>
        </w:rPr>
      </w:pPr>
      <w:r>
        <w:rPr>
          <w:rFonts w:hint="eastAsia" w:ascii="宋体" w:hAnsi="宋体"/>
          <w:szCs w:val="21"/>
        </w:rPr>
        <w:t>2.1.1高炉主沟、渣铁沟、铁摆、残铁沟等用耐火材料，要求产品质量稳定，具有良好的抗侵蚀性能、抗冲击性能、及热震稳定性、产品理化指标满足相关标准要求和现场使用要求；浇注料施工性能及硬化速度满足现场施工使用要求。</w:t>
      </w:r>
    </w:p>
    <w:p>
      <w:pPr>
        <w:tabs>
          <w:tab w:val="left" w:pos="8280"/>
        </w:tabs>
        <w:spacing w:line="300" w:lineRule="exact"/>
        <w:ind w:firstLine="420" w:firstLineChars="200"/>
        <w:rPr>
          <w:rFonts w:ascii="宋体" w:hAnsi="宋体"/>
          <w:szCs w:val="21"/>
        </w:rPr>
      </w:pPr>
      <w:r>
        <w:rPr>
          <w:rFonts w:hint="eastAsia" w:ascii="宋体" w:hAnsi="宋体"/>
          <w:szCs w:val="21"/>
        </w:rPr>
        <w:t>2.1.2新打结渣铁沟盖板使用寿命不低于7万吨通铁量或不低于1个月的使用要求，使用周期内盖板不得发生盖板发红、浇注料脱落等质量</w:t>
      </w:r>
      <w:r>
        <w:rPr>
          <w:rFonts w:hint="eastAsia" w:ascii="宋体" w:hAnsi="宋体"/>
          <w:szCs w:val="21"/>
          <w:lang w:eastAsia="zh-CN"/>
        </w:rPr>
        <w:t>问题</w:t>
      </w:r>
      <w:r>
        <w:rPr>
          <w:rFonts w:hint="eastAsia" w:ascii="宋体" w:hAnsi="宋体"/>
          <w:szCs w:val="21"/>
        </w:rPr>
        <w:t>。</w:t>
      </w:r>
    </w:p>
    <w:p>
      <w:pPr>
        <w:spacing w:line="300" w:lineRule="exact"/>
        <w:ind w:firstLine="420" w:firstLineChars="200"/>
        <w:rPr>
          <w:rFonts w:ascii="宋体" w:hAnsi="宋体"/>
          <w:szCs w:val="21"/>
        </w:rPr>
      </w:pPr>
      <w:r>
        <w:rPr>
          <w:rFonts w:hint="eastAsia" w:ascii="宋体" w:hAnsi="宋体"/>
          <w:szCs w:val="21"/>
        </w:rPr>
        <w:t>2.2 理化指标【仅为技术交流参考，不作为违约责任追究依据】：</w:t>
      </w:r>
    </w:p>
    <w:p>
      <w:pPr>
        <w:tabs>
          <w:tab w:val="left" w:pos="8280"/>
          <w:tab w:val="left" w:pos="8931"/>
        </w:tabs>
        <w:spacing w:line="300" w:lineRule="exact"/>
        <w:ind w:right="-1260" w:rightChars="-600" w:firstLine="420" w:firstLineChars="200"/>
        <w:jc w:val="center"/>
        <w:rPr>
          <w:rFonts w:ascii="宋体" w:hAnsi="宋体"/>
          <w:szCs w:val="21"/>
        </w:rPr>
      </w:pPr>
      <w:r>
        <w:rPr>
          <w:rFonts w:hint="eastAsia" w:ascii="宋体" w:hAnsi="宋体"/>
          <w:szCs w:val="21"/>
        </w:rPr>
        <w:t>附表1：主沟浇注料理化指标</w:t>
      </w:r>
    </w:p>
    <w:tbl>
      <w:tblPr>
        <w:tblStyle w:val="9"/>
        <w:tblW w:w="503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03"/>
        <w:gridCol w:w="1559"/>
        <w:gridCol w:w="1297"/>
        <w:gridCol w:w="1410"/>
        <w:gridCol w:w="1555"/>
        <w:gridCol w:w="1410"/>
        <w:gridCol w:w="14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 w:hRule="atLeast"/>
          <w:jc w:val="center"/>
        </w:trPr>
        <w:tc>
          <w:tcPr>
            <w:tcW w:w="1393" w:type="pct"/>
            <w:gridSpan w:val="2"/>
            <w:noWrap w:val="0"/>
            <w:vAlign w:val="center"/>
          </w:tcPr>
          <w:p>
            <w:pPr>
              <w:spacing w:line="300" w:lineRule="exact"/>
              <w:jc w:val="center"/>
              <w:rPr>
                <w:rFonts w:ascii="宋体" w:hAnsi="宋体"/>
                <w:szCs w:val="21"/>
              </w:rPr>
            </w:pPr>
            <w:bookmarkStart w:id="0" w:name="OLE_LINK1"/>
            <w:r>
              <w:rPr>
                <w:rFonts w:hint="eastAsia" w:ascii="宋体" w:hAnsi="宋体"/>
                <w:szCs w:val="21"/>
              </w:rPr>
              <w:t>化学组成，％</w:t>
            </w:r>
          </w:p>
        </w:tc>
        <w:tc>
          <w:tcPr>
            <w:tcW w:w="654" w:type="pct"/>
            <w:vMerge w:val="restart"/>
            <w:noWrap w:val="0"/>
            <w:vAlign w:val="center"/>
          </w:tcPr>
          <w:p>
            <w:pPr>
              <w:spacing w:line="300" w:lineRule="exact"/>
              <w:jc w:val="center"/>
              <w:rPr>
                <w:rFonts w:ascii="宋体" w:hAnsi="宋体"/>
                <w:szCs w:val="21"/>
              </w:rPr>
            </w:pPr>
            <w:r>
              <w:rPr>
                <w:rFonts w:hint="eastAsia" w:ascii="宋体" w:hAnsi="宋体"/>
                <w:szCs w:val="21"/>
              </w:rPr>
              <w:t>体积密度</w:t>
            </w:r>
          </w:p>
          <w:p>
            <w:pPr>
              <w:spacing w:line="300" w:lineRule="exact"/>
              <w:jc w:val="center"/>
              <w:rPr>
                <w:rFonts w:ascii="宋体" w:hAnsi="宋体"/>
                <w:szCs w:val="21"/>
              </w:rPr>
            </w:pPr>
            <w:r>
              <w:rPr>
                <w:rFonts w:ascii="宋体" w:hAnsi="宋体"/>
                <w:szCs w:val="21"/>
              </w:rPr>
              <w:t>g/cm</w:t>
            </w:r>
            <w:r>
              <w:rPr>
                <w:rFonts w:ascii="宋体" w:hAnsi="宋体"/>
                <w:szCs w:val="21"/>
                <w:vertAlign w:val="superscript"/>
              </w:rPr>
              <w:t>3</w:t>
            </w:r>
          </w:p>
        </w:tc>
        <w:tc>
          <w:tcPr>
            <w:tcW w:w="711" w:type="pct"/>
            <w:vMerge w:val="restart"/>
            <w:noWrap w:val="0"/>
            <w:vAlign w:val="center"/>
          </w:tcPr>
          <w:p>
            <w:pPr>
              <w:spacing w:line="300" w:lineRule="exact"/>
              <w:jc w:val="center"/>
              <w:rPr>
                <w:rFonts w:ascii="宋体" w:hAnsi="宋体"/>
                <w:szCs w:val="21"/>
              </w:rPr>
            </w:pPr>
            <w:r>
              <w:rPr>
                <w:rFonts w:hint="eastAsia" w:ascii="宋体" w:hAnsi="宋体"/>
                <w:szCs w:val="21"/>
              </w:rPr>
              <w:t>抗折强度</w:t>
            </w:r>
          </w:p>
          <w:p>
            <w:pPr>
              <w:spacing w:line="300" w:lineRule="exact"/>
              <w:jc w:val="center"/>
              <w:rPr>
                <w:rFonts w:ascii="宋体" w:hAnsi="宋体"/>
                <w:szCs w:val="21"/>
              </w:rPr>
            </w:pPr>
            <w:r>
              <w:rPr>
                <w:rFonts w:ascii="宋体" w:hAnsi="宋体"/>
                <w:szCs w:val="21"/>
              </w:rPr>
              <w:t>Mpa</w:t>
            </w:r>
          </w:p>
        </w:tc>
        <w:tc>
          <w:tcPr>
            <w:tcW w:w="784" w:type="pct"/>
            <w:vMerge w:val="restart"/>
            <w:noWrap w:val="0"/>
            <w:vAlign w:val="center"/>
          </w:tcPr>
          <w:p>
            <w:pPr>
              <w:spacing w:line="300" w:lineRule="exact"/>
              <w:ind w:right="46" w:rightChars="22"/>
              <w:jc w:val="center"/>
              <w:rPr>
                <w:rFonts w:ascii="宋体" w:hAnsi="宋体"/>
                <w:szCs w:val="21"/>
              </w:rPr>
            </w:pPr>
            <w:r>
              <w:rPr>
                <w:rFonts w:hint="eastAsia" w:ascii="宋体" w:hAnsi="宋体"/>
                <w:szCs w:val="21"/>
              </w:rPr>
              <w:t>耐压强度</w:t>
            </w:r>
          </w:p>
          <w:p>
            <w:pPr>
              <w:spacing w:line="300" w:lineRule="exact"/>
              <w:ind w:right="46" w:rightChars="22"/>
              <w:jc w:val="center"/>
              <w:rPr>
                <w:rFonts w:ascii="宋体" w:hAnsi="宋体"/>
                <w:szCs w:val="21"/>
              </w:rPr>
            </w:pPr>
            <w:r>
              <w:rPr>
                <w:rFonts w:ascii="宋体" w:hAnsi="宋体"/>
                <w:szCs w:val="21"/>
              </w:rPr>
              <w:t>Mpa</w:t>
            </w:r>
          </w:p>
        </w:tc>
        <w:tc>
          <w:tcPr>
            <w:tcW w:w="711" w:type="pct"/>
            <w:vMerge w:val="restart"/>
            <w:noWrap w:val="0"/>
            <w:vAlign w:val="center"/>
          </w:tcPr>
          <w:p>
            <w:pPr>
              <w:spacing w:line="300" w:lineRule="exact"/>
              <w:jc w:val="center"/>
              <w:rPr>
                <w:rFonts w:ascii="宋体" w:hAnsi="宋体"/>
                <w:szCs w:val="21"/>
              </w:rPr>
            </w:pPr>
            <w:r>
              <w:rPr>
                <w:rFonts w:hint="eastAsia" w:ascii="宋体" w:hAnsi="宋体"/>
                <w:szCs w:val="21"/>
              </w:rPr>
              <w:t>加热永久</w:t>
            </w:r>
          </w:p>
          <w:p>
            <w:pPr>
              <w:spacing w:line="300" w:lineRule="exact"/>
              <w:jc w:val="center"/>
              <w:rPr>
                <w:rFonts w:ascii="宋体" w:hAnsi="宋体"/>
                <w:szCs w:val="21"/>
              </w:rPr>
            </w:pPr>
            <w:r>
              <w:rPr>
                <w:rFonts w:hint="eastAsia" w:ascii="宋体" w:hAnsi="宋体"/>
                <w:szCs w:val="21"/>
              </w:rPr>
              <w:t>性线变化</w:t>
            </w:r>
            <w:r>
              <w:rPr>
                <w:rFonts w:ascii="宋体" w:hAnsi="宋体"/>
                <w:szCs w:val="21"/>
              </w:rPr>
              <w:t>%</w:t>
            </w:r>
          </w:p>
        </w:tc>
        <w:tc>
          <w:tcPr>
            <w:tcW w:w="747" w:type="pct"/>
            <w:vMerge w:val="restart"/>
            <w:noWrap w:val="0"/>
            <w:vAlign w:val="center"/>
          </w:tcPr>
          <w:p>
            <w:pPr>
              <w:spacing w:line="300" w:lineRule="exact"/>
              <w:jc w:val="center"/>
              <w:rPr>
                <w:rFonts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 w:hRule="atLeast"/>
          <w:jc w:val="center"/>
        </w:trPr>
        <w:tc>
          <w:tcPr>
            <w:tcW w:w="607" w:type="pct"/>
            <w:noWrap w:val="0"/>
            <w:vAlign w:val="center"/>
          </w:tcPr>
          <w:p>
            <w:pPr>
              <w:spacing w:line="300" w:lineRule="exact"/>
              <w:jc w:val="center"/>
              <w:rPr>
                <w:rFonts w:ascii="宋体" w:hAnsi="宋体"/>
                <w:szCs w:val="21"/>
              </w:rPr>
            </w:pPr>
            <w:r>
              <w:rPr>
                <w:rFonts w:ascii="宋体" w:hAnsi="宋体"/>
                <w:szCs w:val="21"/>
              </w:rPr>
              <w:t>W</w:t>
            </w:r>
            <w:r>
              <w:rPr>
                <w:rFonts w:hint="eastAsia" w:ascii="宋体" w:hAnsi="宋体"/>
                <w:szCs w:val="21"/>
              </w:rPr>
              <w:t>（</w:t>
            </w:r>
            <w:r>
              <w:rPr>
                <w:rFonts w:ascii="宋体" w:hAnsi="宋体"/>
                <w:szCs w:val="21"/>
              </w:rPr>
              <w:t>Al</w:t>
            </w:r>
            <w:r>
              <w:rPr>
                <w:rFonts w:ascii="宋体" w:hAnsi="宋体"/>
                <w:szCs w:val="21"/>
                <w:vertAlign w:val="subscript"/>
              </w:rPr>
              <w:t>2</w:t>
            </w:r>
            <w:r>
              <w:rPr>
                <w:rFonts w:ascii="宋体" w:hAnsi="宋体"/>
                <w:szCs w:val="21"/>
              </w:rPr>
              <w:t>O</w:t>
            </w:r>
            <w:r>
              <w:rPr>
                <w:rFonts w:ascii="宋体" w:hAnsi="宋体"/>
                <w:szCs w:val="21"/>
                <w:vertAlign w:val="subscript"/>
              </w:rPr>
              <w:t>3</w:t>
            </w:r>
            <w:r>
              <w:rPr>
                <w:rFonts w:hint="eastAsia" w:ascii="宋体" w:hAnsi="宋体"/>
                <w:szCs w:val="21"/>
              </w:rPr>
              <w:t>）</w:t>
            </w:r>
            <w:r>
              <w:rPr>
                <w:rFonts w:ascii="宋体" w:hAnsi="宋体"/>
                <w:szCs w:val="21"/>
              </w:rPr>
              <w:t>%</w:t>
            </w:r>
          </w:p>
        </w:tc>
        <w:tc>
          <w:tcPr>
            <w:tcW w:w="786" w:type="pct"/>
            <w:noWrap w:val="0"/>
            <w:vAlign w:val="center"/>
          </w:tcPr>
          <w:p>
            <w:pPr>
              <w:spacing w:line="300" w:lineRule="exact"/>
              <w:jc w:val="center"/>
              <w:rPr>
                <w:rFonts w:ascii="宋体" w:hAnsi="宋体"/>
                <w:szCs w:val="21"/>
              </w:rPr>
            </w:pPr>
            <w:r>
              <w:rPr>
                <w:rFonts w:ascii="宋体" w:hAnsi="宋体"/>
                <w:szCs w:val="21"/>
              </w:rPr>
              <w:t>W</w:t>
            </w:r>
            <w:r>
              <w:rPr>
                <w:rFonts w:hint="eastAsia" w:ascii="宋体" w:hAnsi="宋体"/>
                <w:szCs w:val="21"/>
              </w:rPr>
              <w:t>（</w:t>
            </w:r>
            <w:r>
              <w:rPr>
                <w:rFonts w:ascii="宋体" w:hAnsi="宋体"/>
                <w:szCs w:val="21"/>
              </w:rPr>
              <w:t>SiC+c</w:t>
            </w:r>
            <w:r>
              <w:rPr>
                <w:rFonts w:hint="eastAsia" w:ascii="宋体" w:hAnsi="宋体"/>
                <w:szCs w:val="21"/>
              </w:rPr>
              <w:t>）</w:t>
            </w:r>
            <w:r>
              <w:rPr>
                <w:rFonts w:ascii="宋体" w:hAnsi="宋体"/>
                <w:szCs w:val="21"/>
              </w:rPr>
              <w:t>%</w:t>
            </w:r>
          </w:p>
        </w:tc>
        <w:tc>
          <w:tcPr>
            <w:tcW w:w="654" w:type="pct"/>
            <w:vMerge w:val="continue"/>
            <w:noWrap w:val="0"/>
            <w:vAlign w:val="center"/>
          </w:tcPr>
          <w:p>
            <w:pPr>
              <w:spacing w:line="300" w:lineRule="exact"/>
              <w:rPr>
                <w:rFonts w:ascii="宋体" w:hAnsi="宋体"/>
                <w:szCs w:val="21"/>
              </w:rPr>
            </w:pPr>
          </w:p>
        </w:tc>
        <w:tc>
          <w:tcPr>
            <w:tcW w:w="711" w:type="pct"/>
            <w:vMerge w:val="continue"/>
            <w:noWrap w:val="0"/>
            <w:vAlign w:val="center"/>
          </w:tcPr>
          <w:p>
            <w:pPr>
              <w:spacing w:line="300" w:lineRule="exact"/>
              <w:rPr>
                <w:rFonts w:ascii="宋体" w:hAnsi="宋体"/>
                <w:szCs w:val="21"/>
              </w:rPr>
            </w:pPr>
          </w:p>
        </w:tc>
        <w:tc>
          <w:tcPr>
            <w:tcW w:w="784" w:type="pct"/>
            <w:vMerge w:val="continue"/>
            <w:noWrap w:val="0"/>
            <w:vAlign w:val="center"/>
          </w:tcPr>
          <w:p>
            <w:pPr>
              <w:spacing w:line="300" w:lineRule="exact"/>
              <w:rPr>
                <w:rFonts w:ascii="宋体" w:hAnsi="宋体"/>
                <w:szCs w:val="21"/>
              </w:rPr>
            </w:pPr>
          </w:p>
        </w:tc>
        <w:tc>
          <w:tcPr>
            <w:tcW w:w="711" w:type="pct"/>
            <w:vMerge w:val="continue"/>
            <w:noWrap w:val="0"/>
            <w:vAlign w:val="top"/>
          </w:tcPr>
          <w:p>
            <w:pPr>
              <w:spacing w:line="300" w:lineRule="exact"/>
              <w:rPr>
                <w:rFonts w:ascii="宋体" w:hAnsi="宋体"/>
                <w:szCs w:val="21"/>
              </w:rPr>
            </w:pPr>
          </w:p>
        </w:tc>
        <w:tc>
          <w:tcPr>
            <w:tcW w:w="747" w:type="pct"/>
            <w:vMerge w:val="continue"/>
            <w:noWrap w:val="0"/>
            <w:vAlign w:val="center"/>
          </w:tcPr>
          <w:p>
            <w:pPr>
              <w:spacing w:line="3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 w:hRule="atLeast"/>
          <w:jc w:val="center"/>
        </w:trPr>
        <w:tc>
          <w:tcPr>
            <w:tcW w:w="607" w:type="pct"/>
            <w:vMerge w:val="restart"/>
            <w:noWrap w:val="0"/>
            <w:vAlign w:val="center"/>
          </w:tcPr>
          <w:p>
            <w:pPr>
              <w:spacing w:line="300" w:lineRule="exact"/>
              <w:jc w:val="center"/>
              <w:rPr>
                <w:rFonts w:ascii="宋体" w:hAnsi="宋体"/>
                <w:szCs w:val="21"/>
              </w:rPr>
            </w:pPr>
            <w:r>
              <w:rPr>
                <w:rFonts w:hint="eastAsia" w:ascii="宋体" w:hAnsi="宋体"/>
                <w:szCs w:val="21"/>
              </w:rPr>
              <w:t>≥70</w:t>
            </w:r>
          </w:p>
        </w:tc>
        <w:tc>
          <w:tcPr>
            <w:tcW w:w="786" w:type="pct"/>
            <w:vMerge w:val="restart"/>
            <w:noWrap w:val="0"/>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6</w:t>
            </w:r>
          </w:p>
        </w:tc>
        <w:tc>
          <w:tcPr>
            <w:tcW w:w="654" w:type="pct"/>
            <w:noWrap w:val="0"/>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90</w:t>
            </w:r>
          </w:p>
        </w:tc>
        <w:tc>
          <w:tcPr>
            <w:tcW w:w="711" w:type="pct"/>
            <w:noWrap w:val="0"/>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6</w:t>
            </w:r>
          </w:p>
        </w:tc>
        <w:tc>
          <w:tcPr>
            <w:tcW w:w="784" w:type="pct"/>
            <w:noWrap w:val="0"/>
            <w:vAlign w:val="center"/>
          </w:tcPr>
          <w:p>
            <w:pPr>
              <w:spacing w:line="300" w:lineRule="exact"/>
              <w:jc w:val="center"/>
              <w:rPr>
                <w:rFonts w:ascii="宋体" w:hAnsi="宋体"/>
                <w:szCs w:val="21"/>
              </w:rPr>
            </w:pPr>
            <w:r>
              <w:rPr>
                <w:rFonts w:hint="eastAsia" w:ascii="宋体" w:hAnsi="宋体"/>
                <w:szCs w:val="21"/>
              </w:rPr>
              <w:t>≥20</w:t>
            </w:r>
          </w:p>
        </w:tc>
        <w:tc>
          <w:tcPr>
            <w:tcW w:w="711" w:type="pct"/>
            <w:noWrap w:val="0"/>
            <w:vAlign w:val="top"/>
          </w:tcPr>
          <w:p>
            <w:pPr>
              <w:spacing w:line="300" w:lineRule="exact"/>
              <w:jc w:val="center"/>
              <w:rPr>
                <w:rFonts w:ascii="宋体" w:hAnsi="宋体"/>
                <w:szCs w:val="21"/>
              </w:rPr>
            </w:pPr>
          </w:p>
        </w:tc>
        <w:tc>
          <w:tcPr>
            <w:tcW w:w="747" w:type="pct"/>
            <w:noWrap w:val="0"/>
            <w:vAlign w:val="center"/>
          </w:tcPr>
          <w:p>
            <w:pPr>
              <w:spacing w:line="300" w:lineRule="exact"/>
              <w:jc w:val="center"/>
              <w:rPr>
                <w:rFonts w:ascii="宋体" w:hAnsi="宋体"/>
                <w:szCs w:val="21"/>
              </w:rPr>
            </w:pPr>
            <w:r>
              <w:rPr>
                <w:rFonts w:hint="eastAsia" w:ascii="宋体" w:hAnsi="宋体"/>
                <w:szCs w:val="21"/>
              </w:rPr>
              <w:t>110℃×24h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 w:hRule="atLeast"/>
          <w:jc w:val="center"/>
        </w:trPr>
        <w:tc>
          <w:tcPr>
            <w:tcW w:w="607" w:type="pct"/>
            <w:vMerge w:val="continue"/>
            <w:noWrap w:val="0"/>
            <w:vAlign w:val="center"/>
          </w:tcPr>
          <w:p>
            <w:pPr>
              <w:spacing w:line="300" w:lineRule="exact"/>
              <w:rPr>
                <w:rFonts w:ascii="宋体" w:hAnsi="宋体"/>
                <w:szCs w:val="21"/>
              </w:rPr>
            </w:pPr>
          </w:p>
        </w:tc>
        <w:tc>
          <w:tcPr>
            <w:tcW w:w="786" w:type="pct"/>
            <w:vMerge w:val="continue"/>
            <w:noWrap w:val="0"/>
            <w:vAlign w:val="center"/>
          </w:tcPr>
          <w:p>
            <w:pPr>
              <w:spacing w:line="300" w:lineRule="exact"/>
              <w:rPr>
                <w:rFonts w:ascii="宋体" w:hAnsi="宋体"/>
                <w:szCs w:val="21"/>
              </w:rPr>
            </w:pPr>
          </w:p>
        </w:tc>
        <w:tc>
          <w:tcPr>
            <w:tcW w:w="654" w:type="pct"/>
            <w:noWrap w:val="0"/>
            <w:vAlign w:val="center"/>
          </w:tcPr>
          <w:p>
            <w:pPr>
              <w:spacing w:line="300" w:lineRule="exact"/>
              <w:jc w:val="center"/>
              <w:rPr>
                <w:rFonts w:ascii="宋体" w:hAnsi="宋体"/>
                <w:szCs w:val="21"/>
              </w:rPr>
            </w:pPr>
          </w:p>
        </w:tc>
        <w:tc>
          <w:tcPr>
            <w:tcW w:w="711" w:type="pct"/>
            <w:noWrap w:val="0"/>
            <w:vAlign w:val="center"/>
          </w:tcPr>
          <w:p>
            <w:pPr>
              <w:spacing w:line="300" w:lineRule="exact"/>
              <w:jc w:val="center"/>
              <w:rPr>
                <w:rFonts w:ascii="宋体" w:hAnsi="宋体"/>
                <w:szCs w:val="21"/>
              </w:rPr>
            </w:pPr>
            <w:r>
              <w:rPr>
                <w:rFonts w:hint="eastAsia" w:ascii="宋体" w:hAnsi="宋体"/>
                <w:szCs w:val="21"/>
              </w:rPr>
              <w:t>≥</w:t>
            </w:r>
            <w:r>
              <w:rPr>
                <w:rFonts w:ascii="宋体" w:hAnsi="宋体"/>
                <w:szCs w:val="21"/>
              </w:rPr>
              <w:t>10</w:t>
            </w:r>
          </w:p>
        </w:tc>
        <w:tc>
          <w:tcPr>
            <w:tcW w:w="784" w:type="pct"/>
            <w:noWrap w:val="0"/>
            <w:vAlign w:val="center"/>
          </w:tcPr>
          <w:p>
            <w:pPr>
              <w:spacing w:line="300" w:lineRule="exact"/>
              <w:jc w:val="center"/>
              <w:rPr>
                <w:rFonts w:ascii="宋体" w:hAnsi="宋体"/>
                <w:szCs w:val="21"/>
              </w:rPr>
            </w:pPr>
            <w:r>
              <w:rPr>
                <w:rFonts w:hint="eastAsia" w:ascii="宋体" w:hAnsi="宋体"/>
                <w:szCs w:val="21"/>
              </w:rPr>
              <w:t>≥30</w:t>
            </w:r>
          </w:p>
        </w:tc>
        <w:tc>
          <w:tcPr>
            <w:tcW w:w="711" w:type="pct"/>
            <w:noWrap w:val="0"/>
            <w:vAlign w:val="top"/>
          </w:tcPr>
          <w:p>
            <w:pPr>
              <w:spacing w:line="300" w:lineRule="exact"/>
              <w:jc w:val="center"/>
              <w:rPr>
                <w:rFonts w:ascii="宋体" w:hAnsi="宋体"/>
                <w:szCs w:val="21"/>
              </w:rPr>
            </w:pPr>
            <w:r>
              <w:rPr>
                <w:rFonts w:ascii="宋体" w:hAnsi="宋体"/>
                <w:szCs w:val="21"/>
              </w:rPr>
              <w:t>-0.2</w:t>
            </w:r>
            <w:r>
              <w:rPr>
                <w:rFonts w:hint="eastAsia" w:ascii="宋体" w:hAnsi="宋体"/>
                <w:szCs w:val="21"/>
              </w:rPr>
              <w:t>～</w:t>
            </w:r>
            <w:r>
              <w:rPr>
                <w:rFonts w:ascii="宋体" w:hAnsi="宋体"/>
                <w:szCs w:val="21"/>
              </w:rPr>
              <w:t>0.2</w:t>
            </w:r>
          </w:p>
        </w:tc>
        <w:tc>
          <w:tcPr>
            <w:tcW w:w="747" w:type="pct"/>
            <w:noWrap w:val="0"/>
            <w:vAlign w:val="center"/>
          </w:tcPr>
          <w:p>
            <w:pPr>
              <w:spacing w:line="300" w:lineRule="exact"/>
              <w:jc w:val="center"/>
              <w:rPr>
                <w:rFonts w:ascii="宋体" w:hAnsi="宋体"/>
                <w:szCs w:val="21"/>
              </w:rPr>
            </w:pPr>
            <w:r>
              <w:rPr>
                <w:rFonts w:hint="eastAsia" w:ascii="宋体" w:hAnsi="宋体"/>
                <w:szCs w:val="21"/>
              </w:rPr>
              <w:t>1450℃×3h</w:t>
            </w:r>
          </w:p>
        </w:tc>
      </w:tr>
      <w:bookmarkEnd w:id="0"/>
    </w:tbl>
    <w:p>
      <w:pPr>
        <w:tabs>
          <w:tab w:val="left" w:pos="8280"/>
          <w:tab w:val="left" w:pos="8931"/>
        </w:tabs>
        <w:spacing w:line="300" w:lineRule="exact"/>
        <w:ind w:right="-1260" w:rightChars="-600" w:firstLine="420" w:firstLineChars="200"/>
        <w:jc w:val="center"/>
        <w:rPr>
          <w:rFonts w:ascii="宋体" w:hAnsi="宋体"/>
          <w:szCs w:val="21"/>
        </w:rPr>
      </w:pPr>
      <w:r>
        <w:rPr>
          <w:rFonts w:hint="eastAsia" w:ascii="宋体" w:hAnsi="宋体"/>
          <w:szCs w:val="21"/>
        </w:rPr>
        <w:t>附表2 ：支沟、铁摆浇注料理化指标</w:t>
      </w:r>
    </w:p>
    <w:tbl>
      <w:tblPr>
        <w:tblStyle w:val="9"/>
        <w:tblW w:w="503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01"/>
        <w:gridCol w:w="1483"/>
        <w:gridCol w:w="1336"/>
        <w:gridCol w:w="1336"/>
        <w:gridCol w:w="1336"/>
        <w:gridCol w:w="1484"/>
        <w:gridCol w:w="1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1402" w:type="pct"/>
            <w:gridSpan w:val="2"/>
            <w:noWrap w:val="0"/>
            <w:vAlign w:val="center"/>
          </w:tcPr>
          <w:p>
            <w:pPr>
              <w:spacing w:line="300" w:lineRule="exact"/>
              <w:jc w:val="center"/>
              <w:rPr>
                <w:rFonts w:ascii="宋体" w:hAnsi="宋体"/>
                <w:szCs w:val="21"/>
              </w:rPr>
            </w:pPr>
            <w:bookmarkStart w:id="1" w:name="_GoBack"/>
            <w:r>
              <w:rPr>
                <w:rFonts w:hint="eastAsia" w:ascii="宋体" w:hAnsi="宋体"/>
                <w:szCs w:val="21"/>
              </w:rPr>
              <w:t>化学组成，％</w:t>
            </w:r>
          </w:p>
        </w:tc>
        <w:tc>
          <w:tcPr>
            <w:tcW w:w="673" w:type="pct"/>
            <w:vMerge w:val="restart"/>
            <w:noWrap w:val="0"/>
            <w:vAlign w:val="center"/>
          </w:tcPr>
          <w:p>
            <w:pPr>
              <w:spacing w:line="300" w:lineRule="exact"/>
              <w:jc w:val="center"/>
              <w:rPr>
                <w:rFonts w:ascii="宋体" w:hAnsi="宋体"/>
                <w:szCs w:val="21"/>
              </w:rPr>
            </w:pPr>
            <w:r>
              <w:rPr>
                <w:rFonts w:hint="eastAsia" w:ascii="宋体" w:hAnsi="宋体"/>
                <w:szCs w:val="21"/>
              </w:rPr>
              <w:t>体积密度</w:t>
            </w:r>
          </w:p>
          <w:p>
            <w:pPr>
              <w:spacing w:line="300" w:lineRule="exact"/>
              <w:jc w:val="center"/>
              <w:rPr>
                <w:rFonts w:ascii="宋体" w:hAnsi="宋体"/>
                <w:szCs w:val="21"/>
              </w:rPr>
            </w:pPr>
            <w:r>
              <w:rPr>
                <w:rFonts w:ascii="宋体" w:hAnsi="宋体"/>
                <w:szCs w:val="21"/>
              </w:rPr>
              <w:t>g/cm</w:t>
            </w:r>
            <w:r>
              <w:rPr>
                <w:rFonts w:ascii="宋体" w:hAnsi="宋体"/>
                <w:szCs w:val="21"/>
                <w:vertAlign w:val="superscript"/>
              </w:rPr>
              <w:t>3</w:t>
            </w:r>
          </w:p>
        </w:tc>
        <w:tc>
          <w:tcPr>
            <w:tcW w:w="673" w:type="pct"/>
            <w:vMerge w:val="restart"/>
            <w:noWrap w:val="0"/>
            <w:vAlign w:val="center"/>
          </w:tcPr>
          <w:p>
            <w:pPr>
              <w:spacing w:line="300" w:lineRule="exact"/>
              <w:jc w:val="center"/>
              <w:rPr>
                <w:rFonts w:ascii="宋体" w:hAnsi="宋体"/>
                <w:szCs w:val="21"/>
              </w:rPr>
            </w:pPr>
            <w:r>
              <w:rPr>
                <w:rFonts w:hint="eastAsia" w:ascii="宋体" w:hAnsi="宋体"/>
                <w:szCs w:val="21"/>
              </w:rPr>
              <w:t>抗折强度</w:t>
            </w:r>
          </w:p>
          <w:p>
            <w:pPr>
              <w:spacing w:line="300" w:lineRule="exact"/>
              <w:jc w:val="center"/>
              <w:rPr>
                <w:rFonts w:ascii="宋体" w:hAnsi="宋体"/>
                <w:szCs w:val="21"/>
              </w:rPr>
            </w:pPr>
            <w:r>
              <w:rPr>
                <w:rFonts w:ascii="宋体" w:hAnsi="宋体"/>
                <w:szCs w:val="21"/>
              </w:rPr>
              <w:t>Mpa</w:t>
            </w:r>
          </w:p>
        </w:tc>
        <w:tc>
          <w:tcPr>
            <w:tcW w:w="673" w:type="pct"/>
            <w:vMerge w:val="restart"/>
            <w:noWrap w:val="0"/>
            <w:vAlign w:val="center"/>
          </w:tcPr>
          <w:p>
            <w:pPr>
              <w:spacing w:line="300" w:lineRule="exact"/>
              <w:ind w:right="46" w:rightChars="22"/>
              <w:jc w:val="center"/>
              <w:rPr>
                <w:rFonts w:ascii="宋体" w:hAnsi="宋体"/>
                <w:szCs w:val="21"/>
              </w:rPr>
            </w:pPr>
            <w:r>
              <w:rPr>
                <w:rFonts w:hint="eastAsia" w:ascii="宋体" w:hAnsi="宋体"/>
                <w:szCs w:val="21"/>
              </w:rPr>
              <w:t>耐压强度</w:t>
            </w:r>
          </w:p>
          <w:p>
            <w:pPr>
              <w:spacing w:line="300" w:lineRule="exact"/>
              <w:ind w:right="46" w:rightChars="22"/>
              <w:jc w:val="center"/>
              <w:rPr>
                <w:rFonts w:ascii="宋体" w:hAnsi="宋体"/>
                <w:szCs w:val="21"/>
              </w:rPr>
            </w:pPr>
            <w:r>
              <w:rPr>
                <w:rFonts w:ascii="宋体" w:hAnsi="宋体"/>
                <w:szCs w:val="21"/>
              </w:rPr>
              <w:t>Mpa</w:t>
            </w:r>
          </w:p>
        </w:tc>
        <w:tc>
          <w:tcPr>
            <w:tcW w:w="747" w:type="pct"/>
            <w:vMerge w:val="restart"/>
            <w:noWrap w:val="0"/>
            <w:vAlign w:val="center"/>
          </w:tcPr>
          <w:p>
            <w:pPr>
              <w:spacing w:line="300" w:lineRule="exact"/>
              <w:jc w:val="center"/>
              <w:rPr>
                <w:rFonts w:ascii="宋体" w:hAnsi="宋体"/>
                <w:szCs w:val="21"/>
              </w:rPr>
            </w:pPr>
            <w:r>
              <w:rPr>
                <w:rFonts w:hint="eastAsia" w:ascii="宋体" w:hAnsi="宋体"/>
                <w:szCs w:val="21"/>
              </w:rPr>
              <w:t>加热永久</w:t>
            </w:r>
          </w:p>
          <w:p>
            <w:pPr>
              <w:spacing w:line="300" w:lineRule="exact"/>
              <w:jc w:val="center"/>
              <w:rPr>
                <w:rFonts w:ascii="宋体" w:hAnsi="宋体"/>
                <w:szCs w:val="21"/>
              </w:rPr>
            </w:pPr>
            <w:r>
              <w:rPr>
                <w:rFonts w:hint="eastAsia" w:ascii="宋体" w:hAnsi="宋体"/>
                <w:szCs w:val="21"/>
              </w:rPr>
              <w:t>性线变化</w:t>
            </w:r>
            <w:r>
              <w:rPr>
                <w:rFonts w:ascii="宋体" w:hAnsi="宋体"/>
                <w:szCs w:val="21"/>
              </w:rPr>
              <w:t>%</w:t>
            </w:r>
          </w:p>
        </w:tc>
        <w:tc>
          <w:tcPr>
            <w:tcW w:w="833" w:type="pct"/>
            <w:vMerge w:val="restart"/>
            <w:noWrap w:val="0"/>
            <w:vAlign w:val="center"/>
          </w:tcPr>
          <w:p>
            <w:pPr>
              <w:spacing w:line="300" w:lineRule="exact"/>
              <w:jc w:val="center"/>
              <w:rPr>
                <w:rFonts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655" w:type="pct"/>
            <w:noWrap w:val="0"/>
            <w:vAlign w:val="center"/>
          </w:tcPr>
          <w:p>
            <w:pPr>
              <w:spacing w:line="300" w:lineRule="exact"/>
              <w:jc w:val="center"/>
              <w:rPr>
                <w:rFonts w:ascii="宋体" w:hAnsi="宋体"/>
                <w:szCs w:val="21"/>
              </w:rPr>
            </w:pPr>
            <w:r>
              <w:rPr>
                <w:rFonts w:ascii="宋体" w:hAnsi="宋体"/>
                <w:szCs w:val="21"/>
              </w:rPr>
              <w:t>W</w:t>
            </w:r>
            <w:r>
              <w:rPr>
                <w:rFonts w:hint="eastAsia" w:ascii="宋体" w:hAnsi="宋体"/>
                <w:szCs w:val="21"/>
              </w:rPr>
              <w:t>（</w:t>
            </w:r>
            <w:r>
              <w:rPr>
                <w:rFonts w:ascii="宋体" w:hAnsi="宋体"/>
                <w:szCs w:val="21"/>
              </w:rPr>
              <w:t>Al</w:t>
            </w:r>
            <w:r>
              <w:rPr>
                <w:rFonts w:ascii="宋体" w:hAnsi="宋体"/>
                <w:szCs w:val="21"/>
                <w:vertAlign w:val="subscript"/>
              </w:rPr>
              <w:t>2</w:t>
            </w:r>
            <w:r>
              <w:rPr>
                <w:rFonts w:ascii="宋体" w:hAnsi="宋体"/>
                <w:szCs w:val="21"/>
              </w:rPr>
              <w:t>O</w:t>
            </w:r>
            <w:r>
              <w:rPr>
                <w:rFonts w:ascii="宋体" w:hAnsi="宋体"/>
                <w:szCs w:val="21"/>
                <w:vertAlign w:val="subscript"/>
              </w:rPr>
              <w:t>3</w:t>
            </w:r>
            <w:r>
              <w:rPr>
                <w:rFonts w:hint="eastAsia" w:ascii="宋体" w:hAnsi="宋体"/>
                <w:szCs w:val="21"/>
              </w:rPr>
              <w:t>）</w:t>
            </w:r>
            <w:r>
              <w:rPr>
                <w:rFonts w:ascii="宋体" w:hAnsi="宋体"/>
                <w:szCs w:val="21"/>
              </w:rPr>
              <w:t>%</w:t>
            </w:r>
          </w:p>
        </w:tc>
        <w:tc>
          <w:tcPr>
            <w:tcW w:w="747" w:type="pct"/>
            <w:noWrap w:val="0"/>
            <w:vAlign w:val="center"/>
          </w:tcPr>
          <w:p>
            <w:pPr>
              <w:spacing w:line="300" w:lineRule="exact"/>
              <w:jc w:val="center"/>
              <w:rPr>
                <w:rFonts w:ascii="宋体" w:hAnsi="宋体"/>
                <w:szCs w:val="21"/>
              </w:rPr>
            </w:pPr>
            <w:r>
              <w:rPr>
                <w:rFonts w:ascii="宋体" w:hAnsi="宋体"/>
                <w:szCs w:val="21"/>
              </w:rPr>
              <w:t>W</w:t>
            </w:r>
            <w:r>
              <w:rPr>
                <w:rFonts w:hint="eastAsia" w:ascii="宋体" w:hAnsi="宋体"/>
                <w:szCs w:val="21"/>
              </w:rPr>
              <w:t>（</w:t>
            </w:r>
            <w:r>
              <w:rPr>
                <w:rFonts w:ascii="宋体" w:hAnsi="宋体"/>
                <w:szCs w:val="21"/>
              </w:rPr>
              <w:t>SiC+c</w:t>
            </w:r>
            <w:r>
              <w:rPr>
                <w:rFonts w:hint="eastAsia" w:ascii="宋体" w:hAnsi="宋体"/>
                <w:szCs w:val="21"/>
              </w:rPr>
              <w:t>）</w:t>
            </w:r>
            <w:r>
              <w:rPr>
                <w:rFonts w:ascii="宋体" w:hAnsi="宋体"/>
                <w:szCs w:val="21"/>
              </w:rPr>
              <w:t>%</w:t>
            </w:r>
          </w:p>
        </w:tc>
        <w:tc>
          <w:tcPr>
            <w:tcW w:w="673" w:type="pct"/>
            <w:vMerge w:val="continue"/>
            <w:noWrap w:val="0"/>
            <w:vAlign w:val="center"/>
          </w:tcPr>
          <w:p>
            <w:pPr>
              <w:spacing w:line="300" w:lineRule="exact"/>
              <w:rPr>
                <w:rFonts w:ascii="宋体" w:hAnsi="宋体"/>
                <w:szCs w:val="21"/>
              </w:rPr>
            </w:pPr>
          </w:p>
        </w:tc>
        <w:tc>
          <w:tcPr>
            <w:tcW w:w="673" w:type="pct"/>
            <w:vMerge w:val="continue"/>
            <w:noWrap w:val="0"/>
            <w:vAlign w:val="center"/>
          </w:tcPr>
          <w:p>
            <w:pPr>
              <w:spacing w:line="300" w:lineRule="exact"/>
              <w:rPr>
                <w:rFonts w:ascii="宋体" w:hAnsi="宋体"/>
                <w:szCs w:val="21"/>
              </w:rPr>
            </w:pPr>
          </w:p>
        </w:tc>
        <w:tc>
          <w:tcPr>
            <w:tcW w:w="673" w:type="pct"/>
            <w:vMerge w:val="continue"/>
            <w:noWrap w:val="0"/>
            <w:vAlign w:val="center"/>
          </w:tcPr>
          <w:p>
            <w:pPr>
              <w:spacing w:line="300" w:lineRule="exact"/>
              <w:rPr>
                <w:rFonts w:ascii="宋体" w:hAnsi="宋体"/>
                <w:szCs w:val="21"/>
              </w:rPr>
            </w:pPr>
          </w:p>
        </w:tc>
        <w:tc>
          <w:tcPr>
            <w:tcW w:w="747" w:type="pct"/>
            <w:vMerge w:val="continue"/>
            <w:noWrap w:val="0"/>
            <w:vAlign w:val="center"/>
          </w:tcPr>
          <w:p>
            <w:pPr>
              <w:spacing w:line="300" w:lineRule="exact"/>
              <w:rPr>
                <w:rFonts w:ascii="宋体" w:hAnsi="宋体"/>
                <w:szCs w:val="21"/>
              </w:rPr>
            </w:pPr>
          </w:p>
        </w:tc>
        <w:tc>
          <w:tcPr>
            <w:tcW w:w="833" w:type="pct"/>
            <w:vMerge w:val="continue"/>
            <w:noWrap w:val="0"/>
            <w:vAlign w:val="center"/>
          </w:tcPr>
          <w:p>
            <w:pPr>
              <w:spacing w:line="3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 w:hRule="atLeast"/>
          <w:jc w:val="center"/>
        </w:trPr>
        <w:tc>
          <w:tcPr>
            <w:tcW w:w="655" w:type="pct"/>
            <w:vMerge w:val="restart"/>
            <w:noWrap w:val="0"/>
            <w:vAlign w:val="center"/>
          </w:tcPr>
          <w:p>
            <w:pPr>
              <w:spacing w:line="300" w:lineRule="exact"/>
              <w:jc w:val="center"/>
              <w:rPr>
                <w:rFonts w:ascii="宋体" w:hAnsi="宋体"/>
                <w:szCs w:val="21"/>
              </w:rPr>
            </w:pPr>
            <w:r>
              <w:rPr>
                <w:rFonts w:hint="eastAsia" w:ascii="宋体" w:hAnsi="宋体"/>
                <w:szCs w:val="21"/>
              </w:rPr>
              <w:t>≥60</w:t>
            </w:r>
          </w:p>
        </w:tc>
        <w:tc>
          <w:tcPr>
            <w:tcW w:w="747" w:type="pct"/>
            <w:vMerge w:val="restart"/>
            <w:noWrap w:val="0"/>
            <w:vAlign w:val="center"/>
          </w:tcPr>
          <w:p>
            <w:pPr>
              <w:spacing w:line="300" w:lineRule="exact"/>
              <w:jc w:val="center"/>
              <w:rPr>
                <w:rFonts w:ascii="宋体" w:hAnsi="宋体"/>
                <w:szCs w:val="21"/>
              </w:rPr>
            </w:pPr>
            <w:r>
              <w:rPr>
                <w:rFonts w:hint="eastAsia" w:ascii="宋体" w:hAnsi="宋体"/>
                <w:szCs w:val="21"/>
              </w:rPr>
              <w:t>≥16</w:t>
            </w:r>
          </w:p>
        </w:tc>
        <w:tc>
          <w:tcPr>
            <w:tcW w:w="673" w:type="pct"/>
            <w:noWrap w:val="0"/>
            <w:vAlign w:val="center"/>
          </w:tcPr>
          <w:p>
            <w:pPr>
              <w:spacing w:line="300" w:lineRule="exact"/>
              <w:jc w:val="center"/>
              <w:rPr>
                <w:rFonts w:ascii="宋体" w:hAnsi="宋体"/>
                <w:szCs w:val="21"/>
              </w:rPr>
            </w:pPr>
            <w:r>
              <w:rPr>
                <w:rFonts w:hint="eastAsia" w:ascii="宋体" w:hAnsi="宋体"/>
                <w:szCs w:val="21"/>
              </w:rPr>
              <w:t>≥2.75</w:t>
            </w:r>
          </w:p>
        </w:tc>
        <w:tc>
          <w:tcPr>
            <w:tcW w:w="673" w:type="pct"/>
            <w:noWrap w:val="0"/>
            <w:vAlign w:val="center"/>
          </w:tcPr>
          <w:p>
            <w:pPr>
              <w:spacing w:line="300" w:lineRule="exact"/>
              <w:jc w:val="center"/>
              <w:rPr>
                <w:rFonts w:ascii="宋体" w:hAnsi="宋体"/>
                <w:szCs w:val="21"/>
              </w:rPr>
            </w:pPr>
            <w:r>
              <w:rPr>
                <w:rFonts w:hint="eastAsia" w:ascii="宋体" w:hAnsi="宋体"/>
                <w:szCs w:val="21"/>
              </w:rPr>
              <w:t>≥6</w:t>
            </w:r>
          </w:p>
        </w:tc>
        <w:tc>
          <w:tcPr>
            <w:tcW w:w="673" w:type="pct"/>
            <w:noWrap w:val="0"/>
            <w:vAlign w:val="center"/>
          </w:tcPr>
          <w:p>
            <w:pPr>
              <w:spacing w:line="300" w:lineRule="exact"/>
              <w:jc w:val="center"/>
              <w:rPr>
                <w:rFonts w:ascii="宋体" w:hAnsi="宋体"/>
                <w:szCs w:val="21"/>
              </w:rPr>
            </w:pPr>
            <w:r>
              <w:rPr>
                <w:rFonts w:hint="eastAsia" w:ascii="宋体" w:hAnsi="宋体"/>
                <w:szCs w:val="21"/>
              </w:rPr>
              <w:t>≥20</w:t>
            </w:r>
          </w:p>
        </w:tc>
        <w:tc>
          <w:tcPr>
            <w:tcW w:w="747" w:type="pct"/>
            <w:noWrap w:val="0"/>
            <w:vAlign w:val="center"/>
          </w:tcPr>
          <w:p>
            <w:pPr>
              <w:spacing w:line="300" w:lineRule="exact"/>
              <w:jc w:val="center"/>
              <w:rPr>
                <w:rFonts w:ascii="宋体" w:hAnsi="宋体"/>
                <w:szCs w:val="21"/>
              </w:rPr>
            </w:pPr>
            <w:r>
              <w:rPr>
                <w:rFonts w:hint="eastAsia" w:ascii="宋体" w:hAnsi="宋体"/>
                <w:szCs w:val="21"/>
              </w:rPr>
              <w:t>110℃×4h</w:t>
            </w:r>
          </w:p>
        </w:tc>
        <w:tc>
          <w:tcPr>
            <w:tcW w:w="833" w:type="pct"/>
            <w:noWrap w:val="0"/>
            <w:vAlign w:val="center"/>
          </w:tcPr>
          <w:p>
            <w:pPr>
              <w:spacing w:line="300" w:lineRule="exact"/>
              <w:jc w:val="center"/>
              <w:rPr>
                <w:rFonts w:ascii="宋体" w:hAnsi="宋体"/>
                <w:szCs w:val="21"/>
              </w:rPr>
            </w:pPr>
            <w:r>
              <w:rPr>
                <w:rFonts w:hint="eastAsia" w:ascii="宋体" w:hAnsi="宋体"/>
                <w:szCs w:val="21"/>
              </w:rPr>
              <w:t>110℃×24h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 w:hRule="atLeast"/>
          <w:jc w:val="center"/>
        </w:trPr>
        <w:tc>
          <w:tcPr>
            <w:tcW w:w="655" w:type="pct"/>
            <w:vMerge w:val="continue"/>
            <w:noWrap w:val="0"/>
            <w:vAlign w:val="center"/>
          </w:tcPr>
          <w:p>
            <w:pPr>
              <w:spacing w:line="300" w:lineRule="exact"/>
              <w:rPr>
                <w:rFonts w:ascii="宋体" w:hAnsi="宋体"/>
                <w:szCs w:val="21"/>
              </w:rPr>
            </w:pPr>
          </w:p>
        </w:tc>
        <w:tc>
          <w:tcPr>
            <w:tcW w:w="747" w:type="pct"/>
            <w:vMerge w:val="continue"/>
            <w:noWrap w:val="0"/>
            <w:vAlign w:val="center"/>
          </w:tcPr>
          <w:p>
            <w:pPr>
              <w:spacing w:line="300" w:lineRule="exact"/>
              <w:rPr>
                <w:rFonts w:ascii="宋体" w:hAnsi="宋体"/>
                <w:szCs w:val="21"/>
              </w:rPr>
            </w:pPr>
          </w:p>
        </w:tc>
        <w:tc>
          <w:tcPr>
            <w:tcW w:w="673" w:type="pct"/>
            <w:noWrap w:val="0"/>
            <w:vAlign w:val="center"/>
          </w:tcPr>
          <w:p>
            <w:pPr>
              <w:spacing w:line="300" w:lineRule="exact"/>
              <w:jc w:val="center"/>
              <w:rPr>
                <w:rFonts w:ascii="宋体" w:hAnsi="宋体"/>
                <w:szCs w:val="21"/>
              </w:rPr>
            </w:pPr>
          </w:p>
        </w:tc>
        <w:tc>
          <w:tcPr>
            <w:tcW w:w="673" w:type="pct"/>
            <w:noWrap w:val="0"/>
            <w:vAlign w:val="center"/>
          </w:tcPr>
          <w:p>
            <w:pPr>
              <w:spacing w:line="300" w:lineRule="exact"/>
              <w:jc w:val="center"/>
              <w:rPr>
                <w:rFonts w:ascii="宋体" w:hAnsi="宋体"/>
                <w:szCs w:val="21"/>
              </w:rPr>
            </w:pPr>
            <w:r>
              <w:rPr>
                <w:rFonts w:hint="eastAsia" w:ascii="宋体" w:hAnsi="宋体"/>
                <w:szCs w:val="21"/>
              </w:rPr>
              <w:t>≥10</w:t>
            </w:r>
          </w:p>
        </w:tc>
        <w:tc>
          <w:tcPr>
            <w:tcW w:w="673" w:type="pct"/>
            <w:noWrap w:val="0"/>
            <w:vAlign w:val="center"/>
          </w:tcPr>
          <w:p>
            <w:pPr>
              <w:spacing w:line="300" w:lineRule="exact"/>
              <w:jc w:val="center"/>
              <w:rPr>
                <w:rFonts w:ascii="宋体" w:hAnsi="宋体"/>
                <w:szCs w:val="21"/>
              </w:rPr>
            </w:pPr>
            <w:r>
              <w:rPr>
                <w:rFonts w:hint="eastAsia" w:ascii="宋体" w:hAnsi="宋体"/>
                <w:szCs w:val="21"/>
              </w:rPr>
              <w:t>≥40</w:t>
            </w:r>
          </w:p>
        </w:tc>
        <w:tc>
          <w:tcPr>
            <w:tcW w:w="747" w:type="pct"/>
            <w:noWrap w:val="0"/>
            <w:vAlign w:val="center"/>
          </w:tcPr>
          <w:p>
            <w:pPr>
              <w:spacing w:line="300" w:lineRule="exact"/>
              <w:jc w:val="center"/>
              <w:rPr>
                <w:rFonts w:ascii="宋体" w:hAnsi="宋体"/>
                <w:szCs w:val="21"/>
              </w:rPr>
            </w:pPr>
            <w:r>
              <w:rPr>
                <w:rFonts w:hint="eastAsia" w:ascii="宋体" w:hAnsi="宋体"/>
                <w:szCs w:val="21"/>
              </w:rPr>
              <w:t>1450℃×3h</w:t>
            </w:r>
          </w:p>
        </w:tc>
        <w:tc>
          <w:tcPr>
            <w:tcW w:w="833" w:type="pct"/>
            <w:noWrap w:val="0"/>
            <w:vAlign w:val="center"/>
          </w:tcPr>
          <w:p>
            <w:pPr>
              <w:spacing w:line="300" w:lineRule="exact"/>
              <w:jc w:val="center"/>
              <w:rPr>
                <w:rFonts w:ascii="宋体" w:hAnsi="宋体"/>
                <w:szCs w:val="21"/>
              </w:rPr>
            </w:pPr>
            <w:r>
              <w:rPr>
                <w:rFonts w:hint="eastAsia" w:ascii="宋体" w:hAnsi="宋体"/>
                <w:szCs w:val="21"/>
              </w:rPr>
              <w:t>1450℃×3h</w:t>
            </w:r>
          </w:p>
        </w:tc>
      </w:tr>
      <w:bookmarkEnd w:id="1"/>
    </w:tbl>
    <w:p>
      <w:pPr>
        <w:spacing w:line="300" w:lineRule="exact"/>
        <w:ind w:firstLine="420" w:firstLineChars="200"/>
        <w:rPr>
          <w:rFonts w:ascii="宋体" w:hAnsi="宋体"/>
          <w:szCs w:val="21"/>
        </w:rPr>
      </w:pPr>
      <w:r>
        <w:rPr>
          <w:rFonts w:hint="eastAsia" w:ascii="宋体" w:hAnsi="宋体"/>
          <w:szCs w:val="21"/>
        </w:rPr>
        <w:t>2.2.1 产品包装采用吨袋包装。</w:t>
      </w:r>
    </w:p>
    <w:p>
      <w:pPr>
        <w:spacing w:line="300" w:lineRule="exact"/>
        <w:ind w:firstLine="420" w:firstLineChars="200"/>
        <w:rPr>
          <w:rFonts w:ascii="宋体" w:hAnsi="宋体"/>
          <w:szCs w:val="21"/>
        </w:rPr>
      </w:pPr>
      <w:r>
        <w:rPr>
          <w:rFonts w:hint="eastAsia" w:ascii="宋体" w:hAnsi="宋体"/>
          <w:szCs w:val="21"/>
        </w:rPr>
        <w:t>2.2.2 包装、运输要求符合国家标准GB/T 15545-1995。</w:t>
      </w:r>
    </w:p>
    <w:p>
      <w:pPr>
        <w:spacing w:line="300" w:lineRule="exact"/>
        <w:ind w:firstLine="420" w:firstLineChars="200"/>
        <w:rPr>
          <w:rFonts w:ascii="宋体" w:hAnsi="宋体"/>
          <w:szCs w:val="21"/>
        </w:rPr>
      </w:pPr>
      <w:r>
        <w:rPr>
          <w:rFonts w:hint="eastAsia" w:ascii="宋体" w:hAnsi="宋体"/>
          <w:szCs w:val="21"/>
        </w:rPr>
        <w:t>2.3使用标准要求</w:t>
      </w:r>
    </w:p>
    <w:p>
      <w:pPr>
        <w:spacing w:line="300" w:lineRule="exact"/>
        <w:ind w:firstLine="420" w:firstLineChars="200"/>
        <w:rPr>
          <w:rFonts w:ascii="宋体" w:hAnsi="宋体"/>
          <w:szCs w:val="21"/>
        </w:rPr>
      </w:pPr>
      <w:r>
        <w:rPr>
          <w:rFonts w:hint="eastAsia" w:ascii="宋体" w:hAnsi="宋体"/>
          <w:szCs w:val="21"/>
        </w:rPr>
        <w:t>2.3.1主铁沟、小坑、铁沟、渣沟</w:t>
      </w:r>
      <w:r>
        <w:rPr>
          <w:rFonts w:hint="eastAsia" w:ascii="宋体" w:hAnsi="宋体"/>
          <w:szCs w:val="21"/>
          <w:lang w:eastAsia="zh-CN"/>
        </w:rPr>
        <w:t>中修后</w:t>
      </w:r>
      <w:r>
        <w:rPr>
          <w:rFonts w:hint="eastAsia" w:ascii="宋体" w:hAnsi="宋体"/>
          <w:szCs w:val="21"/>
        </w:rPr>
        <w:t>通铁量不小于</w:t>
      </w:r>
      <w:r>
        <w:rPr>
          <w:rFonts w:hint="eastAsia" w:ascii="宋体" w:hAnsi="宋体"/>
          <w:szCs w:val="21"/>
          <w:lang w:val="en-US" w:eastAsia="zh-CN"/>
        </w:rPr>
        <w:t>22</w:t>
      </w:r>
      <w:r>
        <w:rPr>
          <w:rFonts w:hint="eastAsia" w:ascii="宋体" w:hAnsi="宋体"/>
          <w:szCs w:val="21"/>
        </w:rPr>
        <w:t>万吨，通铁量小于</w:t>
      </w:r>
      <w:r>
        <w:rPr>
          <w:rFonts w:hint="eastAsia" w:ascii="宋体" w:hAnsi="宋体"/>
          <w:szCs w:val="21"/>
          <w:lang w:val="en-US" w:eastAsia="zh-CN"/>
        </w:rPr>
        <w:t>8</w:t>
      </w:r>
      <w:r>
        <w:rPr>
          <w:rFonts w:hint="eastAsia" w:ascii="宋体" w:hAnsi="宋体"/>
          <w:szCs w:val="21"/>
        </w:rPr>
        <w:t>万吨时，不允许修补；通铁量大于</w:t>
      </w:r>
      <w:r>
        <w:rPr>
          <w:rFonts w:hint="eastAsia" w:ascii="宋体" w:hAnsi="宋体"/>
          <w:szCs w:val="21"/>
          <w:lang w:val="en-US" w:eastAsia="zh-CN"/>
        </w:rPr>
        <w:t>8</w:t>
      </w:r>
      <w:r>
        <w:rPr>
          <w:rFonts w:hint="eastAsia" w:ascii="宋体" w:hAnsi="宋体"/>
          <w:szCs w:val="21"/>
        </w:rPr>
        <w:t>万吨时，给一次热修机会，主沟每次热补时间不大于200分钟。渣沟、铁沟热补时不影响正常出铁。铁摆大修一次通铁量不小于18万吨，每3万吨给一次修补机会，每次时间不大于60分钟。</w:t>
      </w:r>
    </w:p>
    <w:p>
      <w:pPr>
        <w:spacing w:line="300" w:lineRule="exact"/>
        <w:ind w:firstLine="420" w:firstLineChars="200"/>
        <w:rPr>
          <w:rFonts w:ascii="宋体" w:hAnsi="宋体"/>
          <w:szCs w:val="21"/>
        </w:rPr>
      </w:pPr>
      <w:r>
        <w:rPr>
          <w:rFonts w:hint="eastAsia" w:ascii="宋体" w:hAnsi="宋体"/>
          <w:szCs w:val="21"/>
        </w:rPr>
        <w:t>2.3.2泥套每10000吨铁侵蚀不能超过10mm，并保证不开裂。</w:t>
      </w:r>
    </w:p>
    <w:p>
      <w:pPr>
        <w:spacing w:line="300" w:lineRule="exact"/>
        <w:ind w:firstLine="420" w:firstLineChars="200"/>
        <w:rPr>
          <w:rFonts w:ascii="宋体" w:hAnsi="宋体"/>
          <w:szCs w:val="21"/>
        </w:rPr>
      </w:pPr>
      <w:r>
        <w:rPr>
          <w:rFonts w:hint="eastAsia" w:ascii="宋体" w:hAnsi="宋体"/>
          <w:szCs w:val="21"/>
        </w:rPr>
        <w:t>2.3.3主沟</w:t>
      </w:r>
      <w:r>
        <w:rPr>
          <w:rFonts w:hint="eastAsia" w:ascii="宋体" w:hAnsi="宋体"/>
          <w:szCs w:val="21"/>
          <w:lang w:eastAsia="zh-CN"/>
        </w:rPr>
        <w:t>中</w:t>
      </w:r>
      <w:r>
        <w:rPr>
          <w:rFonts w:hint="eastAsia" w:ascii="宋体" w:hAnsi="宋体"/>
          <w:szCs w:val="21"/>
        </w:rPr>
        <w:t>修周期：主沟累计通铁量达到</w:t>
      </w:r>
      <w:r>
        <w:rPr>
          <w:rFonts w:hint="eastAsia" w:ascii="宋体" w:hAnsi="宋体"/>
          <w:szCs w:val="21"/>
          <w:lang w:val="en-US" w:eastAsia="zh-CN"/>
        </w:rPr>
        <w:t>3</w:t>
      </w:r>
      <w:r>
        <w:rPr>
          <w:rFonts w:hint="eastAsia" w:ascii="宋体" w:hAnsi="宋体"/>
          <w:szCs w:val="21"/>
        </w:rPr>
        <w:t>0万吨以上，无条件进行</w:t>
      </w:r>
      <w:r>
        <w:rPr>
          <w:rFonts w:hint="eastAsia" w:ascii="宋体" w:hAnsi="宋体"/>
          <w:szCs w:val="21"/>
          <w:lang w:eastAsia="zh-CN"/>
        </w:rPr>
        <w:t>中</w:t>
      </w:r>
      <w:r>
        <w:rPr>
          <w:rFonts w:hint="eastAsia" w:ascii="宋体" w:hAnsi="宋体"/>
          <w:szCs w:val="21"/>
        </w:rPr>
        <w:t>修。</w:t>
      </w:r>
    </w:p>
    <w:p>
      <w:pPr>
        <w:spacing w:line="300" w:lineRule="exact"/>
        <w:ind w:firstLine="420" w:firstLineChars="200"/>
        <w:rPr>
          <w:rFonts w:ascii="宋体" w:hAnsi="宋体"/>
          <w:szCs w:val="21"/>
        </w:rPr>
      </w:pPr>
      <w:r>
        <w:rPr>
          <w:rFonts w:hint="eastAsia" w:ascii="宋体" w:hAnsi="宋体"/>
          <w:szCs w:val="21"/>
        </w:rPr>
        <w:t>2.4保质期及检查验收标准</w:t>
      </w:r>
    </w:p>
    <w:p>
      <w:pPr>
        <w:tabs>
          <w:tab w:val="left" w:pos="8280"/>
        </w:tabs>
        <w:spacing w:line="300" w:lineRule="exact"/>
        <w:ind w:firstLine="420" w:firstLineChars="200"/>
        <w:rPr>
          <w:rFonts w:ascii="宋体" w:hAnsi="宋体"/>
          <w:szCs w:val="21"/>
        </w:rPr>
      </w:pPr>
      <w:r>
        <w:rPr>
          <w:rFonts w:hint="eastAsia" w:ascii="宋体" w:hAnsi="宋体"/>
          <w:szCs w:val="21"/>
        </w:rPr>
        <w:t>2.4.1产品保质期：一年。</w:t>
      </w:r>
    </w:p>
    <w:p>
      <w:pPr>
        <w:spacing w:line="300" w:lineRule="exact"/>
        <w:ind w:firstLine="403" w:firstLineChars="192"/>
        <w:jc w:val="left"/>
        <w:rPr>
          <w:rFonts w:ascii="宋体" w:hAnsi="宋体"/>
          <w:szCs w:val="21"/>
        </w:rPr>
      </w:pPr>
      <w:r>
        <w:rPr>
          <w:rFonts w:hint="eastAsia" w:ascii="宋体" w:hAnsi="宋体"/>
          <w:szCs w:val="21"/>
        </w:rPr>
        <w:t>2.4.2检测、检验、验收方法均执行GB/YB标准相关规定。</w:t>
      </w:r>
    </w:p>
    <w:p>
      <w:pPr>
        <w:spacing w:line="300" w:lineRule="exact"/>
        <w:ind w:firstLine="403" w:firstLineChars="192"/>
        <w:jc w:val="left"/>
        <w:rPr>
          <w:rFonts w:ascii="宋体" w:hAnsi="宋体"/>
          <w:szCs w:val="21"/>
        </w:rPr>
      </w:pPr>
      <w:r>
        <w:rPr>
          <w:rFonts w:hint="eastAsia" w:ascii="宋体" w:hAnsi="宋体"/>
          <w:szCs w:val="21"/>
        </w:rPr>
        <w:t>2.2.3产品到货时，随车附带发货清单、理化指标检测报告单及质量保证书。</w:t>
      </w:r>
    </w:p>
    <w:p>
      <w:pPr>
        <w:spacing w:line="300" w:lineRule="exact"/>
        <w:ind w:firstLine="403" w:firstLineChars="192"/>
        <w:rPr>
          <w:rFonts w:ascii="宋体" w:hAnsi="宋体"/>
          <w:szCs w:val="21"/>
        </w:rPr>
      </w:pPr>
      <w:r>
        <w:rPr>
          <w:rFonts w:hint="eastAsia" w:ascii="宋体" w:hAnsi="宋体"/>
          <w:szCs w:val="21"/>
        </w:rPr>
        <w:t>2.4.4检验、验收结果判定，依据甲方检验、检测结果或外观检查验收或使用结果为准。</w:t>
      </w:r>
    </w:p>
    <w:p>
      <w:pPr>
        <w:spacing w:line="300" w:lineRule="exact"/>
        <w:ind w:firstLine="403" w:firstLineChars="192"/>
        <w:rPr>
          <w:rFonts w:ascii="宋体" w:hAnsi="宋体"/>
          <w:szCs w:val="21"/>
        </w:rPr>
      </w:pPr>
      <w:r>
        <w:rPr>
          <w:rFonts w:hint="eastAsia" w:ascii="宋体" w:hAnsi="宋体"/>
          <w:szCs w:val="21"/>
        </w:rPr>
        <w:t>2.4.5检测、检验结果判定为不合格品时，甲方在5日内通知乙方退货处理。</w:t>
      </w:r>
    </w:p>
    <w:p>
      <w:pPr>
        <w:spacing w:line="300" w:lineRule="exact"/>
        <w:ind w:firstLine="403" w:firstLineChars="192"/>
        <w:rPr>
          <w:rFonts w:ascii="宋体" w:hAnsi="宋体"/>
          <w:szCs w:val="21"/>
        </w:rPr>
      </w:pPr>
      <w:r>
        <w:rPr>
          <w:rFonts w:hint="eastAsia" w:ascii="宋体" w:hAnsi="宋体"/>
          <w:szCs w:val="21"/>
        </w:rPr>
        <w:t>2.4.6检测、检验结果判定为可降级使用品时，乙方全额承担差价损失部分。</w:t>
      </w:r>
    </w:p>
    <w:p>
      <w:pPr>
        <w:spacing w:line="300" w:lineRule="exact"/>
        <w:ind w:firstLine="403" w:firstLineChars="192"/>
        <w:rPr>
          <w:rFonts w:ascii="宋体" w:hAnsi="宋体"/>
          <w:szCs w:val="21"/>
        </w:rPr>
      </w:pPr>
      <w:r>
        <w:rPr>
          <w:rFonts w:hint="eastAsia" w:ascii="宋体" w:hAnsi="宋体"/>
          <w:szCs w:val="21"/>
        </w:rPr>
        <w:t>2.4.7产品到货后，甲方可以按照技术指标要求对物料进行抽检。</w:t>
      </w:r>
    </w:p>
    <w:p>
      <w:pPr>
        <w:spacing w:line="300" w:lineRule="exact"/>
        <w:ind w:firstLine="403" w:firstLineChars="192"/>
        <w:rPr>
          <w:rFonts w:ascii="宋体" w:hAnsi="宋体"/>
          <w:szCs w:val="21"/>
        </w:rPr>
      </w:pPr>
      <w:r>
        <w:rPr>
          <w:rFonts w:hint="eastAsia" w:ascii="宋体" w:hAnsi="宋体"/>
          <w:szCs w:val="21"/>
        </w:rPr>
        <w:t>2.4.8产品在使用前，对物料的包装、产品标识、产品的外观颜色、粒度等进行检查验收，不得有其他杂物、受潮、结块等问题。</w:t>
      </w:r>
    </w:p>
    <w:p>
      <w:pPr>
        <w:spacing w:line="300" w:lineRule="exact"/>
        <w:ind w:firstLine="420" w:firstLineChars="200"/>
        <w:rPr>
          <w:rFonts w:ascii="宋体" w:hAnsi="宋体"/>
          <w:szCs w:val="21"/>
        </w:rPr>
      </w:pPr>
      <w:r>
        <w:rPr>
          <w:rFonts w:hint="eastAsia" w:ascii="宋体" w:hAnsi="宋体"/>
          <w:szCs w:val="21"/>
        </w:rPr>
        <w:t>2.5技术及服务</w:t>
      </w:r>
    </w:p>
    <w:p>
      <w:pPr>
        <w:spacing w:line="300" w:lineRule="exact"/>
        <w:ind w:firstLine="420" w:firstLineChars="200"/>
        <w:rPr>
          <w:rFonts w:ascii="宋体" w:hAnsi="宋体"/>
          <w:szCs w:val="21"/>
        </w:rPr>
      </w:pPr>
      <w:r>
        <w:rPr>
          <w:rFonts w:hint="eastAsia" w:ascii="宋体" w:hAnsi="宋体"/>
          <w:szCs w:val="21"/>
        </w:rPr>
        <w:t>2.5.1乙方必须提供产品使用维护说明书，并指派专职人员做长期现场技术服务并跟踪其产品使用情况。</w:t>
      </w:r>
    </w:p>
    <w:p>
      <w:pPr>
        <w:spacing w:line="300" w:lineRule="exact"/>
        <w:ind w:firstLine="420" w:firstLineChars="200"/>
        <w:rPr>
          <w:rFonts w:ascii="宋体" w:hAnsi="宋体"/>
          <w:szCs w:val="21"/>
        </w:rPr>
      </w:pPr>
      <w:r>
        <w:rPr>
          <w:rFonts w:hint="eastAsia" w:ascii="宋体" w:hAnsi="宋体"/>
          <w:szCs w:val="21"/>
        </w:rPr>
        <w:t>2.5.2产品质量存在问题时，乙方及时派技术专家来现场进行技术交流并同时提供国内国际相关的最新技术信息。本协议所涉及到的技术经济指标为最低要求，乙方需无条件满足。</w:t>
      </w:r>
    </w:p>
    <w:p>
      <w:pPr>
        <w:pStyle w:val="3"/>
        <w:spacing w:line="300" w:lineRule="exact"/>
        <w:ind w:firstLine="420" w:firstLineChars="200"/>
        <w:rPr>
          <w:rFonts w:ascii="宋体" w:hAnsi="宋体"/>
          <w:sz w:val="21"/>
          <w:szCs w:val="21"/>
        </w:rPr>
      </w:pPr>
      <w:r>
        <w:rPr>
          <w:rFonts w:hint="eastAsia" w:ascii="宋体" w:hAnsi="宋体"/>
          <w:sz w:val="21"/>
          <w:szCs w:val="21"/>
        </w:rPr>
        <w:t>2.5.3乙方必须安排现场管理人员进行承包工作的生产组织、人员协调、安全管理，乙方现场管理人员接受甲方管理,并参加由甲方组织的相关会议。由于乙方未安排现场管理人员或由于乙方原因甲方无法联系到乙方现场管理人员，给甲方的生产经营工作造成影响，影响结果全部由乙方负责。</w:t>
      </w:r>
    </w:p>
    <w:p>
      <w:pPr>
        <w:spacing w:line="300" w:lineRule="exact"/>
        <w:ind w:firstLine="420" w:firstLineChars="200"/>
        <w:rPr>
          <w:rFonts w:ascii="宋体" w:hAnsi="宋体"/>
          <w:szCs w:val="21"/>
        </w:rPr>
      </w:pPr>
      <w:r>
        <w:rPr>
          <w:rFonts w:hint="eastAsia" w:ascii="宋体" w:hAnsi="宋体"/>
          <w:szCs w:val="21"/>
        </w:rPr>
        <w:t>3甲乙双方权利和义务</w:t>
      </w:r>
    </w:p>
    <w:p>
      <w:pPr>
        <w:spacing w:line="300" w:lineRule="exact"/>
        <w:ind w:firstLine="420" w:firstLineChars="200"/>
        <w:rPr>
          <w:rFonts w:ascii="宋体" w:hAnsi="宋体"/>
          <w:szCs w:val="21"/>
        </w:rPr>
      </w:pPr>
      <w:r>
        <w:rPr>
          <w:rFonts w:hint="eastAsia" w:ascii="宋体" w:hAnsi="宋体"/>
          <w:szCs w:val="21"/>
        </w:rPr>
        <w:t>3.1甲方权利和义务</w:t>
      </w:r>
    </w:p>
    <w:p>
      <w:pPr>
        <w:spacing w:line="300" w:lineRule="exact"/>
        <w:ind w:firstLine="403" w:firstLineChars="192"/>
        <w:rPr>
          <w:rFonts w:ascii="宋体" w:hAnsi="宋体"/>
          <w:szCs w:val="21"/>
        </w:rPr>
      </w:pPr>
      <w:r>
        <w:rPr>
          <w:rFonts w:hint="eastAsia" w:ascii="宋体" w:hAnsi="宋体"/>
          <w:szCs w:val="21"/>
        </w:rPr>
        <w:t>3.1.1甲方有权度乙方提供的原料、产品进行检测，对乙方所提供的原料、产品不符合协议第2条中任意条款之一时，甲方有权将其判定为不合格品。</w:t>
      </w:r>
    </w:p>
    <w:p>
      <w:pPr>
        <w:spacing w:line="300" w:lineRule="exact"/>
        <w:ind w:firstLine="403" w:firstLineChars="192"/>
        <w:rPr>
          <w:rFonts w:ascii="宋体" w:hAnsi="宋体"/>
          <w:szCs w:val="21"/>
        </w:rPr>
      </w:pPr>
      <w:r>
        <w:rPr>
          <w:rFonts w:hint="eastAsia" w:ascii="宋体" w:hAnsi="宋体"/>
          <w:szCs w:val="21"/>
        </w:rPr>
        <w:t>3.1.2乙方在无正当理由情况下，拒绝在违约报告上签字的，甲方有权按协议条款规定强制执行。</w:t>
      </w:r>
    </w:p>
    <w:p>
      <w:pPr>
        <w:spacing w:line="300" w:lineRule="exact"/>
        <w:ind w:firstLine="403" w:firstLineChars="192"/>
        <w:rPr>
          <w:rFonts w:ascii="宋体" w:hAnsi="宋体"/>
          <w:szCs w:val="21"/>
        </w:rPr>
      </w:pPr>
      <w:r>
        <w:rPr>
          <w:rFonts w:hint="eastAsia" w:ascii="宋体" w:hAnsi="宋体"/>
          <w:szCs w:val="21"/>
        </w:rPr>
        <w:t>3.1.3乙方原料、产品不合格但可降级使用，由于乙方拒不同意签字认可时，甲方有权进行退货处理。</w:t>
      </w:r>
    </w:p>
    <w:p>
      <w:pPr>
        <w:spacing w:line="300" w:lineRule="exact"/>
        <w:ind w:firstLine="403" w:firstLineChars="192"/>
        <w:rPr>
          <w:rFonts w:ascii="宋体" w:hAnsi="宋体"/>
          <w:szCs w:val="21"/>
        </w:rPr>
      </w:pPr>
      <w:r>
        <w:rPr>
          <w:rFonts w:hint="eastAsia" w:ascii="宋体" w:hAnsi="宋体"/>
          <w:szCs w:val="21"/>
        </w:rPr>
        <w:t>3.1.4甲方有义务将原料、产品检测和验收结果，及使用结果告知乙方。</w:t>
      </w:r>
    </w:p>
    <w:p>
      <w:pPr>
        <w:spacing w:line="300" w:lineRule="exact"/>
        <w:ind w:firstLine="403" w:firstLineChars="192"/>
        <w:rPr>
          <w:rFonts w:ascii="宋体" w:hAnsi="宋体"/>
          <w:szCs w:val="21"/>
        </w:rPr>
      </w:pPr>
      <w:r>
        <w:rPr>
          <w:rFonts w:hint="eastAsia" w:ascii="宋体" w:hAnsi="宋体"/>
          <w:szCs w:val="21"/>
        </w:rPr>
        <w:t>3.1.5甲方有权对乙方合格原料、产品和服务执行违约责任追究。</w:t>
      </w:r>
    </w:p>
    <w:p>
      <w:pPr>
        <w:spacing w:line="300" w:lineRule="exact"/>
        <w:ind w:firstLine="403" w:firstLineChars="192"/>
        <w:rPr>
          <w:rFonts w:ascii="宋体" w:hAnsi="宋体"/>
          <w:szCs w:val="21"/>
        </w:rPr>
      </w:pPr>
      <w:r>
        <w:rPr>
          <w:rFonts w:hint="eastAsia" w:ascii="宋体" w:hAnsi="宋体"/>
          <w:szCs w:val="21"/>
        </w:rPr>
        <w:t>3.1.6因乙方供货发生弄虚作假或以次充好，甲方有权将该批次原料、产品全部作为不合格品处理，并有权将乙方列为不合格供方。</w:t>
      </w:r>
    </w:p>
    <w:p>
      <w:pPr>
        <w:widowControl/>
        <w:spacing w:line="300" w:lineRule="exact"/>
        <w:ind w:firstLine="403" w:firstLineChars="192"/>
        <w:rPr>
          <w:rFonts w:ascii="宋体" w:hAnsi="宋体"/>
          <w:kern w:val="0"/>
          <w:szCs w:val="21"/>
        </w:rPr>
      </w:pPr>
      <w:r>
        <w:rPr>
          <w:rFonts w:hint="eastAsia" w:ascii="宋体" w:hAnsi="宋体"/>
          <w:kern w:val="0"/>
          <w:szCs w:val="21"/>
        </w:rPr>
        <w:t>3.1.7连续2个使用周期，乙方所供货物平均使用寿命均未达到协议要求的，甲方有权终止合同履行。</w:t>
      </w:r>
    </w:p>
    <w:p>
      <w:pPr>
        <w:pStyle w:val="3"/>
        <w:spacing w:line="300" w:lineRule="exact"/>
        <w:ind w:firstLine="420" w:firstLineChars="200"/>
        <w:rPr>
          <w:rFonts w:ascii="宋体" w:hAnsi="宋体"/>
          <w:sz w:val="21"/>
          <w:szCs w:val="21"/>
        </w:rPr>
      </w:pPr>
      <w:r>
        <w:rPr>
          <w:rFonts w:hint="eastAsia" w:ascii="宋体" w:hAnsi="宋体"/>
          <w:sz w:val="21"/>
          <w:szCs w:val="21"/>
        </w:rPr>
        <w:t>3.1.8甲方负责协助乙方办理承包工作范围人员、车辆及物资入厂手续。</w:t>
      </w:r>
    </w:p>
    <w:p>
      <w:pPr>
        <w:pStyle w:val="3"/>
        <w:spacing w:line="300" w:lineRule="exact"/>
        <w:ind w:firstLine="420" w:firstLineChars="200"/>
        <w:rPr>
          <w:rFonts w:ascii="宋体" w:hAnsi="宋体"/>
          <w:sz w:val="21"/>
          <w:szCs w:val="21"/>
        </w:rPr>
      </w:pPr>
      <w:r>
        <w:rPr>
          <w:rFonts w:hint="eastAsia" w:ascii="宋体" w:hAnsi="宋体"/>
          <w:sz w:val="21"/>
          <w:szCs w:val="21"/>
        </w:rPr>
        <w:t>3.1.9甲方有权对乙方进行监督、检查、责任追究。</w:t>
      </w:r>
    </w:p>
    <w:p>
      <w:pPr>
        <w:spacing w:line="300" w:lineRule="exact"/>
        <w:ind w:firstLine="420" w:firstLineChars="200"/>
        <w:rPr>
          <w:rFonts w:ascii="宋体" w:hAnsi="宋体"/>
          <w:szCs w:val="21"/>
        </w:rPr>
      </w:pPr>
      <w:r>
        <w:rPr>
          <w:rFonts w:hint="eastAsia" w:ascii="宋体" w:hAnsi="宋体"/>
          <w:szCs w:val="21"/>
        </w:rPr>
        <w:t>3.2乙方权利和义务</w:t>
      </w:r>
    </w:p>
    <w:p>
      <w:pPr>
        <w:spacing w:line="300" w:lineRule="exact"/>
        <w:ind w:firstLine="420" w:firstLineChars="200"/>
        <w:rPr>
          <w:rFonts w:ascii="宋体" w:hAnsi="宋体"/>
          <w:szCs w:val="21"/>
        </w:rPr>
      </w:pPr>
      <w:r>
        <w:rPr>
          <w:rFonts w:hint="eastAsia" w:ascii="宋体" w:hAnsi="宋体"/>
          <w:szCs w:val="21"/>
        </w:rPr>
        <w:t>3.2.1乙方有权对甲方就其供应维护工作不符合项判定进行申诉。</w:t>
      </w:r>
    </w:p>
    <w:p>
      <w:pPr>
        <w:spacing w:line="300" w:lineRule="exact"/>
        <w:ind w:firstLine="420" w:firstLineChars="200"/>
        <w:rPr>
          <w:rFonts w:ascii="宋体" w:hAnsi="宋体"/>
          <w:szCs w:val="21"/>
        </w:rPr>
      </w:pPr>
      <w:r>
        <w:rPr>
          <w:rFonts w:hint="eastAsia" w:ascii="宋体" w:hAnsi="宋体"/>
          <w:szCs w:val="21"/>
        </w:rPr>
        <w:t>3.2.2乙方有权对不合理使用等原因造成的损失进行追偿，并由甲、乙双方依据实际情况协商解决。赔偿款项待甲方向相关方追偿后赔付给予乙方。</w:t>
      </w:r>
    </w:p>
    <w:p>
      <w:pPr>
        <w:spacing w:line="300" w:lineRule="exact"/>
        <w:ind w:firstLine="420" w:firstLineChars="200"/>
        <w:rPr>
          <w:rFonts w:ascii="宋体" w:hAnsi="宋体"/>
          <w:szCs w:val="21"/>
        </w:rPr>
      </w:pPr>
      <w:r>
        <w:rPr>
          <w:rFonts w:hint="eastAsia" w:ascii="宋体" w:hAnsi="宋体"/>
          <w:szCs w:val="21"/>
        </w:rPr>
        <w:t>3.2.3乙方对甲方就其综合考评方式、内容以及违约责任追究等情况拥有知情权。</w:t>
      </w:r>
    </w:p>
    <w:p>
      <w:pPr>
        <w:spacing w:line="300" w:lineRule="exact"/>
        <w:ind w:firstLine="420" w:firstLineChars="200"/>
        <w:rPr>
          <w:rFonts w:ascii="宋体" w:hAnsi="宋体"/>
          <w:szCs w:val="21"/>
        </w:rPr>
      </w:pPr>
      <w:r>
        <w:rPr>
          <w:rFonts w:hint="eastAsia" w:ascii="宋体" w:hAnsi="宋体"/>
          <w:szCs w:val="21"/>
        </w:rPr>
        <w:t>3.2.4乙方有权依据耐火材料使用特性，在不突破现场保产要求的前提下，提出对甲方提供的规程及作业标准修订权。</w:t>
      </w:r>
    </w:p>
    <w:p>
      <w:pPr>
        <w:spacing w:line="300" w:lineRule="exact"/>
        <w:ind w:firstLine="420" w:firstLineChars="200"/>
        <w:rPr>
          <w:rFonts w:ascii="宋体" w:hAnsi="宋体"/>
          <w:szCs w:val="21"/>
        </w:rPr>
      </w:pPr>
      <w:r>
        <w:rPr>
          <w:rFonts w:hint="eastAsia" w:ascii="宋体" w:hAnsi="宋体"/>
          <w:szCs w:val="21"/>
        </w:rPr>
        <w:t>3.2.5乙方有义务向甲方提供产品的质量保证书及使用说明书等。</w:t>
      </w:r>
    </w:p>
    <w:p>
      <w:pPr>
        <w:spacing w:line="300" w:lineRule="exact"/>
        <w:ind w:firstLine="420" w:firstLineChars="200"/>
        <w:rPr>
          <w:rFonts w:ascii="宋体" w:hAnsi="宋体"/>
          <w:szCs w:val="21"/>
        </w:rPr>
      </w:pPr>
      <w:r>
        <w:rPr>
          <w:rFonts w:hint="eastAsia" w:ascii="宋体" w:hAnsi="宋体"/>
          <w:szCs w:val="21"/>
        </w:rPr>
        <w:t>3.2.6乙方有义务按照GB/YB相关标准规定，对所供货原料或产品进行标识、包装、储存和运输，对甲方有特殊要求的，乙方有义务无条件执行。</w:t>
      </w:r>
    </w:p>
    <w:p>
      <w:pPr>
        <w:spacing w:line="300" w:lineRule="exact"/>
        <w:ind w:firstLine="420" w:firstLineChars="200"/>
        <w:rPr>
          <w:rFonts w:ascii="宋体" w:hAnsi="宋体"/>
          <w:szCs w:val="21"/>
        </w:rPr>
      </w:pPr>
      <w:r>
        <w:rPr>
          <w:rFonts w:hint="eastAsia" w:ascii="宋体" w:hAnsi="宋体"/>
          <w:szCs w:val="21"/>
        </w:rPr>
        <w:t>3.2.7乙方有义务按时参加需方组织的技术质量指标不达标分析会议，及因产品质量造成的生产、质量等事故分析会议。</w:t>
      </w:r>
    </w:p>
    <w:p>
      <w:pPr>
        <w:spacing w:line="300" w:lineRule="exact"/>
        <w:ind w:firstLine="420" w:firstLineChars="200"/>
        <w:rPr>
          <w:rFonts w:ascii="宋体" w:hAnsi="宋体"/>
          <w:szCs w:val="21"/>
        </w:rPr>
      </w:pPr>
      <w:r>
        <w:rPr>
          <w:rFonts w:hint="eastAsia" w:ascii="宋体" w:hAnsi="宋体"/>
          <w:szCs w:val="21"/>
        </w:rPr>
        <w:t>3.2.8乙方有义务对甲方提出的有关技术进步、指标提升、保产施工方案优化意见及不符合项整改要求，积极响应并配合实施。</w:t>
      </w:r>
    </w:p>
    <w:p>
      <w:pPr>
        <w:pStyle w:val="3"/>
        <w:spacing w:line="300" w:lineRule="exact"/>
        <w:ind w:firstLine="420" w:firstLineChars="200"/>
        <w:rPr>
          <w:rFonts w:ascii="宋体" w:hAnsi="宋体"/>
          <w:sz w:val="21"/>
          <w:szCs w:val="21"/>
        </w:rPr>
      </w:pPr>
      <w:r>
        <w:rPr>
          <w:rFonts w:hint="eastAsia" w:ascii="宋体" w:hAnsi="宋体"/>
          <w:sz w:val="21"/>
          <w:szCs w:val="21"/>
        </w:rPr>
        <w:t>3.2.9乙方必须严格执行与甲方签订的安全生产管理协议。</w:t>
      </w:r>
    </w:p>
    <w:p>
      <w:pPr>
        <w:spacing w:line="300" w:lineRule="exact"/>
        <w:ind w:firstLine="420" w:firstLineChars="200"/>
        <w:rPr>
          <w:rFonts w:ascii="宋体" w:hAnsi="宋体"/>
          <w:szCs w:val="21"/>
        </w:rPr>
      </w:pPr>
      <w:r>
        <w:rPr>
          <w:rFonts w:hint="eastAsia" w:ascii="宋体" w:hAnsi="宋体"/>
          <w:szCs w:val="21"/>
        </w:rPr>
        <w:t>3.2.10乙方产生的生活垃圾、工业垃圾自行协调符合相关资质的单位拉运。</w:t>
      </w:r>
    </w:p>
    <w:p>
      <w:pPr>
        <w:spacing w:line="300" w:lineRule="exact"/>
        <w:ind w:firstLine="420" w:firstLineChars="200"/>
        <w:rPr>
          <w:rFonts w:ascii="宋体" w:hAnsi="宋体"/>
          <w:szCs w:val="21"/>
        </w:rPr>
      </w:pPr>
      <w:r>
        <w:rPr>
          <w:rFonts w:hint="eastAsia" w:ascii="宋体" w:hAnsi="宋体"/>
          <w:szCs w:val="21"/>
        </w:rPr>
        <w:t>4供货维护单位变更后相关问题的处理</w:t>
      </w:r>
    </w:p>
    <w:p>
      <w:pPr>
        <w:spacing w:line="300" w:lineRule="exact"/>
        <w:ind w:firstLine="420" w:firstLineChars="200"/>
        <w:rPr>
          <w:rFonts w:ascii="宋体" w:hAnsi="宋体"/>
          <w:szCs w:val="21"/>
        </w:rPr>
      </w:pPr>
      <w:r>
        <w:rPr>
          <w:rFonts w:hint="eastAsia" w:ascii="宋体" w:hAnsi="宋体"/>
          <w:szCs w:val="21"/>
        </w:rPr>
        <w:t>4.1为确保生产连续性，乙方接到中标通知后，应在15日内，积极组织做好各项供货及生产准备工作。</w:t>
      </w:r>
    </w:p>
    <w:p>
      <w:pPr>
        <w:spacing w:line="300" w:lineRule="exact"/>
        <w:ind w:firstLine="420" w:firstLineChars="200"/>
        <w:rPr>
          <w:rFonts w:ascii="宋体" w:hAnsi="宋体"/>
          <w:szCs w:val="21"/>
        </w:rPr>
      </w:pPr>
      <w:r>
        <w:rPr>
          <w:rFonts w:hint="eastAsia" w:ascii="宋体" w:hAnsi="宋体"/>
          <w:szCs w:val="21"/>
        </w:rPr>
        <w:t>4.2若合同期满或其它原因终止合同执行，乙方维护正常生产已投入使用的耐火材料在交接过程中与甲方及其他供方不存在永久衬料补偿问题。</w:t>
      </w:r>
    </w:p>
    <w:p>
      <w:pPr>
        <w:spacing w:line="300" w:lineRule="exact"/>
        <w:ind w:firstLine="420" w:firstLineChars="200"/>
        <w:rPr>
          <w:rFonts w:ascii="宋体" w:hAnsi="宋体"/>
          <w:szCs w:val="21"/>
        </w:rPr>
      </w:pPr>
      <w:r>
        <w:rPr>
          <w:rFonts w:hint="eastAsia" w:ascii="宋体" w:hAnsi="宋体"/>
          <w:szCs w:val="21"/>
        </w:rPr>
        <w:t>4.3合同期满后，乙方为确保生产延续正常使用的耐材制品，按平行或低于原合同价的最新中标价补签合同进行结算。</w:t>
      </w:r>
    </w:p>
    <w:p>
      <w:pPr>
        <w:spacing w:line="300" w:lineRule="exact"/>
        <w:ind w:firstLine="420" w:firstLineChars="200"/>
        <w:rPr>
          <w:rFonts w:ascii="宋体" w:hAnsi="宋体"/>
          <w:szCs w:val="21"/>
        </w:rPr>
      </w:pPr>
      <w:r>
        <w:rPr>
          <w:rFonts w:hint="eastAsia" w:ascii="宋体" w:hAnsi="宋体"/>
          <w:kern w:val="0"/>
          <w:szCs w:val="21"/>
        </w:rPr>
        <w:t>4.4乙方投标前必须与甲方进行技术交流并签订技术协议，</w:t>
      </w:r>
      <w:r>
        <w:rPr>
          <w:rFonts w:hint="eastAsia" w:ascii="宋体" w:hAnsi="宋体"/>
          <w:szCs w:val="21"/>
        </w:rPr>
        <w:t>拒绝与甲方签订技术协议的，均视为乙方自动放弃本次参标机会。</w:t>
      </w:r>
    </w:p>
    <w:p>
      <w:pPr>
        <w:spacing w:line="300" w:lineRule="exact"/>
        <w:ind w:firstLine="420" w:firstLineChars="200"/>
        <w:rPr>
          <w:rFonts w:ascii="宋体" w:hAnsi="宋体"/>
          <w:szCs w:val="21"/>
        </w:rPr>
      </w:pPr>
      <w:r>
        <w:rPr>
          <w:rFonts w:hint="eastAsia" w:ascii="宋体" w:hAnsi="宋体"/>
          <w:szCs w:val="21"/>
        </w:rPr>
        <w:t>5发生下列情况时，甲方对乙方执行违约责任追究</w:t>
      </w:r>
    </w:p>
    <w:p>
      <w:pPr>
        <w:spacing w:line="300" w:lineRule="exact"/>
        <w:ind w:firstLine="420" w:firstLineChars="200"/>
        <w:rPr>
          <w:rFonts w:ascii="宋体" w:hAnsi="宋体"/>
          <w:szCs w:val="21"/>
        </w:rPr>
      </w:pPr>
      <w:r>
        <w:rPr>
          <w:rFonts w:hint="eastAsia" w:ascii="宋体" w:hAnsi="宋体"/>
          <w:szCs w:val="21"/>
        </w:rPr>
        <w:t>5.1技术指标、质量要求不达标</w:t>
      </w:r>
    </w:p>
    <w:p>
      <w:pPr>
        <w:spacing w:line="300" w:lineRule="exact"/>
        <w:ind w:firstLine="420" w:firstLineChars="200"/>
        <w:rPr>
          <w:rFonts w:ascii="宋体" w:hAnsi="宋体"/>
          <w:szCs w:val="21"/>
        </w:rPr>
      </w:pPr>
      <w:r>
        <w:rPr>
          <w:rFonts w:hint="eastAsia" w:ascii="宋体" w:hAnsi="宋体"/>
          <w:szCs w:val="21"/>
        </w:rPr>
        <w:t>5.1.1供货标识、包装、储存、运输或质量保证书不符合标准要求，每吨扣款</w:t>
      </w:r>
      <w:r>
        <w:rPr>
          <w:rFonts w:hint="eastAsia" w:ascii="宋体" w:hAnsi="宋体"/>
          <w:szCs w:val="21"/>
          <w:lang w:val="en-US" w:eastAsia="zh-CN"/>
        </w:rPr>
        <w:t>50</w:t>
      </w:r>
      <w:r>
        <w:rPr>
          <w:rFonts w:hint="eastAsia" w:ascii="宋体" w:hAnsi="宋体"/>
          <w:szCs w:val="21"/>
        </w:rPr>
        <w:t>元。</w:t>
      </w:r>
    </w:p>
    <w:p>
      <w:pPr>
        <w:spacing w:line="300" w:lineRule="exact"/>
        <w:ind w:firstLine="403" w:firstLineChars="192"/>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2</w:t>
      </w:r>
      <w:r>
        <w:rPr>
          <w:rFonts w:ascii="宋体" w:hAnsi="宋体"/>
          <w:szCs w:val="21"/>
        </w:rPr>
        <w:t>最低库存储备要求：</w:t>
      </w:r>
      <w:r>
        <w:rPr>
          <w:rFonts w:hint="eastAsia" w:ascii="宋体" w:hAnsi="宋体"/>
          <w:szCs w:val="21"/>
        </w:rPr>
        <w:t>乙方必须确保正常生产的合理库存，</w:t>
      </w:r>
      <w:r>
        <w:rPr>
          <w:rFonts w:ascii="宋体" w:hAnsi="宋体"/>
          <w:szCs w:val="21"/>
        </w:rPr>
        <w:t>由于库存原因影响生产，由</w:t>
      </w:r>
      <w:r>
        <w:rPr>
          <w:rFonts w:hint="eastAsia" w:ascii="宋体" w:hAnsi="宋体"/>
          <w:szCs w:val="21"/>
        </w:rPr>
        <w:t>乙</w:t>
      </w:r>
      <w:r>
        <w:rPr>
          <w:rFonts w:ascii="宋体" w:hAnsi="宋体"/>
          <w:szCs w:val="21"/>
        </w:rPr>
        <w:t>方承担所有经济损失，且不冲减</w:t>
      </w:r>
      <w:r>
        <w:rPr>
          <w:rFonts w:hint="eastAsia" w:ascii="宋体" w:hAnsi="宋体"/>
          <w:szCs w:val="21"/>
        </w:rPr>
        <w:t>甲</w:t>
      </w:r>
      <w:r>
        <w:rPr>
          <w:rFonts w:ascii="宋体" w:hAnsi="宋体"/>
          <w:szCs w:val="21"/>
        </w:rPr>
        <w:t>方扣款。</w:t>
      </w:r>
    </w:p>
    <w:p>
      <w:pPr>
        <w:spacing w:line="300" w:lineRule="exact"/>
        <w:ind w:firstLine="403" w:firstLineChars="192"/>
        <w:rPr>
          <w:rFonts w:ascii="宋体" w:hAnsi="宋体"/>
          <w:szCs w:val="21"/>
        </w:rPr>
      </w:pPr>
      <w:r>
        <w:rPr>
          <w:rFonts w:hint="eastAsia" w:ascii="宋体" w:hAnsi="宋体"/>
          <w:szCs w:val="21"/>
        </w:rPr>
        <w:t>5.2使用要求不达标责任追究</w:t>
      </w:r>
    </w:p>
    <w:p>
      <w:pPr>
        <w:spacing w:line="300" w:lineRule="exact"/>
        <w:ind w:firstLine="420" w:firstLineChars="200"/>
        <w:rPr>
          <w:rFonts w:ascii="宋体" w:hAnsi="宋体"/>
          <w:szCs w:val="21"/>
        </w:rPr>
      </w:pPr>
      <w:r>
        <w:rPr>
          <w:rFonts w:hint="eastAsia" w:ascii="宋体" w:hAnsi="宋体"/>
          <w:color w:val="000000"/>
          <w:szCs w:val="21"/>
        </w:rPr>
        <w:t>5.2.1铁水主沟、小坑：</w:t>
      </w:r>
      <w:r>
        <w:rPr>
          <w:rFonts w:hint="eastAsia" w:ascii="宋体" w:hAnsi="宋体"/>
          <w:szCs w:val="21"/>
        </w:rPr>
        <w:t>单铁口</w:t>
      </w:r>
      <w:r>
        <w:rPr>
          <w:rFonts w:hint="eastAsia" w:ascii="宋体" w:hAnsi="宋体"/>
          <w:szCs w:val="21"/>
          <w:lang w:eastAsia="zh-CN"/>
        </w:rPr>
        <w:t>中修后</w:t>
      </w:r>
      <w:r>
        <w:rPr>
          <w:rFonts w:hint="eastAsia" w:ascii="宋体" w:hAnsi="宋体"/>
          <w:szCs w:val="21"/>
        </w:rPr>
        <w:t>通铁量不小于</w:t>
      </w:r>
      <w:r>
        <w:rPr>
          <w:rFonts w:hint="eastAsia" w:ascii="宋体" w:hAnsi="宋体"/>
          <w:szCs w:val="21"/>
          <w:lang w:val="en-US" w:eastAsia="zh-CN"/>
        </w:rPr>
        <w:t>22</w:t>
      </w:r>
      <w:r>
        <w:rPr>
          <w:rFonts w:hint="eastAsia" w:ascii="宋体" w:hAnsi="宋体"/>
          <w:szCs w:val="21"/>
        </w:rPr>
        <w:t>万吨，每欠1吨按1元/吨进行责任追究；</w:t>
      </w:r>
      <w:r>
        <w:rPr>
          <w:rFonts w:hint="eastAsia" w:ascii="宋体" w:hAnsi="宋体"/>
          <w:szCs w:val="21"/>
          <w:lang w:val="en-US" w:eastAsia="zh-CN"/>
        </w:rPr>
        <w:t>22</w:t>
      </w:r>
      <w:r>
        <w:rPr>
          <w:rFonts w:hint="eastAsia" w:ascii="宋体" w:hAnsi="宋体"/>
          <w:szCs w:val="21"/>
        </w:rPr>
        <w:t>万吨周期内主沟修补超一次扣款5万元；渣沟、铁摆、铁沟扣款1万元/每次；造成单铁口连续出铁超过2次以上（含2次），每次扣款5万元；影响炉况顺行，按事故损失进行责任追究。</w:t>
      </w:r>
    </w:p>
    <w:p>
      <w:pPr>
        <w:spacing w:line="300" w:lineRule="exact"/>
        <w:ind w:firstLine="420" w:firstLineChars="200"/>
        <w:rPr>
          <w:rFonts w:ascii="宋体" w:hAnsi="宋体"/>
          <w:color w:val="000000"/>
          <w:szCs w:val="21"/>
        </w:rPr>
      </w:pPr>
      <w:r>
        <w:rPr>
          <w:rFonts w:hint="eastAsia" w:ascii="宋体" w:hAnsi="宋体"/>
          <w:color w:val="000000"/>
          <w:szCs w:val="21"/>
        </w:rPr>
        <w:t>5.2.2新打结渣铁沟盖板使用寿命低于7万吨通铁量或小于1个月使用要求，扣款5000元/次。</w:t>
      </w:r>
    </w:p>
    <w:p>
      <w:pPr>
        <w:spacing w:line="300" w:lineRule="exact"/>
        <w:ind w:firstLine="420" w:firstLineChars="200"/>
        <w:rPr>
          <w:rFonts w:ascii="宋体" w:hAnsi="宋体"/>
          <w:color w:val="000000"/>
          <w:szCs w:val="21"/>
        </w:rPr>
      </w:pPr>
      <w:r>
        <w:rPr>
          <w:rFonts w:hint="eastAsia" w:ascii="宋体" w:hAnsi="宋体"/>
          <w:color w:val="000000"/>
          <w:szCs w:val="21"/>
        </w:rPr>
        <w:t>5.2.3乙方提供的耐火材料必须保证正常生产，如由于质量波动导致耐火材料脱落，未造成事故扣款</w:t>
      </w:r>
      <w:r>
        <w:rPr>
          <w:rFonts w:hint="eastAsia" w:ascii="宋体" w:hAnsi="宋体"/>
          <w:color w:val="000000"/>
          <w:szCs w:val="21"/>
          <w:lang w:val="en-US" w:eastAsia="zh-CN"/>
        </w:rPr>
        <w:t>5000-</w:t>
      </w:r>
      <w:r>
        <w:rPr>
          <w:rFonts w:hint="eastAsia" w:ascii="宋体" w:hAnsi="宋体"/>
          <w:color w:val="000000"/>
          <w:szCs w:val="21"/>
        </w:rPr>
        <w:t>20000元/次；若造成事故，则按实际事故损失从乙方承包费用中扣除。</w:t>
      </w:r>
    </w:p>
    <w:p>
      <w:pPr>
        <w:spacing w:line="300" w:lineRule="exact"/>
        <w:ind w:firstLine="420" w:firstLineChars="200"/>
        <w:rPr>
          <w:rFonts w:ascii="宋体" w:hAnsi="宋体"/>
          <w:color w:val="000000"/>
          <w:szCs w:val="21"/>
        </w:rPr>
      </w:pPr>
      <w:r>
        <w:rPr>
          <w:rFonts w:hint="eastAsia" w:ascii="宋体" w:hAnsi="宋体"/>
          <w:color w:val="000000"/>
          <w:szCs w:val="21"/>
        </w:rPr>
        <w:t>5.2.4乙方必须遵守有关厂区安全文明生产、环境保护、现场卫生、治安联防等规定的，如有违反，扣款</w:t>
      </w:r>
      <w:r>
        <w:rPr>
          <w:rFonts w:hint="eastAsia" w:ascii="宋体" w:hAnsi="宋体"/>
          <w:color w:val="000000"/>
          <w:szCs w:val="21"/>
          <w:lang w:val="en-US" w:eastAsia="zh-CN"/>
        </w:rPr>
        <w:t>1000-</w:t>
      </w:r>
      <w:r>
        <w:rPr>
          <w:rFonts w:hint="eastAsia" w:ascii="宋体" w:hAnsi="宋体"/>
          <w:color w:val="000000"/>
          <w:szCs w:val="21"/>
        </w:rPr>
        <w:t>5000元/次。</w:t>
      </w:r>
    </w:p>
    <w:p>
      <w:pPr>
        <w:spacing w:line="300" w:lineRule="exact"/>
        <w:ind w:firstLine="420" w:firstLineChars="200"/>
        <w:rPr>
          <w:rFonts w:ascii="宋体" w:hAnsi="宋体"/>
          <w:color w:val="000000"/>
          <w:szCs w:val="21"/>
        </w:rPr>
      </w:pPr>
      <w:r>
        <w:rPr>
          <w:rFonts w:hint="eastAsia" w:ascii="宋体" w:hAnsi="宋体"/>
          <w:color w:val="000000"/>
          <w:szCs w:val="21"/>
        </w:rPr>
        <w:t>5.2.5因乙方耐材质量问题影响生产，为防止问题扩大，采取特护措施（吹风冷却等）所发生的费用（动力能源、材料备件等）由乙方承担。费用全额从乙方承包费用中扣除。</w:t>
      </w:r>
    </w:p>
    <w:p>
      <w:pPr>
        <w:spacing w:line="300" w:lineRule="exact"/>
        <w:ind w:firstLine="420" w:firstLineChars="200"/>
        <w:rPr>
          <w:rFonts w:hint="eastAsia" w:ascii="宋体" w:hAnsi="宋体"/>
          <w:color w:val="000000"/>
          <w:szCs w:val="21"/>
        </w:rPr>
      </w:pPr>
      <w:r>
        <w:rPr>
          <w:rFonts w:hint="eastAsia" w:ascii="宋体" w:hAnsi="宋体"/>
          <w:color w:val="000000"/>
          <w:szCs w:val="21"/>
        </w:rPr>
        <w:t>5.2.6乙方未按要求及时提供保产耐火材料至现场，</w:t>
      </w:r>
      <w:r>
        <w:rPr>
          <w:rFonts w:hint="eastAsia" w:ascii="宋体" w:hAnsi="宋体"/>
          <w:szCs w:val="21"/>
        </w:rPr>
        <w:t>影响高炉生产，</w:t>
      </w:r>
      <w:r>
        <w:rPr>
          <w:rFonts w:hint="eastAsia" w:ascii="宋体" w:hAnsi="宋体"/>
          <w:color w:val="000000"/>
          <w:szCs w:val="21"/>
        </w:rPr>
        <w:t>2000元/次，造成事故执行分析报告。</w:t>
      </w:r>
    </w:p>
    <w:p>
      <w:pPr>
        <w:spacing w:line="300" w:lineRule="exact"/>
        <w:ind w:firstLine="403" w:firstLineChars="192"/>
        <w:rPr>
          <w:rFonts w:ascii="宋体" w:hAnsi="宋体"/>
          <w:szCs w:val="21"/>
        </w:rPr>
      </w:pPr>
      <w:r>
        <w:rPr>
          <w:rFonts w:hint="eastAsia" w:ascii="宋体" w:hAnsi="宋体"/>
          <w:szCs w:val="21"/>
        </w:rPr>
        <w:t>5.3事故责任追究</w:t>
      </w:r>
      <w:r>
        <w:rPr>
          <w:rFonts w:ascii="宋体" w:hAnsi="宋体"/>
          <w:szCs w:val="21"/>
        </w:rPr>
        <w:t xml:space="preserve"> </w:t>
      </w:r>
    </w:p>
    <w:p>
      <w:pPr>
        <w:spacing w:line="300" w:lineRule="exact"/>
        <w:ind w:firstLine="403" w:firstLineChars="192"/>
        <w:rPr>
          <w:rFonts w:ascii="宋体" w:hAnsi="宋体"/>
          <w:szCs w:val="21"/>
        </w:rPr>
      </w:pPr>
      <w:r>
        <w:rPr>
          <w:rFonts w:hint="eastAsia" w:ascii="宋体" w:hAnsi="宋体"/>
          <w:szCs w:val="21"/>
        </w:rPr>
        <w:t>5.3.1 因乙方产品质量给甲方造成事故的，由甲方向乙方提报直接经济损失明细，乙方全额承担所造成的经济损失。</w:t>
      </w:r>
    </w:p>
    <w:p>
      <w:pPr>
        <w:spacing w:line="300" w:lineRule="exact"/>
        <w:ind w:firstLine="420" w:firstLineChars="200"/>
        <w:rPr>
          <w:rFonts w:ascii="宋体" w:hAnsi="宋体" w:cs="宋体"/>
          <w:szCs w:val="21"/>
        </w:rPr>
      </w:pPr>
      <w:r>
        <w:rPr>
          <w:rFonts w:hint="eastAsia" w:ascii="宋体" w:hAnsi="宋体"/>
          <w:szCs w:val="21"/>
        </w:rPr>
        <w:t>5.3.2由于乙方</w:t>
      </w:r>
      <w:r>
        <w:rPr>
          <w:rFonts w:hint="eastAsia" w:ascii="宋体" w:hAnsi="宋体" w:cs="宋体"/>
          <w:szCs w:val="21"/>
        </w:rPr>
        <w:t>产品质量等原因导致使用过程中出现事故隐患和故障的，每次扣款10000元，</w:t>
      </w:r>
      <w:r>
        <w:rPr>
          <w:rFonts w:hint="eastAsia" w:ascii="宋体" w:hAnsi="宋体"/>
          <w:szCs w:val="21"/>
        </w:rPr>
        <w:t>重复性事故加倍扣款。</w:t>
      </w:r>
    </w:p>
    <w:p>
      <w:pPr>
        <w:spacing w:line="300" w:lineRule="exact"/>
        <w:ind w:firstLine="420" w:firstLineChars="200"/>
        <w:rPr>
          <w:rFonts w:ascii="宋体" w:hAnsi="宋体" w:cs="宋体"/>
          <w:szCs w:val="21"/>
        </w:rPr>
      </w:pPr>
      <w:r>
        <w:rPr>
          <w:rFonts w:hint="eastAsia" w:ascii="宋体" w:hAnsi="宋体" w:cs="宋体"/>
          <w:szCs w:val="21"/>
        </w:rPr>
        <w:t>5.3.3</w:t>
      </w:r>
      <w:r>
        <w:rPr>
          <w:rStyle w:val="14"/>
          <w:rFonts w:hint="eastAsia" w:ascii="宋体" w:hAnsi="宋体"/>
          <w:szCs w:val="21"/>
        </w:rPr>
        <w:t>因乙方原因造成需方受到第三方单位直接扣款或金额赔偿时，该损失由乙方全额承担。</w:t>
      </w:r>
    </w:p>
    <w:p>
      <w:pPr>
        <w:spacing w:line="300" w:lineRule="exact"/>
        <w:ind w:firstLine="403" w:firstLineChars="192"/>
        <w:rPr>
          <w:rFonts w:ascii="宋体" w:hAnsi="宋体"/>
          <w:szCs w:val="21"/>
        </w:rPr>
      </w:pPr>
      <w:r>
        <w:rPr>
          <w:rFonts w:hint="eastAsia" w:ascii="宋体" w:hAnsi="宋体"/>
          <w:szCs w:val="21"/>
        </w:rPr>
        <w:t>5.3.4乙方要依据甲方的生产计划，保证甲方的正常供应，如造成甲方生产计划无法完成，每影响一次扣款10000元，受到第三方责任追究，乙方承担相应责任。</w:t>
      </w:r>
    </w:p>
    <w:p>
      <w:pPr>
        <w:spacing w:line="300" w:lineRule="exact"/>
        <w:ind w:firstLine="403" w:firstLineChars="192"/>
        <w:rPr>
          <w:rFonts w:ascii="宋体" w:hAnsi="宋体"/>
          <w:szCs w:val="21"/>
        </w:rPr>
      </w:pPr>
      <w:r>
        <w:rPr>
          <w:rFonts w:hint="eastAsia" w:ascii="宋体" w:hAnsi="宋体"/>
          <w:szCs w:val="21"/>
        </w:rPr>
        <w:t>5.3.5所有索赔扣款等明细在48小时内明确并通知乙方，主要负责人审核签字后，在当月结算时执行。</w:t>
      </w:r>
    </w:p>
    <w:p>
      <w:pPr>
        <w:widowControl/>
        <w:spacing w:line="300" w:lineRule="exact"/>
        <w:ind w:firstLine="403" w:firstLineChars="192"/>
        <w:rPr>
          <w:rFonts w:hint="default" w:ascii="宋体" w:hAnsi="宋体" w:eastAsia="宋体"/>
          <w:kern w:val="0"/>
          <w:szCs w:val="21"/>
          <w:lang w:val="en-US" w:eastAsia="zh-CN"/>
        </w:rPr>
      </w:pPr>
      <w:r>
        <w:rPr>
          <w:rFonts w:hint="eastAsia" w:ascii="宋体" w:hAnsi="宋体"/>
          <w:kern w:val="0"/>
          <w:szCs w:val="21"/>
          <w:lang w:val="en-US" w:eastAsia="zh-CN"/>
        </w:rPr>
        <w:t>7</w:t>
      </w:r>
      <w:r>
        <w:rPr>
          <w:rFonts w:hint="eastAsia" w:ascii="宋体" w:hAnsi="宋体"/>
          <w:kern w:val="0"/>
          <w:szCs w:val="21"/>
        </w:rPr>
        <w:t>.协议有效期限：</w:t>
      </w:r>
      <w:r>
        <w:rPr>
          <w:rFonts w:hint="eastAsia" w:ascii="宋体" w:hAnsi="宋体"/>
          <w:kern w:val="0"/>
          <w:szCs w:val="21"/>
          <w:lang w:eastAsia="zh-CN"/>
        </w:rPr>
        <w:t>自合同签订之日起</w:t>
      </w:r>
      <w:r>
        <w:rPr>
          <w:rFonts w:hint="eastAsia" w:ascii="宋体" w:hAnsi="宋体"/>
          <w:kern w:val="0"/>
          <w:szCs w:val="21"/>
          <w:lang w:val="en-US" w:eastAsia="zh-CN"/>
        </w:rPr>
        <w:t>-2022年12月25日。</w:t>
      </w:r>
    </w:p>
    <w:p>
      <w:pPr>
        <w:widowControl/>
        <w:spacing w:line="300" w:lineRule="exact"/>
        <w:ind w:firstLine="403" w:firstLineChars="192"/>
        <w:rPr>
          <w:rFonts w:ascii="宋体" w:hAnsi="宋体"/>
          <w:kern w:val="0"/>
          <w:szCs w:val="21"/>
        </w:rPr>
      </w:pPr>
      <w:r>
        <w:rPr>
          <w:rFonts w:hint="eastAsia" w:ascii="宋体" w:hAnsi="宋体"/>
          <w:kern w:val="0"/>
          <w:szCs w:val="21"/>
          <w:lang w:val="en-US" w:eastAsia="zh-CN"/>
        </w:rPr>
        <w:t>8</w:t>
      </w:r>
      <w:r>
        <w:rPr>
          <w:rFonts w:hint="eastAsia" w:ascii="宋体" w:hAnsi="宋体"/>
          <w:kern w:val="0"/>
          <w:szCs w:val="21"/>
        </w:rPr>
        <w:t>.本协议与对应合同具有同等法律效力，经甲乙双方授权代表人或委托代理人签字后正式生效。</w:t>
      </w:r>
    </w:p>
    <w:p>
      <w:pPr>
        <w:widowControl/>
        <w:spacing w:line="300" w:lineRule="exact"/>
        <w:ind w:firstLine="403" w:firstLineChars="192"/>
        <w:rPr>
          <w:rFonts w:ascii="宋体" w:hAnsi="宋体"/>
          <w:kern w:val="0"/>
          <w:szCs w:val="21"/>
        </w:rPr>
      </w:pPr>
      <w:r>
        <w:rPr>
          <w:rFonts w:hint="eastAsia" w:ascii="宋体" w:hAnsi="宋体"/>
          <w:kern w:val="0"/>
          <w:szCs w:val="21"/>
          <w:lang w:val="en-US" w:eastAsia="zh-CN"/>
        </w:rPr>
        <w:t>9</w:t>
      </w:r>
      <w:r>
        <w:rPr>
          <w:rFonts w:hint="eastAsia" w:ascii="宋体" w:hAnsi="宋体"/>
          <w:kern w:val="0"/>
          <w:szCs w:val="21"/>
        </w:rPr>
        <w:t>.本协议在执行期间发生异议时，由甲乙双方协商解决，协商无果可向嘉峪关市人民法院起诉。</w:t>
      </w:r>
    </w:p>
    <w:p>
      <w:pPr>
        <w:widowControl/>
        <w:spacing w:line="300" w:lineRule="exact"/>
        <w:ind w:firstLine="403" w:firstLineChars="192"/>
        <w:rPr>
          <w:rFonts w:ascii="宋体" w:hAnsi="宋体"/>
          <w:kern w:val="0"/>
          <w:szCs w:val="21"/>
        </w:rPr>
      </w:pPr>
      <w:r>
        <w:rPr>
          <w:rFonts w:hint="eastAsia" w:ascii="宋体" w:hAnsi="宋体"/>
          <w:kern w:val="0"/>
          <w:szCs w:val="21"/>
          <w:lang w:val="en-US" w:eastAsia="zh-CN"/>
        </w:rPr>
        <w:t>10</w:t>
      </w:r>
      <w:r>
        <w:rPr>
          <w:rFonts w:hint="eastAsia" w:ascii="宋体" w:hAnsi="宋体"/>
          <w:kern w:val="0"/>
          <w:szCs w:val="21"/>
        </w:rPr>
        <w:t>.</w:t>
      </w:r>
      <w:r>
        <w:rPr>
          <w:rFonts w:hint="eastAsia" w:ascii="宋体" w:hAnsi="宋体" w:cs="Times New Roman"/>
          <w:color w:val="auto"/>
          <w:szCs w:val="21"/>
          <w:lang w:val="en-US" w:eastAsia="zh-CN"/>
        </w:rPr>
        <w:t>本协议的解释权归甲、乙双方。</w:t>
      </w:r>
    </w:p>
    <w:p>
      <w:pPr>
        <w:widowControl/>
        <w:spacing w:line="300" w:lineRule="exact"/>
        <w:rPr>
          <w:rFonts w:ascii="仿宋_GB2312" w:eastAsia="仿宋_GB2312"/>
          <w:kern w:val="0"/>
          <w:szCs w:val="21"/>
        </w:rPr>
      </w:pPr>
    </w:p>
    <w:p>
      <w:pPr>
        <w:widowControl/>
        <w:spacing w:line="300" w:lineRule="exact"/>
        <w:rPr>
          <w:rFonts w:ascii="仿宋_GB2312" w:eastAsia="仿宋_GB2312"/>
          <w:kern w:val="0"/>
          <w:szCs w:val="21"/>
        </w:rPr>
      </w:pPr>
    </w:p>
    <w:tbl>
      <w:tblPr>
        <w:tblStyle w:val="9"/>
        <w:tblW w:w="5000" w:type="pct"/>
        <w:jc w:val="center"/>
        <w:tblLayout w:type="autofit"/>
        <w:tblCellMar>
          <w:top w:w="0" w:type="dxa"/>
          <w:left w:w="108" w:type="dxa"/>
          <w:bottom w:w="0" w:type="dxa"/>
          <w:right w:w="108" w:type="dxa"/>
        </w:tblCellMar>
      </w:tblPr>
      <w:tblGrid>
        <w:gridCol w:w="4901"/>
        <w:gridCol w:w="4953"/>
      </w:tblGrid>
      <w:tr>
        <w:tblPrEx>
          <w:tblCellMar>
            <w:top w:w="0" w:type="dxa"/>
            <w:left w:w="108" w:type="dxa"/>
            <w:bottom w:w="0" w:type="dxa"/>
            <w:right w:w="108" w:type="dxa"/>
          </w:tblCellMar>
        </w:tblPrEx>
        <w:trPr>
          <w:trHeight w:val="425" w:hRule="atLeast"/>
          <w:jc w:val="center"/>
        </w:trPr>
        <w:tc>
          <w:tcPr>
            <w:tcW w:w="2487" w:type="pct"/>
            <w:noWrap w:val="0"/>
            <w:vAlign w:val="top"/>
          </w:tcPr>
          <w:p>
            <w:pPr>
              <w:widowControl/>
              <w:spacing w:line="300" w:lineRule="exact"/>
              <w:jc w:val="center"/>
              <w:rPr>
                <w:rFonts w:ascii="宋体" w:hAnsi="宋体"/>
                <w:b/>
                <w:kern w:val="0"/>
                <w:szCs w:val="21"/>
                <w:lang w:val="sq-AL"/>
              </w:rPr>
            </w:pPr>
            <w:r>
              <w:rPr>
                <w:rFonts w:hint="eastAsia" w:ascii="宋体" w:hAnsi="宋体"/>
                <w:b/>
                <w:kern w:val="0"/>
                <w:szCs w:val="21"/>
                <w:lang w:val="sq-AL"/>
              </w:rPr>
              <w:t>甲      方</w:t>
            </w:r>
          </w:p>
        </w:tc>
        <w:tc>
          <w:tcPr>
            <w:tcW w:w="2513" w:type="pct"/>
            <w:noWrap w:val="0"/>
            <w:vAlign w:val="top"/>
          </w:tcPr>
          <w:p>
            <w:pPr>
              <w:widowControl/>
              <w:spacing w:line="300" w:lineRule="exact"/>
              <w:jc w:val="center"/>
              <w:rPr>
                <w:rFonts w:ascii="宋体" w:hAnsi="宋体"/>
                <w:b/>
                <w:kern w:val="0"/>
                <w:szCs w:val="21"/>
                <w:lang w:val="sq-AL"/>
              </w:rPr>
            </w:pPr>
            <w:r>
              <w:rPr>
                <w:rFonts w:hint="eastAsia" w:ascii="宋体" w:hAnsi="宋体"/>
                <w:b/>
                <w:kern w:val="0"/>
                <w:szCs w:val="21"/>
                <w:lang w:val="sq-AL"/>
              </w:rPr>
              <w:t>乙      方</w:t>
            </w:r>
          </w:p>
        </w:tc>
      </w:tr>
      <w:tr>
        <w:tblPrEx>
          <w:tblCellMar>
            <w:top w:w="0" w:type="dxa"/>
            <w:left w:w="108" w:type="dxa"/>
            <w:bottom w:w="0" w:type="dxa"/>
            <w:right w:w="108" w:type="dxa"/>
          </w:tblCellMar>
        </w:tblPrEx>
        <w:trPr>
          <w:trHeight w:val="599" w:hRule="atLeast"/>
          <w:jc w:val="center"/>
        </w:trPr>
        <w:tc>
          <w:tcPr>
            <w:tcW w:w="2487" w:type="pct"/>
            <w:noWrap w:val="0"/>
            <w:vAlign w:val="top"/>
          </w:tcPr>
          <w:p>
            <w:pPr>
              <w:widowControl/>
              <w:spacing w:line="300" w:lineRule="exact"/>
              <w:rPr>
                <w:rFonts w:ascii="宋体" w:hAnsi="宋体"/>
                <w:szCs w:val="21"/>
              </w:rPr>
            </w:pPr>
            <w:r>
              <w:rPr>
                <w:rFonts w:hint="eastAsia" w:ascii="宋体" w:hAnsi="宋体"/>
                <w:kern w:val="0"/>
                <w:szCs w:val="21"/>
                <w:lang w:val="sq-AL"/>
              </w:rPr>
              <w:t>单位名称（章）：</w:t>
            </w:r>
            <w:r>
              <w:rPr>
                <w:rFonts w:hint="eastAsia" w:ascii="宋体" w:hAnsi="宋体"/>
                <w:szCs w:val="21"/>
              </w:rPr>
              <w:t>甘肃酒钢集团科力耐火材料股份有限公司</w:t>
            </w:r>
          </w:p>
        </w:tc>
        <w:tc>
          <w:tcPr>
            <w:tcW w:w="2513" w:type="pct"/>
            <w:noWrap w:val="0"/>
            <w:vAlign w:val="top"/>
          </w:tcPr>
          <w:p>
            <w:pPr>
              <w:widowControl/>
              <w:spacing w:line="300" w:lineRule="exact"/>
              <w:rPr>
                <w:rFonts w:ascii="宋体" w:hAnsi="宋体"/>
                <w:szCs w:val="21"/>
              </w:rPr>
            </w:pPr>
            <w:r>
              <w:rPr>
                <w:rFonts w:hint="eastAsia" w:ascii="宋体" w:hAnsi="宋体"/>
                <w:szCs w:val="21"/>
              </w:rPr>
              <w:t xml:space="preserve">单位名称（章）: </w:t>
            </w:r>
          </w:p>
        </w:tc>
      </w:tr>
      <w:tr>
        <w:tblPrEx>
          <w:tblCellMar>
            <w:top w:w="0" w:type="dxa"/>
            <w:left w:w="108" w:type="dxa"/>
            <w:bottom w:w="0" w:type="dxa"/>
            <w:right w:w="108" w:type="dxa"/>
          </w:tblCellMar>
        </w:tblPrEx>
        <w:trPr>
          <w:trHeight w:val="425" w:hRule="atLeast"/>
          <w:jc w:val="center"/>
        </w:trPr>
        <w:tc>
          <w:tcPr>
            <w:tcW w:w="2487" w:type="pct"/>
            <w:noWrap w:val="0"/>
            <w:vAlign w:val="top"/>
          </w:tcPr>
          <w:p>
            <w:pPr>
              <w:widowControl/>
              <w:spacing w:line="300" w:lineRule="exact"/>
              <w:rPr>
                <w:rFonts w:ascii="宋体" w:hAnsi="宋体"/>
                <w:kern w:val="0"/>
                <w:szCs w:val="21"/>
                <w:lang w:val="sq-AL"/>
              </w:rPr>
            </w:pPr>
          </w:p>
          <w:p>
            <w:pPr>
              <w:widowControl/>
              <w:spacing w:line="300" w:lineRule="exact"/>
              <w:rPr>
                <w:rFonts w:ascii="宋体" w:hAnsi="宋体"/>
                <w:kern w:val="0"/>
                <w:szCs w:val="21"/>
                <w:lang w:val="sq-AL"/>
              </w:rPr>
            </w:pPr>
            <w:r>
              <w:rPr>
                <w:rFonts w:hint="eastAsia" w:ascii="宋体" w:hAnsi="宋体"/>
                <w:kern w:val="0"/>
                <w:szCs w:val="21"/>
                <w:lang w:val="sq-AL"/>
              </w:rPr>
              <w:t>负责人</w:t>
            </w:r>
          </w:p>
          <w:p>
            <w:pPr>
              <w:widowControl/>
              <w:spacing w:line="300" w:lineRule="exact"/>
              <w:rPr>
                <w:rFonts w:ascii="宋体" w:hAnsi="宋体"/>
                <w:kern w:val="0"/>
                <w:szCs w:val="21"/>
                <w:lang w:val="sq-AL"/>
              </w:rPr>
            </w:pPr>
          </w:p>
        </w:tc>
        <w:tc>
          <w:tcPr>
            <w:tcW w:w="2513" w:type="pct"/>
            <w:noWrap w:val="0"/>
            <w:vAlign w:val="top"/>
          </w:tcPr>
          <w:p>
            <w:pPr>
              <w:widowControl/>
              <w:spacing w:line="300" w:lineRule="exact"/>
              <w:rPr>
                <w:rFonts w:ascii="宋体" w:hAnsi="宋体"/>
                <w:kern w:val="0"/>
                <w:szCs w:val="21"/>
                <w:lang w:val="sq-AL"/>
              </w:rPr>
            </w:pPr>
          </w:p>
          <w:p>
            <w:pPr>
              <w:widowControl/>
              <w:spacing w:line="300" w:lineRule="exact"/>
              <w:rPr>
                <w:rFonts w:ascii="宋体" w:hAnsi="宋体"/>
                <w:kern w:val="0"/>
                <w:szCs w:val="21"/>
                <w:lang w:val="sq-AL"/>
              </w:rPr>
            </w:pPr>
            <w:r>
              <w:rPr>
                <w:rFonts w:hint="eastAsia" w:ascii="宋体" w:hAnsi="宋体"/>
                <w:kern w:val="0"/>
                <w:szCs w:val="21"/>
                <w:lang w:val="sq-AL"/>
              </w:rPr>
              <w:t>负责人</w:t>
            </w:r>
          </w:p>
          <w:p>
            <w:pPr>
              <w:widowControl/>
              <w:spacing w:line="300" w:lineRule="exact"/>
              <w:rPr>
                <w:rFonts w:ascii="宋体" w:hAnsi="宋体"/>
                <w:kern w:val="0"/>
                <w:szCs w:val="21"/>
                <w:lang w:val="sq-AL"/>
              </w:rPr>
            </w:pPr>
          </w:p>
          <w:p>
            <w:pPr>
              <w:widowControl/>
              <w:spacing w:line="300" w:lineRule="exact"/>
              <w:rPr>
                <w:rFonts w:ascii="宋体" w:hAnsi="宋体"/>
                <w:kern w:val="0"/>
                <w:szCs w:val="21"/>
                <w:lang w:val="sq-AL"/>
              </w:rPr>
            </w:pPr>
          </w:p>
        </w:tc>
      </w:tr>
      <w:tr>
        <w:tblPrEx>
          <w:tblCellMar>
            <w:top w:w="0" w:type="dxa"/>
            <w:left w:w="108" w:type="dxa"/>
            <w:bottom w:w="0" w:type="dxa"/>
            <w:right w:w="108" w:type="dxa"/>
          </w:tblCellMar>
        </w:tblPrEx>
        <w:trPr>
          <w:trHeight w:val="425" w:hRule="atLeast"/>
          <w:jc w:val="center"/>
        </w:trPr>
        <w:tc>
          <w:tcPr>
            <w:tcW w:w="2487" w:type="pct"/>
            <w:noWrap w:val="0"/>
            <w:vAlign w:val="top"/>
          </w:tcPr>
          <w:p>
            <w:pPr>
              <w:widowControl/>
              <w:spacing w:before="100" w:beforeAutospacing="1" w:after="100" w:afterAutospacing="1" w:line="300" w:lineRule="exact"/>
              <w:rPr>
                <w:rFonts w:ascii="宋体" w:hAnsi="宋体"/>
                <w:kern w:val="0"/>
                <w:szCs w:val="21"/>
              </w:rPr>
            </w:pPr>
            <w:r>
              <w:rPr>
                <w:rFonts w:hint="eastAsia" w:ascii="宋体" w:hAnsi="宋体"/>
                <w:kern w:val="0"/>
                <w:szCs w:val="21"/>
                <w:lang w:val="sq-AL"/>
              </w:rPr>
              <w:t>签订日期：</w:t>
            </w:r>
            <w:r>
              <w:rPr>
                <w:rFonts w:hint="eastAsia" w:ascii="宋体" w:hAnsi="宋体"/>
                <w:kern w:val="0"/>
                <w:szCs w:val="21"/>
              </w:rPr>
              <w:t xml:space="preserve">    </w:t>
            </w:r>
            <w:r>
              <w:rPr>
                <w:rFonts w:hint="eastAsia" w:ascii="宋体" w:hAnsi="宋体"/>
                <w:kern w:val="0"/>
                <w:szCs w:val="21"/>
                <w:lang w:val="sq-AL"/>
              </w:rPr>
              <w:t>年</w:t>
            </w:r>
            <w:r>
              <w:rPr>
                <w:rFonts w:hint="eastAsia" w:ascii="宋体" w:hAnsi="宋体"/>
                <w:kern w:val="0"/>
                <w:szCs w:val="21"/>
              </w:rPr>
              <w:t xml:space="preserve">    月    日</w:t>
            </w:r>
          </w:p>
        </w:tc>
        <w:tc>
          <w:tcPr>
            <w:tcW w:w="2513" w:type="pct"/>
            <w:noWrap w:val="0"/>
            <w:vAlign w:val="top"/>
          </w:tcPr>
          <w:p>
            <w:pPr>
              <w:widowControl/>
              <w:spacing w:before="100" w:beforeAutospacing="1" w:after="100" w:afterAutospacing="1" w:line="300" w:lineRule="exact"/>
              <w:rPr>
                <w:rFonts w:ascii="宋体" w:hAnsi="宋体"/>
                <w:kern w:val="0"/>
                <w:szCs w:val="21"/>
              </w:rPr>
            </w:pPr>
            <w:r>
              <w:rPr>
                <w:rFonts w:hint="eastAsia" w:ascii="宋体" w:hAnsi="宋体"/>
                <w:kern w:val="0"/>
                <w:szCs w:val="21"/>
                <w:lang w:val="sq-AL"/>
              </w:rPr>
              <w:t>签订日期：</w:t>
            </w:r>
            <w:r>
              <w:rPr>
                <w:rFonts w:hint="eastAsia" w:ascii="宋体" w:hAnsi="宋体"/>
                <w:kern w:val="0"/>
                <w:szCs w:val="21"/>
              </w:rPr>
              <w:t xml:space="preserve">    年     月     日</w:t>
            </w:r>
          </w:p>
        </w:tc>
      </w:tr>
    </w:tbl>
    <w:p>
      <w:pPr>
        <w:widowControl/>
        <w:spacing w:line="300" w:lineRule="exact"/>
        <w:rPr>
          <w:rFonts w:ascii="仿宋_GB2312" w:eastAsia="仿宋_GB2312"/>
          <w:kern w:val="0"/>
          <w:szCs w:val="21"/>
        </w:rPr>
      </w:pPr>
    </w:p>
    <w:sectPr>
      <w:footerReference r:id="rId3" w:type="default"/>
      <w:footerReference r:id="rId4" w:type="even"/>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NDkzODNlM2QxMTZhMWFmNjgxNWFhMWZhNjRlNTEifQ=="/>
  </w:docVars>
  <w:rsids>
    <w:rsidRoot w:val="00657E82"/>
    <w:rsid w:val="00001E1A"/>
    <w:rsid w:val="000053C7"/>
    <w:rsid w:val="000208F5"/>
    <w:rsid w:val="00032B5C"/>
    <w:rsid w:val="000330F1"/>
    <w:rsid w:val="00033CDF"/>
    <w:rsid w:val="00034497"/>
    <w:rsid w:val="00041676"/>
    <w:rsid w:val="00042CC9"/>
    <w:rsid w:val="000519ED"/>
    <w:rsid w:val="00055762"/>
    <w:rsid w:val="00056D1C"/>
    <w:rsid w:val="0005747C"/>
    <w:rsid w:val="00063276"/>
    <w:rsid w:val="00067E87"/>
    <w:rsid w:val="000821A9"/>
    <w:rsid w:val="00090984"/>
    <w:rsid w:val="00091C60"/>
    <w:rsid w:val="00092AED"/>
    <w:rsid w:val="00095A11"/>
    <w:rsid w:val="000969B4"/>
    <w:rsid w:val="000A1653"/>
    <w:rsid w:val="000A1BF4"/>
    <w:rsid w:val="000C020A"/>
    <w:rsid w:val="000C112A"/>
    <w:rsid w:val="000C655E"/>
    <w:rsid w:val="000C7025"/>
    <w:rsid w:val="000C7AF6"/>
    <w:rsid w:val="000D05DF"/>
    <w:rsid w:val="000D45E4"/>
    <w:rsid w:val="000D5C37"/>
    <w:rsid w:val="000E054B"/>
    <w:rsid w:val="000F2543"/>
    <w:rsid w:val="000F4FD2"/>
    <w:rsid w:val="000F51E8"/>
    <w:rsid w:val="00105EF0"/>
    <w:rsid w:val="00106FE3"/>
    <w:rsid w:val="001070E4"/>
    <w:rsid w:val="00107936"/>
    <w:rsid w:val="001138A7"/>
    <w:rsid w:val="00122941"/>
    <w:rsid w:val="00125CBE"/>
    <w:rsid w:val="0013285C"/>
    <w:rsid w:val="00132EC7"/>
    <w:rsid w:val="00135915"/>
    <w:rsid w:val="0014543C"/>
    <w:rsid w:val="00150A20"/>
    <w:rsid w:val="00153B39"/>
    <w:rsid w:val="00157DB5"/>
    <w:rsid w:val="001603CF"/>
    <w:rsid w:val="00162FA5"/>
    <w:rsid w:val="00167725"/>
    <w:rsid w:val="00173651"/>
    <w:rsid w:val="00176190"/>
    <w:rsid w:val="001779C8"/>
    <w:rsid w:val="00185075"/>
    <w:rsid w:val="00191E2C"/>
    <w:rsid w:val="00194B99"/>
    <w:rsid w:val="00194E5F"/>
    <w:rsid w:val="001951D1"/>
    <w:rsid w:val="001B4DD5"/>
    <w:rsid w:val="001C11EA"/>
    <w:rsid w:val="001C148F"/>
    <w:rsid w:val="001C18F3"/>
    <w:rsid w:val="001C454F"/>
    <w:rsid w:val="001C5182"/>
    <w:rsid w:val="001C5642"/>
    <w:rsid w:val="001C5C30"/>
    <w:rsid w:val="001D1755"/>
    <w:rsid w:val="001D7FF1"/>
    <w:rsid w:val="001E3908"/>
    <w:rsid w:val="001F07C9"/>
    <w:rsid w:val="001F0A11"/>
    <w:rsid w:val="001F4789"/>
    <w:rsid w:val="001F747A"/>
    <w:rsid w:val="0020210B"/>
    <w:rsid w:val="00202B6B"/>
    <w:rsid w:val="00203389"/>
    <w:rsid w:val="0020694A"/>
    <w:rsid w:val="0020745C"/>
    <w:rsid w:val="00212D04"/>
    <w:rsid w:val="00213D86"/>
    <w:rsid w:val="0021419D"/>
    <w:rsid w:val="00224AA7"/>
    <w:rsid w:val="002267BE"/>
    <w:rsid w:val="002302DB"/>
    <w:rsid w:val="00236B66"/>
    <w:rsid w:val="00241E53"/>
    <w:rsid w:val="00245BEA"/>
    <w:rsid w:val="00246043"/>
    <w:rsid w:val="0025370E"/>
    <w:rsid w:val="00254743"/>
    <w:rsid w:val="00254B41"/>
    <w:rsid w:val="00257C2D"/>
    <w:rsid w:val="00263581"/>
    <w:rsid w:val="00271913"/>
    <w:rsid w:val="00271FE5"/>
    <w:rsid w:val="00273020"/>
    <w:rsid w:val="002811D9"/>
    <w:rsid w:val="00281D57"/>
    <w:rsid w:val="00291ADF"/>
    <w:rsid w:val="0029669D"/>
    <w:rsid w:val="002A3312"/>
    <w:rsid w:val="002A5011"/>
    <w:rsid w:val="002C0E8D"/>
    <w:rsid w:val="002D34D5"/>
    <w:rsid w:val="002D60FD"/>
    <w:rsid w:val="002D732F"/>
    <w:rsid w:val="002E0018"/>
    <w:rsid w:val="002E66C4"/>
    <w:rsid w:val="002F3010"/>
    <w:rsid w:val="002F3615"/>
    <w:rsid w:val="002F6617"/>
    <w:rsid w:val="00300CC2"/>
    <w:rsid w:val="003030CA"/>
    <w:rsid w:val="0031157F"/>
    <w:rsid w:val="00320B17"/>
    <w:rsid w:val="003365DF"/>
    <w:rsid w:val="00341EA8"/>
    <w:rsid w:val="00346B2D"/>
    <w:rsid w:val="003534D0"/>
    <w:rsid w:val="00356784"/>
    <w:rsid w:val="00367331"/>
    <w:rsid w:val="003673A4"/>
    <w:rsid w:val="0037536E"/>
    <w:rsid w:val="00385CFD"/>
    <w:rsid w:val="00387EAE"/>
    <w:rsid w:val="003952D0"/>
    <w:rsid w:val="003B0122"/>
    <w:rsid w:val="003B23CF"/>
    <w:rsid w:val="003B2A17"/>
    <w:rsid w:val="003C32F1"/>
    <w:rsid w:val="003D51D6"/>
    <w:rsid w:val="003E1B08"/>
    <w:rsid w:val="003E54EA"/>
    <w:rsid w:val="003E5BBB"/>
    <w:rsid w:val="003E5FBB"/>
    <w:rsid w:val="003F4E70"/>
    <w:rsid w:val="00400F9D"/>
    <w:rsid w:val="004020FB"/>
    <w:rsid w:val="00403889"/>
    <w:rsid w:val="004077BB"/>
    <w:rsid w:val="0042302B"/>
    <w:rsid w:val="004312D7"/>
    <w:rsid w:val="004401A2"/>
    <w:rsid w:val="00442A5E"/>
    <w:rsid w:val="00446865"/>
    <w:rsid w:val="00451C22"/>
    <w:rsid w:val="00452603"/>
    <w:rsid w:val="00453BB2"/>
    <w:rsid w:val="00465B7D"/>
    <w:rsid w:val="00470593"/>
    <w:rsid w:val="00471596"/>
    <w:rsid w:val="0047199D"/>
    <w:rsid w:val="004720DF"/>
    <w:rsid w:val="00492149"/>
    <w:rsid w:val="00493183"/>
    <w:rsid w:val="00493637"/>
    <w:rsid w:val="00494281"/>
    <w:rsid w:val="0049688C"/>
    <w:rsid w:val="004A2198"/>
    <w:rsid w:val="004A3236"/>
    <w:rsid w:val="004A7D0C"/>
    <w:rsid w:val="004B001B"/>
    <w:rsid w:val="004B2F8E"/>
    <w:rsid w:val="004C025E"/>
    <w:rsid w:val="004D2608"/>
    <w:rsid w:val="004D392C"/>
    <w:rsid w:val="004E44BA"/>
    <w:rsid w:val="0050015A"/>
    <w:rsid w:val="00503586"/>
    <w:rsid w:val="005055CD"/>
    <w:rsid w:val="005142D9"/>
    <w:rsid w:val="00514CC9"/>
    <w:rsid w:val="005157C0"/>
    <w:rsid w:val="0051726B"/>
    <w:rsid w:val="00524CF6"/>
    <w:rsid w:val="00526234"/>
    <w:rsid w:val="00540454"/>
    <w:rsid w:val="00550906"/>
    <w:rsid w:val="00567619"/>
    <w:rsid w:val="00572F1F"/>
    <w:rsid w:val="00580FF7"/>
    <w:rsid w:val="005900E3"/>
    <w:rsid w:val="00595B6E"/>
    <w:rsid w:val="00597640"/>
    <w:rsid w:val="005A0CA0"/>
    <w:rsid w:val="005A0DCB"/>
    <w:rsid w:val="005A10FE"/>
    <w:rsid w:val="005A2125"/>
    <w:rsid w:val="005A4829"/>
    <w:rsid w:val="005B1E3A"/>
    <w:rsid w:val="005B5197"/>
    <w:rsid w:val="005C21DE"/>
    <w:rsid w:val="005C3606"/>
    <w:rsid w:val="005C5512"/>
    <w:rsid w:val="005C6303"/>
    <w:rsid w:val="005D0825"/>
    <w:rsid w:val="005D357D"/>
    <w:rsid w:val="005F114D"/>
    <w:rsid w:val="005F1D7D"/>
    <w:rsid w:val="005F2915"/>
    <w:rsid w:val="005F5184"/>
    <w:rsid w:val="006007D2"/>
    <w:rsid w:val="006047FC"/>
    <w:rsid w:val="0060584A"/>
    <w:rsid w:val="00613E99"/>
    <w:rsid w:val="00617FD6"/>
    <w:rsid w:val="00633390"/>
    <w:rsid w:val="00635445"/>
    <w:rsid w:val="006420FF"/>
    <w:rsid w:val="006504FE"/>
    <w:rsid w:val="00657E82"/>
    <w:rsid w:val="00660655"/>
    <w:rsid w:val="00662999"/>
    <w:rsid w:val="00670982"/>
    <w:rsid w:val="00673128"/>
    <w:rsid w:val="00674C87"/>
    <w:rsid w:val="006762F5"/>
    <w:rsid w:val="0068126B"/>
    <w:rsid w:val="00690535"/>
    <w:rsid w:val="00696307"/>
    <w:rsid w:val="006A4023"/>
    <w:rsid w:val="006A7B28"/>
    <w:rsid w:val="006B2EBF"/>
    <w:rsid w:val="006B5A84"/>
    <w:rsid w:val="006B608F"/>
    <w:rsid w:val="006C0FAE"/>
    <w:rsid w:val="006C2B1D"/>
    <w:rsid w:val="006D3CB6"/>
    <w:rsid w:val="006F396F"/>
    <w:rsid w:val="006F481F"/>
    <w:rsid w:val="006F49E1"/>
    <w:rsid w:val="00707613"/>
    <w:rsid w:val="007130C8"/>
    <w:rsid w:val="00716C07"/>
    <w:rsid w:val="007175A4"/>
    <w:rsid w:val="0072081D"/>
    <w:rsid w:val="00722F6B"/>
    <w:rsid w:val="0072592C"/>
    <w:rsid w:val="00726392"/>
    <w:rsid w:val="0073171B"/>
    <w:rsid w:val="00732126"/>
    <w:rsid w:val="00736442"/>
    <w:rsid w:val="00737D5F"/>
    <w:rsid w:val="00747EC5"/>
    <w:rsid w:val="007601B2"/>
    <w:rsid w:val="0076351E"/>
    <w:rsid w:val="0076388F"/>
    <w:rsid w:val="007700CF"/>
    <w:rsid w:val="007733EA"/>
    <w:rsid w:val="007759D8"/>
    <w:rsid w:val="007831C9"/>
    <w:rsid w:val="00786EC3"/>
    <w:rsid w:val="00787BF6"/>
    <w:rsid w:val="007935E2"/>
    <w:rsid w:val="00794CF3"/>
    <w:rsid w:val="007959E1"/>
    <w:rsid w:val="007A32D8"/>
    <w:rsid w:val="007A4C76"/>
    <w:rsid w:val="007A5358"/>
    <w:rsid w:val="007B4C32"/>
    <w:rsid w:val="007C233D"/>
    <w:rsid w:val="007C5375"/>
    <w:rsid w:val="007C597C"/>
    <w:rsid w:val="007D1A17"/>
    <w:rsid w:val="007E0DD6"/>
    <w:rsid w:val="007E7556"/>
    <w:rsid w:val="007F5D60"/>
    <w:rsid w:val="007F6CAF"/>
    <w:rsid w:val="007F7429"/>
    <w:rsid w:val="007F7FA9"/>
    <w:rsid w:val="0080602D"/>
    <w:rsid w:val="008105CA"/>
    <w:rsid w:val="008142D1"/>
    <w:rsid w:val="0083196A"/>
    <w:rsid w:val="0084066A"/>
    <w:rsid w:val="00844C9D"/>
    <w:rsid w:val="00851B38"/>
    <w:rsid w:val="008541CE"/>
    <w:rsid w:val="00855718"/>
    <w:rsid w:val="00856252"/>
    <w:rsid w:val="008569DA"/>
    <w:rsid w:val="008625D3"/>
    <w:rsid w:val="008830A5"/>
    <w:rsid w:val="00884600"/>
    <w:rsid w:val="0088505E"/>
    <w:rsid w:val="00885D48"/>
    <w:rsid w:val="00893146"/>
    <w:rsid w:val="0089421A"/>
    <w:rsid w:val="00894F33"/>
    <w:rsid w:val="008978AF"/>
    <w:rsid w:val="00897F74"/>
    <w:rsid w:val="008A0B07"/>
    <w:rsid w:val="008A106A"/>
    <w:rsid w:val="008A2582"/>
    <w:rsid w:val="008A41D3"/>
    <w:rsid w:val="008A5712"/>
    <w:rsid w:val="008A678F"/>
    <w:rsid w:val="008A7D5F"/>
    <w:rsid w:val="008B211A"/>
    <w:rsid w:val="008C1A34"/>
    <w:rsid w:val="008C469F"/>
    <w:rsid w:val="008C6BD8"/>
    <w:rsid w:val="008D09DA"/>
    <w:rsid w:val="008D644C"/>
    <w:rsid w:val="008E0719"/>
    <w:rsid w:val="008E253E"/>
    <w:rsid w:val="008E4CE5"/>
    <w:rsid w:val="008F3F74"/>
    <w:rsid w:val="008F51D3"/>
    <w:rsid w:val="00900BAE"/>
    <w:rsid w:val="009046D3"/>
    <w:rsid w:val="0090791D"/>
    <w:rsid w:val="009138A8"/>
    <w:rsid w:val="009158C2"/>
    <w:rsid w:val="00920F1B"/>
    <w:rsid w:val="00927DDE"/>
    <w:rsid w:val="009354F9"/>
    <w:rsid w:val="00941B7E"/>
    <w:rsid w:val="009477BA"/>
    <w:rsid w:val="009559D5"/>
    <w:rsid w:val="00963ED3"/>
    <w:rsid w:val="00970039"/>
    <w:rsid w:val="009769B1"/>
    <w:rsid w:val="00976A2B"/>
    <w:rsid w:val="00981E3D"/>
    <w:rsid w:val="009852DC"/>
    <w:rsid w:val="00992239"/>
    <w:rsid w:val="009A0C10"/>
    <w:rsid w:val="009A2E27"/>
    <w:rsid w:val="009A4935"/>
    <w:rsid w:val="009B2772"/>
    <w:rsid w:val="009B3CC8"/>
    <w:rsid w:val="009B4345"/>
    <w:rsid w:val="009B5824"/>
    <w:rsid w:val="009C073B"/>
    <w:rsid w:val="009C4212"/>
    <w:rsid w:val="009C4CD2"/>
    <w:rsid w:val="009D186E"/>
    <w:rsid w:val="009D5571"/>
    <w:rsid w:val="009D67AA"/>
    <w:rsid w:val="009E4716"/>
    <w:rsid w:val="009E4F63"/>
    <w:rsid w:val="009E60BC"/>
    <w:rsid w:val="009F19A2"/>
    <w:rsid w:val="009F4E60"/>
    <w:rsid w:val="00A0653B"/>
    <w:rsid w:val="00A1439B"/>
    <w:rsid w:val="00A16F5E"/>
    <w:rsid w:val="00A302EB"/>
    <w:rsid w:val="00A36869"/>
    <w:rsid w:val="00A437E1"/>
    <w:rsid w:val="00A457E9"/>
    <w:rsid w:val="00A47804"/>
    <w:rsid w:val="00A47969"/>
    <w:rsid w:val="00A5598E"/>
    <w:rsid w:val="00A56685"/>
    <w:rsid w:val="00A61C8A"/>
    <w:rsid w:val="00A629DB"/>
    <w:rsid w:val="00A66B5A"/>
    <w:rsid w:val="00A678DC"/>
    <w:rsid w:val="00A67B5A"/>
    <w:rsid w:val="00A81465"/>
    <w:rsid w:val="00A84AD0"/>
    <w:rsid w:val="00A85BE0"/>
    <w:rsid w:val="00A869AE"/>
    <w:rsid w:val="00A870A2"/>
    <w:rsid w:val="00A93D47"/>
    <w:rsid w:val="00AA5337"/>
    <w:rsid w:val="00AC3C75"/>
    <w:rsid w:val="00AD1D9E"/>
    <w:rsid w:val="00AD2DDD"/>
    <w:rsid w:val="00AD7917"/>
    <w:rsid w:val="00AE1BE6"/>
    <w:rsid w:val="00AE259C"/>
    <w:rsid w:val="00AE3C44"/>
    <w:rsid w:val="00AE3F0C"/>
    <w:rsid w:val="00AE3FE2"/>
    <w:rsid w:val="00AE663F"/>
    <w:rsid w:val="00AE697F"/>
    <w:rsid w:val="00AE7E98"/>
    <w:rsid w:val="00AF1BF6"/>
    <w:rsid w:val="00B00D18"/>
    <w:rsid w:val="00B03870"/>
    <w:rsid w:val="00B059FA"/>
    <w:rsid w:val="00B13B8D"/>
    <w:rsid w:val="00B22F51"/>
    <w:rsid w:val="00B24FFD"/>
    <w:rsid w:val="00B27A42"/>
    <w:rsid w:val="00B3087C"/>
    <w:rsid w:val="00B43C4E"/>
    <w:rsid w:val="00B513DB"/>
    <w:rsid w:val="00B52C4E"/>
    <w:rsid w:val="00B63D9C"/>
    <w:rsid w:val="00B64ADF"/>
    <w:rsid w:val="00B72C60"/>
    <w:rsid w:val="00B76515"/>
    <w:rsid w:val="00B80F67"/>
    <w:rsid w:val="00B919AE"/>
    <w:rsid w:val="00B9508E"/>
    <w:rsid w:val="00B95E2C"/>
    <w:rsid w:val="00B97CA0"/>
    <w:rsid w:val="00BA732B"/>
    <w:rsid w:val="00BB2B07"/>
    <w:rsid w:val="00BB49AC"/>
    <w:rsid w:val="00BC138C"/>
    <w:rsid w:val="00BC5756"/>
    <w:rsid w:val="00BE5897"/>
    <w:rsid w:val="00BF5E91"/>
    <w:rsid w:val="00BF5EBE"/>
    <w:rsid w:val="00BF796A"/>
    <w:rsid w:val="00C00871"/>
    <w:rsid w:val="00C013BC"/>
    <w:rsid w:val="00C0404C"/>
    <w:rsid w:val="00C04AFB"/>
    <w:rsid w:val="00C05616"/>
    <w:rsid w:val="00C15C7F"/>
    <w:rsid w:val="00C16B98"/>
    <w:rsid w:val="00C16D7C"/>
    <w:rsid w:val="00C2139A"/>
    <w:rsid w:val="00C26286"/>
    <w:rsid w:val="00C27855"/>
    <w:rsid w:val="00C3105F"/>
    <w:rsid w:val="00C36AC2"/>
    <w:rsid w:val="00C60EC3"/>
    <w:rsid w:val="00C65E97"/>
    <w:rsid w:val="00C6603B"/>
    <w:rsid w:val="00C66715"/>
    <w:rsid w:val="00C71329"/>
    <w:rsid w:val="00C77831"/>
    <w:rsid w:val="00C77D2B"/>
    <w:rsid w:val="00C8095A"/>
    <w:rsid w:val="00C90F6C"/>
    <w:rsid w:val="00C97D74"/>
    <w:rsid w:val="00C97F2A"/>
    <w:rsid w:val="00CA03B4"/>
    <w:rsid w:val="00CA13FC"/>
    <w:rsid w:val="00CA6FD4"/>
    <w:rsid w:val="00CB0B30"/>
    <w:rsid w:val="00CB2939"/>
    <w:rsid w:val="00CC2F54"/>
    <w:rsid w:val="00CC7769"/>
    <w:rsid w:val="00CC7B31"/>
    <w:rsid w:val="00CD0C90"/>
    <w:rsid w:val="00CD137C"/>
    <w:rsid w:val="00CD1864"/>
    <w:rsid w:val="00CD1A04"/>
    <w:rsid w:val="00CD3D7B"/>
    <w:rsid w:val="00CD54AB"/>
    <w:rsid w:val="00CE170D"/>
    <w:rsid w:val="00CE22EB"/>
    <w:rsid w:val="00CE5D0E"/>
    <w:rsid w:val="00CE647B"/>
    <w:rsid w:val="00CF4B00"/>
    <w:rsid w:val="00CF5674"/>
    <w:rsid w:val="00D1158B"/>
    <w:rsid w:val="00D14C08"/>
    <w:rsid w:val="00D17616"/>
    <w:rsid w:val="00D20665"/>
    <w:rsid w:val="00D23759"/>
    <w:rsid w:val="00D26CDA"/>
    <w:rsid w:val="00D427FA"/>
    <w:rsid w:val="00D44D90"/>
    <w:rsid w:val="00D467CF"/>
    <w:rsid w:val="00D47085"/>
    <w:rsid w:val="00D5405B"/>
    <w:rsid w:val="00D60591"/>
    <w:rsid w:val="00D7553D"/>
    <w:rsid w:val="00D774CA"/>
    <w:rsid w:val="00D85FB7"/>
    <w:rsid w:val="00D86613"/>
    <w:rsid w:val="00D93F73"/>
    <w:rsid w:val="00D94B2F"/>
    <w:rsid w:val="00DB2F38"/>
    <w:rsid w:val="00DB4473"/>
    <w:rsid w:val="00DC0CD3"/>
    <w:rsid w:val="00DC17ED"/>
    <w:rsid w:val="00DC1CCA"/>
    <w:rsid w:val="00DC65CB"/>
    <w:rsid w:val="00DD2D60"/>
    <w:rsid w:val="00DD52FD"/>
    <w:rsid w:val="00DE0DB3"/>
    <w:rsid w:val="00DE16DD"/>
    <w:rsid w:val="00DE35BA"/>
    <w:rsid w:val="00DF5E77"/>
    <w:rsid w:val="00E0018C"/>
    <w:rsid w:val="00E06246"/>
    <w:rsid w:val="00E07E09"/>
    <w:rsid w:val="00E16F6A"/>
    <w:rsid w:val="00E202ED"/>
    <w:rsid w:val="00E214EA"/>
    <w:rsid w:val="00E27052"/>
    <w:rsid w:val="00E30006"/>
    <w:rsid w:val="00E32E25"/>
    <w:rsid w:val="00E331DB"/>
    <w:rsid w:val="00E35767"/>
    <w:rsid w:val="00E4165A"/>
    <w:rsid w:val="00E4471D"/>
    <w:rsid w:val="00E55EE2"/>
    <w:rsid w:val="00E70B56"/>
    <w:rsid w:val="00E742E9"/>
    <w:rsid w:val="00E82BB3"/>
    <w:rsid w:val="00E87533"/>
    <w:rsid w:val="00E930F9"/>
    <w:rsid w:val="00E93B3F"/>
    <w:rsid w:val="00E94B30"/>
    <w:rsid w:val="00E96429"/>
    <w:rsid w:val="00EA50BA"/>
    <w:rsid w:val="00EA592B"/>
    <w:rsid w:val="00EB0513"/>
    <w:rsid w:val="00EB1CD8"/>
    <w:rsid w:val="00ED6A69"/>
    <w:rsid w:val="00ED7FCE"/>
    <w:rsid w:val="00EE0753"/>
    <w:rsid w:val="00EE5A84"/>
    <w:rsid w:val="00EE5BBE"/>
    <w:rsid w:val="00EE7970"/>
    <w:rsid w:val="00EF5DF6"/>
    <w:rsid w:val="00F1029A"/>
    <w:rsid w:val="00F16398"/>
    <w:rsid w:val="00F16D83"/>
    <w:rsid w:val="00F210EA"/>
    <w:rsid w:val="00F23945"/>
    <w:rsid w:val="00F24149"/>
    <w:rsid w:val="00F3280B"/>
    <w:rsid w:val="00F34967"/>
    <w:rsid w:val="00F35728"/>
    <w:rsid w:val="00F36017"/>
    <w:rsid w:val="00F40479"/>
    <w:rsid w:val="00F463FE"/>
    <w:rsid w:val="00F46873"/>
    <w:rsid w:val="00F51F08"/>
    <w:rsid w:val="00F56887"/>
    <w:rsid w:val="00F61A11"/>
    <w:rsid w:val="00F76030"/>
    <w:rsid w:val="00F80250"/>
    <w:rsid w:val="00F87C05"/>
    <w:rsid w:val="00F92460"/>
    <w:rsid w:val="00F93722"/>
    <w:rsid w:val="00F97EF3"/>
    <w:rsid w:val="00FA0C3E"/>
    <w:rsid w:val="00FA3C8D"/>
    <w:rsid w:val="00FA4A1A"/>
    <w:rsid w:val="00FA4E33"/>
    <w:rsid w:val="00FB3D8A"/>
    <w:rsid w:val="00FB4E12"/>
    <w:rsid w:val="00FC761F"/>
    <w:rsid w:val="00FD3BD6"/>
    <w:rsid w:val="00FE3744"/>
    <w:rsid w:val="00FE5C45"/>
    <w:rsid w:val="00FE609A"/>
    <w:rsid w:val="00FF05F3"/>
    <w:rsid w:val="00FF61ED"/>
    <w:rsid w:val="11F764A0"/>
    <w:rsid w:val="1AB760C6"/>
    <w:rsid w:val="1C9C1269"/>
    <w:rsid w:val="22192363"/>
    <w:rsid w:val="288839F1"/>
    <w:rsid w:val="383F2544"/>
    <w:rsid w:val="43FA02DC"/>
    <w:rsid w:val="4F537AB7"/>
    <w:rsid w:val="57040A52"/>
    <w:rsid w:val="5D8B6411"/>
    <w:rsid w:val="5E836CBB"/>
    <w:rsid w:val="67D179D1"/>
    <w:rsid w:val="73210070"/>
    <w:rsid w:val="746978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link w:val="12"/>
    <w:qFormat/>
    <w:uiPriority w:val="0"/>
    <w:rPr>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11"/>
    <w:pPr>
      <w:widowControl/>
      <w:adjustRightInd w:val="0"/>
      <w:snapToGrid w:val="0"/>
      <w:spacing w:before="240" w:after="60" w:line="312" w:lineRule="auto"/>
      <w:ind w:firstLine="200" w:firstLineChars="200"/>
      <w:jc w:val="center"/>
      <w:outlineLvl w:val="1"/>
    </w:pPr>
    <w:rPr>
      <w:rFonts w:ascii="Cambria" w:hAnsi="Cambria"/>
      <w:b/>
      <w:bCs/>
      <w:i/>
      <w:iCs/>
      <w:color w:val="808080"/>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character" w:customStyle="1" w:styleId="12">
    <w:name w:val="正文文本 Char"/>
    <w:link w:val="3"/>
    <w:qFormat/>
    <w:uiPriority w:val="0"/>
    <w:rPr>
      <w:rFonts w:eastAsia="宋体"/>
      <w:kern w:val="2"/>
      <w:sz w:val="32"/>
      <w:szCs w:val="24"/>
      <w:lang w:val="en-US" w:eastAsia="zh-CN" w:bidi="ar-SA"/>
    </w:rPr>
  </w:style>
  <w:style w:type="character" w:customStyle="1" w:styleId="13">
    <w:name w:val="副标题 Char"/>
    <w:link w:val="7"/>
    <w:qFormat/>
    <w:uiPriority w:val="11"/>
    <w:rPr>
      <w:rFonts w:ascii="Cambria" w:hAnsi="Cambria"/>
      <w:b/>
      <w:bCs/>
      <w:i/>
      <w:iCs/>
      <w:color w:val="808080"/>
      <w:kern w:val="28"/>
      <w:sz w:val="32"/>
      <w:szCs w:val="32"/>
    </w:rPr>
  </w:style>
  <w:style w:type="character" w:customStyle="1" w:styleId="14">
    <w:name w:val="spnmessagetext"/>
    <w:uiPriority w:val="0"/>
  </w:style>
  <w:style w:type="paragraph" w:styleId="15">
    <w:name w:val="No Spacing"/>
    <w:qFormat/>
    <w:uiPriority w:val="1"/>
    <w:pPr>
      <w:adjustRightInd w:val="0"/>
      <w:snapToGrid w:val="0"/>
      <w:ind w:firstLine="200" w:firstLineChars="200"/>
      <w:jc w:val="both"/>
    </w:pPr>
    <w:rPr>
      <w:rFonts w:ascii="Tahoma" w:hAnsi="Tahoma" w:eastAsia="微软雅黑" w:cs="Times New Roman"/>
      <w:i/>
      <w:iCs/>
      <w:color w:val="80808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766</Words>
  <Characters>4367</Characters>
  <Lines>36</Lines>
  <Paragraphs>10</Paragraphs>
  <TotalTime>10</TotalTime>
  <ScaleCrop>false</ScaleCrop>
  <LinksUpToDate>false</LinksUpToDate>
  <CharactersWithSpaces>5123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2020-12-27T03:07:00Z</dcterms:created>
  <dc:creator>曲兰翔</dc:creator>
  <cp:lastModifiedBy>Administrator</cp:lastModifiedBy>
  <cp:lastPrinted>2018-06-13T10:36:00Z</cp:lastPrinted>
  <dcterms:modified xsi:type="dcterms:W3CDTF">2022-06-10T02:04:45Z</dcterms:modified>
  <dc:title>甘肃酒钢集团科力耐火材料股份有限公司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908D0085E62C45BEAF702FB957BA3925</vt:lpwstr>
  </property>
</Properties>
</file>