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523" w:firstLineChars="700"/>
        <w:jc w:val="both"/>
        <w:rPr>
          <w:rFonts w:hint="eastAsia" w:ascii="华文中宋" w:hAnsi="华文中宋" w:eastAsia="华文中宋" w:cs="华文中宋"/>
          <w:b/>
          <w:sz w:val="36"/>
          <w:szCs w:val="36"/>
        </w:rPr>
      </w:pPr>
    </w:p>
    <w:p>
      <w:pPr>
        <w:spacing w:line="360" w:lineRule="auto"/>
        <w:ind w:firstLine="2523" w:firstLineChars="700"/>
        <w:jc w:val="both"/>
        <w:rPr>
          <w:rFonts w:hint="eastAsia" w:ascii="华文中宋" w:hAnsi="华文中宋" w:eastAsia="华文中宋" w:cs="华文中宋"/>
          <w:b/>
          <w:sz w:val="36"/>
          <w:szCs w:val="36"/>
        </w:rPr>
      </w:pP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科力耐材公司炉窑工程作业区热风炉施工业务外包技术规格书</w:t>
      </w:r>
    </w:p>
    <w:p>
      <w:pPr>
        <w:spacing w:line="360" w:lineRule="auto"/>
        <w:ind w:firstLine="1968" w:firstLineChars="700"/>
        <w:jc w:val="both"/>
        <w:rPr>
          <w:rFonts w:hint="eastAsia" w:ascii="仿宋_GB2312" w:hAnsi="仿宋_GB2312" w:eastAsia="仿宋_GB2312" w:cs="仿宋_GB2312"/>
          <w:b/>
          <w:sz w:val="28"/>
          <w:szCs w:val="28"/>
          <w:lang w:val="en-US" w:eastAsia="zh-CN"/>
        </w:rPr>
      </w:pPr>
    </w:p>
    <w:p>
      <w:pPr>
        <w:spacing w:line="360" w:lineRule="auto"/>
        <w:ind w:firstLine="3253" w:firstLineChars="900"/>
        <w:jc w:val="both"/>
        <w:rPr>
          <w:rFonts w:hint="eastAsia" w:ascii="宋体" w:hAnsi="宋体" w:eastAsia="宋体" w:cs="宋体"/>
          <w:b/>
          <w:sz w:val="36"/>
          <w:szCs w:val="36"/>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pacing w:line="360" w:lineRule="auto"/>
        <w:ind w:firstLine="3092" w:firstLineChars="1100"/>
        <w:jc w:val="both"/>
        <w:rPr>
          <w:rFonts w:hint="eastAsia" w:ascii="仿宋_GB2312" w:hAnsi="仿宋_GB2312" w:eastAsia="仿宋_GB2312" w:cs="仿宋_GB2312"/>
          <w:b/>
          <w:sz w:val="28"/>
          <w:szCs w:val="28"/>
          <w:lang w:eastAsia="zh-CN"/>
        </w:rPr>
      </w:pPr>
    </w:p>
    <w:p>
      <w:pPr>
        <w:snapToGrid w:val="0"/>
        <w:ind w:firstLine="1120" w:firstLineChars="4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甲方：</w:t>
      </w:r>
      <w:r>
        <w:rPr>
          <w:rFonts w:hint="eastAsia" w:asciiTheme="minorEastAsia" w:hAnsiTheme="minorEastAsia" w:eastAsiaTheme="minorEastAsia" w:cstheme="minorEastAsia"/>
          <w:b w:val="0"/>
          <w:bCs/>
          <w:color w:val="auto"/>
          <w:sz w:val="28"/>
          <w:szCs w:val="28"/>
          <w:lang w:val="en-US" w:eastAsia="zh-CN"/>
        </w:rPr>
        <w:t>甘肃酒钢集团科力耐火材料股份有限公司</w:t>
      </w:r>
    </w:p>
    <w:p>
      <w:pPr>
        <w:spacing w:line="360" w:lineRule="exact"/>
        <w:rPr>
          <w:rFonts w:hint="eastAsia" w:asciiTheme="minorEastAsia" w:hAnsiTheme="minorEastAsia" w:eastAsiaTheme="minorEastAsia" w:cstheme="minorEastAsia"/>
          <w:b w:val="0"/>
          <w:bCs/>
          <w:color w:val="auto"/>
          <w:sz w:val="28"/>
          <w:szCs w:val="28"/>
        </w:rPr>
      </w:pPr>
    </w:p>
    <w:p>
      <w:pPr>
        <w:snapToGrid w:val="0"/>
        <w:ind w:firstLine="1120" w:firstLineChars="4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乙方：</w:t>
      </w:r>
    </w:p>
    <w:p>
      <w:pPr>
        <w:snapToGrid w:val="0"/>
        <w:ind w:firstLine="1120" w:firstLineChars="400"/>
        <w:rPr>
          <w:rFonts w:hint="eastAsia" w:asciiTheme="minorEastAsia" w:hAnsiTheme="minorEastAsia" w:eastAsiaTheme="minorEastAsia" w:cstheme="minorEastAsia"/>
          <w:b w:val="0"/>
          <w:bCs/>
          <w:color w:val="auto"/>
          <w:sz w:val="28"/>
          <w:szCs w:val="28"/>
          <w:lang w:eastAsia="zh-CN"/>
        </w:rPr>
      </w:pPr>
    </w:p>
    <w:p>
      <w:pPr>
        <w:snapToGrid w:val="0"/>
        <w:ind w:firstLine="840" w:firstLineChars="300"/>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 xml:space="preserve">        签订地点：甘肃省嘉峪关市</w:t>
      </w:r>
    </w:p>
    <w:p>
      <w:pPr>
        <w:snapToGrid w:val="0"/>
        <w:ind w:firstLine="840" w:firstLineChars="300"/>
        <w:rPr>
          <w:rFonts w:hint="eastAsia" w:asciiTheme="minorEastAsia" w:hAnsiTheme="minorEastAsia" w:eastAsiaTheme="minorEastAsia" w:cstheme="minorEastAsia"/>
          <w:b w:val="0"/>
          <w:bCs/>
          <w:color w:val="auto"/>
          <w:sz w:val="28"/>
          <w:szCs w:val="28"/>
          <w:lang w:val="en-US" w:eastAsia="zh-CN"/>
        </w:rPr>
      </w:pPr>
    </w:p>
    <w:p>
      <w:pPr>
        <w:snapToGrid w:val="0"/>
        <w:ind w:firstLine="1960" w:firstLineChars="700"/>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 xml:space="preserve">签订时间： </w:t>
      </w:r>
      <w:r>
        <w:rPr>
          <w:rFonts w:hint="eastAsia" w:asciiTheme="minorEastAsia" w:hAnsiTheme="minorEastAsia" w:eastAsiaTheme="minorEastAsia" w:cstheme="minorEastAsia"/>
          <w:b w:val="0"/>
          <w:bCs/>
          <w:color w:val="auto"/>
          <w:sz w:val="28"/>
          <w:szCs w:val="28"/>
          <w:lang w:val="en-US" w:eastAsia="zh-CN"/>
        </w:rPr>
        <w:t>2023</w:t>
      </w:r>
      <w:r>
        <w:rPr>
          <w:rFonts w:hint="eastAsia" w:asciiTheme="minorEastAsia" w:hAnsiTheme="minorEastAsia" w:eastAsiaTheme="minorEastAsia" w:cstheme="minorEastAsia"/>
          <w:b w:val="0"/>
          <w:bCs/>
          <w:color w:val="auto"/>
          <w:sz w:val="28"/>
          <w:szCs w:val="28"/>
        </w:rPr>
        <w:t>年 月</w:t>
      </w:r>
      <w:r>
        <w:rPr>
          <w:rFonts w:hint="eastAsia" w:asciiTheme="minorEastAsia" w:hAnsiTheme="minorEastAsia" w:eastAsiaTheme="minorEastAsia" w:cstheme="minorEastAsia"/>
          <w:b w:val="0"/>
          <w:bCs/>
          <w:color w:val="auto"/>
          <w:sz w:val="28"/>
          <w:szCs w:val="28"/>
          <w:lang w:val="en-US" w:eastAsia="zh-CN"/>
        </w:rPr>
        <w:t xml:space="preserve">  </w:t>
      </w:r>
      <w:r>
        <w:rPr>
          <w:rFonts w:hint="eastAsia" w:asciiTheme="minorEastAsia" w:hAnsiTheme="minorEastAsia" w:eastAsiaTheme="minorEastAsia" w:cstheme="minorEastAsia"/>
          <w:b w:val="0"/>
          <w:bCs/>
          <w:color w:val="auto"/>
          <w:sz w:val="28"/>
          <w:szCs w:val="28"/>
        </w:rPr>
        <w:t>日</w:t>
      </w:r>
    </w:p>
    <w:p>
      <w:pPr>
        <w:spacing w:line="360" w:lineRule="auto"/>
        <w:jc w:val="both"/>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pStyle w:val="2"/>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甲方：甘肃酒钢集团科力耐火材料股份有限公司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依照《中华人民共和国招投标法》、《中华人民共和国合同法》及其他有关法律、行政法规的规定，遵循平等、公正、公平和诚实信用的原则，双方就甲方202</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2座热风炉换球业务</w:t>
      </w:r>
      <w:r>
        <w:rPr>
          <w:rFonts w:hint="eastAsia" w:ascii="宋体" w:hAnsi="宋体" w:eastAsia="宋体" w:cs="宋体"/>
          <w:color w:val="auto"/>
          <w:kern w:val="2"/>
          <w:sz w:val="24"/>
          <w:szCs w:val="24"/>
          <w:lang w:val="en-US" w:eastAsia="zh-CN" w:bidi="ar-SA"/>
        </w:rPr>
        <w:t>事宜达成如下协议：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一、总则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1、本技术协议作为双方合同的附件，与合同具有同等法律效力。合同执行期间双方再协商形成的补充协议和追加条款也具有同等法律效力。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2、本技术协议所提出的是最低标准的技术要求，并未对一切技术细节做出规定，也未充分引述有关标准和规范的条文，乙方应保证提供符合有关标准和技术文件的优质产品和服务。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3、乙方按照甲方</w:t>
      </w:r>
      <w:r>
        <w:rPr>
          <w:rFonts w:hint="eastAsia" w:ascii="宋体" w:hAnsi="宋体" w:cs="宋体"/>
          <w:color w:val="auto"/>
          <w:kern w:val="2"/>
          <w:sz w:val="24"/>
          <w:szCs w:val="24"/>
          <w:lang w:val="en-US" w:eastAsia="zh-CN" w:bidi="ar-SA"/>
        </w:rPr>
        <w:t>的施工质量、工期</w:t>
      </w:r>
      <w:r>
        <w:rPr>
          <w:rFonts w:hint="eastAsia" w:ascii="宋体" w:hAnsi="宋体" w:eastAsia="宋体" w:cs="宋体"/>
          <w:color w:val="auto"/>
          <w:kern w:val="2"/>
          <w:sz w:val="24"/>
          <w:szCs w:val="24"/>
          <w:lang w:val="en-US" w:eastAsia="zh-CN" w:bidi="ar-SA"/>
        </w:rPr>
        <w:t>要求等组织完成</w:t>
      </w:r>
      <w:r>
        <w:rPr>
          <w:rFonts w:hint="eastAsia" w:ascii="宋体" w:hAnsi="宋体" w:cs="宋体"/>
          <w:color w:val="auto"/>
          <w:kern w:val="2"/>
          <w:sz w:val="24"/>
          <w:szCs w:val="24"/>
          <w:lang w:val="en-US" w:eastAsia="zh-CN" w:bidi="ar-SA"/>
        </w:rPr>
        <w:t>相应的炉窑检修维护</w:t>
      </w:r>
      <w:r>
        <w:rPr>
          <w:rFonts w:hint="eastAsia" w:ascii="宋体" w:hAnsi="宋体" w:eastAsia="宋体" w:cs="宋体"/>
          <w:color w:val="auto"/>
          <w:kern w:val="2"/>
          <w:sz w:val="24"/>
          <w:szCs w:val="24"/>
          <w:lang w:val="en-US" w:eastAsia="zh-CN" w:bidi="ar-SA"/>
        </w:rPr>
        <w:t>业务。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二、协议概况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协议名称：</w:t>
      </w:r>
      <w:r>
        <w:rPr>
          <w:rFonts w:hint="eastAsia" w:ascii="宋体" w:hAnsi="宋体" w:cs="宋体"/>
          <w:color w:val="auto"/>
          <w:kern w:val="2"/>
          <w:sz w:val="24"/>
          <w:szCs w:val="24"/>
          <w:lang w:val="en-US" w:eastAsia="zh-CN" w:bidi="ar-SA"/>
        </w:rPr>
        <w:t>热风炉换球业务外包</w:t>
      </w:r>
      <w:r>
        <w:rPr>
          <w:rFonts w:hint="eastAsia" w:ascii="宋体" w:hAnsi="宋体" w:eastAsia="宋体" w:cs="宋体"/>
          <w:color w:val="auto"/>
          <w:kern w:val="2"/>
          <w:sz w:val="24"/>
          <w:szCs w:val="24"/>
          <w:lang w:val="en-US" w:eastAsia="zh-CN" w:bidi="ar-SA"/>
        </w:rPr>
        <w:t>技术</w:t>
      </w:r>
      <w:r>
        <w:rPr>
          <w:rFonts w:hint="eastAsia" w:ascii="宋体" w:hAnsi="宋体" w:cs="宋体"/>
          <w:color w:val="auto"/>
          <w:kern w:val="2"/>
          <w:sz w:val="24"/>
          <w:szCs w:val="24"/>
          <w:lang w:val="en-US" w:eastAsia="zh-CN" w:bidi="ar-SA"/>
        </w:rPr>
        <w:t>规格书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协议履行地：</w:t>
      </w:r>
      <w:r>
        <w:rPr>
          <w:rFonts w:hint="eastAsia" w:ascii="宋体" w:hAnsi="宋体" w:cs="宋体"/>
          <w:color w:val="auto"/>
          <w:kern w:val="2"/>
          <w:sz w:val="24"/>
          <w:szCs w:val="24"/>
          <w:lang w:val="en-US" w:eastAsia="zh-CN" w:bidi="ar-SA"/>
        </w:rPr>
        <w:t>酒钢厂区炼铁厂3-6号高炉热风炉区域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承包内容及承包方式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1、业务内容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（一）按照图纸要求，拆除</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座热风炉破损炉箅子10块，更换安装新炉箅子10块，调整安装10块，检修更换总量48.6吨。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（二）托梁、环墙垫板支撑焊接。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（三）对更换的炉箅子间隙进行调整及平整度校正、圆弧梁平整度校正打磨。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（四）承担2座热风炉炉内耐火球卸球、装球及炉内部分耐火砖的拆除，约1600吨。</w:t>
      </w:r>
    </w:p>
    <w:p>
      <w:pPr>
        <w:pStyle w:val="2"/>
        <w:rPr>
          <w:rFonts w:hint="default"/>
          <w:lang w:val="en-US" w:eastAsia="zh-CN"/>
        </w:rPr>
      </w:pPr>
      <w:r>
        <w:rPr>
          <w:rFonts w:hint="eastAsia" w:cs="宋体"/>
          <w:color w:val="auto"/>
          <w:kern w:val="2"/>
          <w:sz w:val="24"/>
          <w:szCs w:val="24"/>
          <w:lang w:val="en-US" w:eastAsia="zh-CN" w:bidi="ar-SA"/>
        </w:rPr>
        <w:t>（五）承担2座热风炉炉内外耐火材料修复、各阀口围带凿除、浇注。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六</w:t>
      </w:r>
      <w:r>
        <w:rPr>
          <w:rFonts w:hint="eastAsia" w:ascii="宋体" w:hAnsi="宋体" w:eastAsia="宋体" w:cs="宋体"/>
          <w:color w:val="auto"/>
          <w:kern w:val="2"/>
          <w:sz w:val="24"/>
          <w:szCs w:val="24"/>
          <w:lang w:val="en-US" w:eastAsia="zh-CN" w:bidi="ar-SA"/>
        </w:rPr>
        <w:t>）承担</w:t>
      </w:r>
      <w:r>
        <w:rPr>
          <w:rFonts w:hint="eastAsia" w:ascii="宋体" w:hAnsi="宋体" w:cs="宋体"/>
          <w:color w:val="auto"/>
          <w:kern w:val="2"/>
          <w:sz w:val="24"/>
          <w:szCs w:val="24"/>
          <w:lang w:val="en-US" w:eastAsia="zh-CN" w:bidi="ar-SA"/>
        </w:rPr>
        <w:t>热风换换球</w:t>
      </w:r>
      <w:r>
        <w:rPr>
          <w:rFonts w:hint="eastAsia" w:ascii="宋体" w:hAnsi="宋体" w:eastAsia="宋体" w:cs="宋体"/>
          <w:color w:val="auto"/>
          <w:kern w:val="2"/>
          <w:sz w:val="24"/>
          <w:szCs w:val="24"/>
          <w:lang w:val="en-US" w:eastAsia="zh-CN" w:bidi="ar-SA"/>
        </w:rPr>
        <w:t>业务相关的其它临时性工作。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此业务外包为包工形式承包，</w:t>
      </w:r>
      <w:r>
        <w:rPr>
          <w:rFonts w:hint="eastAsia" w:ascii="宋体" w:hAnsi="宋体" w:cs="宋体"/>
          <w:color w:val="auto"/>
          <w:kern w:val="2"/>
          <w:sz w:val="24"/>
          <w:szCs w:val="24"/>
          <w:lang w:val="en-US" w:eastAsia="zh-CN" w:bidi="ar-SA"/>
        </w:rPr>
        <w:t>施工用耐火材料、辅材等工机具、工程车辆及设备设施</w:t>
      </w:r>
      <w:r>
        <w:rPr>
          <w:rFonts w:hint="eastAsia" w:ascii="宋体" w:hAnsi="宋体" w:eastAsia="宋体" w:cs="宋体"/>
          <w:color w:val="auto"/>
          <w:kern w:val="2"/>
          <w:sz w:val="24"/>
          <w:szCs w:val="24"/>
          <w:lang w:val="en-US" w:eastAsia="zh-CN" w:bidi="ar-SA"/>
        </w:rPr>
        <w:t>由甲方提供，</w:t>
      </w:r>
      <w:r>
        <w:rPr>
          <w:rFonts w:hint="eastAsia" w:ascii="宋体" w:hAnsi="宋体" w:cs="宋体"/>
          <w:color w:val="auto"/>
          <w:kern w:val="2"/>
          <w:sz w:val="24"/>
          <w:szCs w:val="24"/>
          <w:lang w:val="en-US" w:eastAsia="zh-CN" w:bidi="ar-SA"/>
        </w:rPr>
        <w:t>施工</w:t>
      </w:r>
      <w:r>
        <w:rPr>
          <w:rFonts w:hint="eastAsia" w:ascii="宋体" w:hAnsi="宋体" w:eastAsia="宋体" w:cs="宋体"/>
          <w:color w:val="auto"/>
          <w:kern w:val="2"/>
          <w:sz w:val="24"/>
          <w:szCs w:val="24"/>
          <w:lang w:val="en-US" w:eastAsia="zh-CN" w:bidi="ar-SA"/>
        </w:rPr>
        <w:t>由乙方承担。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四、承包期限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日-202</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年1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月3</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因以下原因造成检修维护日期推迟的延误，经甲方确认，工期相应顺延。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1.甲方的生产原因。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2.不可抗力因素。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3.甲方同意给予工期顺延的其它情况。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五、质量标准或验收标准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《GB50309-2017工业炉砌筑工程质量验收规范》</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《GB50211-2014工业炉砌筑工程施工与验收规范》</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甲方提供的图纸要求。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宋体" w:hAnsi="宋体" w:cs="宋体"/>
          <w:color w:val="auto"/>
          <w:kern w:val="2"/>
          <w:sz w:val="24"/>
          <w:szCs w:val="24"/>
          <w:lang w:val="en-US" w:eastAsia="zh-CN" w:bidi="ar-SA"/>
        </w:rPr>
        <w:t>5.4甲方提出的其他质量要求及验收标准。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六、质保期：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本项目质保期为12个月，因施工原因导致的质量问题由乙方无偿处理。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七、双方权利和义务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.1甲方的职责、权利和义务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甲方有权对</w:t>
      </w:r>
      <w:r>
        <w:rPr>
          <w:rFonts w:hint="eastAsia" w:ascii="宋体" w:hAnsi="宋体" w:cs="宋体"/>
          <w:color w:val="auto"/>
          <w:kern w:val="2"/>
          <w:sz w:val="24"/>
          <w:szCs w:val="24"/>
          <w:lang w:val="en-US" w:eastAsia="zh-CN" w:bidi="ar-SA"/>
        </w:rPr>
        <w:t>乙方现场施工</w:t>
      </w:r>
      <w:r>
        <w:rPr>
          <w:rFonts w:hint="eastAsia" w:ascii="宋体" w:hAnsi="宋体" w:eastAsia="宋体" w:cs="宋体"/>
          <w:color w:val="auto"/>
          <w:kern w:val="2"/>
          <w:sz w:val="24"/>
          <w:szCs w:val="24"/>
          <w:lang w:val="en-US" w:eastAsia="zh-CN" w:bidi="ar-SA"/>
        </w:rPr>
        <w:t>工作进行指导、检查、验收，对因乙方原因造成的</w:t>
      </w:r>
      <w:r>
        <w:rPr>
          <w:rFonts w:hint="eastAsia" w:ascii="宋体" w:hAnsi="宋体" w:cs="宋体"/>
          <w:color w:val="auto"/>
          <w:kern w:val="2"/>
          <w:sz w:val="24"/>
          <w:szCs w:val="24"/>
          <w:lang w:val="en-US" w:eastAsia="zh-CN" w:bidi="ar-SA"/>
        </w:rPr>
        <w:t>质量隐患，甲方</w:t>
      </w:r>
      <w:r>
        <w:rPr>
          <w:rFonts w:hint="eastAsia" w:ascii="宋体" w:hAnsi="宋体" w:eastAsia="宋体" w:cs="宋体"/>
          <w:color w:val="auto"/>
          <w:kern w:val="2"/>
          <w:sz w:val="24"/>
          <w:szCs w:val="24"/>
          <w:lang w:val="en-US" w:eastAsia="zh-CN" w:bidi="ar-SA"/>
        </w:rPr>
        <w:t>有权要求乙方限期整改，造成</w:t>
      </w:r>
      <w:r>
        <w:rPr>
          <w:rFonts w:hint="eastAsia" w:ascii="宋体" w:hAnsi="宋体" w:cs="宋体"/>
          <w:color w:val="auto"/>
          <w:kern w:val="2"/>
          <w:sz w:val="24"/>
          <w:szCs w:val="24"/>
          <w:lang w:val="en-US" w:eastAsia="zh-CN" w:bidi="ar-SA"/>
        </w:rPr>
        <w:t>质量</w:t>
      </w:r>
      <w:r>
        <w:rPr>
          <w:rFonts w:hint="eastAsia" w:ascii="宋体" w:hAnsi="宋体" w:eastAsia="宋体" w:cs="宋体"/>
          <w:color w:val="auto"/>
          <w:kern w:val="2"/>
          <w:sz w:val="24"/>
          <w:szCs w:val="24"/>
          <w:lang w:val="en-US" w:eastAsia="zh-CN" w:bidi="ar-SA"/>
        </w:rPr>
        <w:t>事故的，由乙方承担责任。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甲方对乙方在检修施工中的违章行为有权制止和考核。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甲方有权对进入各</w:t>
      </w:r>
      <w:r>
        <w:rPr>
          <w:rFonts w:hint="eastAsia" w:ascii="宋体" w:hAnsi="宋体" w:cs="宋体"/>
          <w:color w:val="auto"/>
          <w:kern w:val="2"/>
          <w:sz w:val="24"/>
          <w:szCs w:val="24"/>
          <w:lang w:val="en-US" w:eastAsia="zh-CN" w:bidi="ar-SA"/>
        </w:rPr>
        <w:t>检修</w:t>
      </w:r>
      <w:r>
        <w:rPr>
          <w:rFonts w:hint="eastAsia" w:ascii="宋体" w:hAnsi="宋体" w:eastAsia="宋体" w:cs="宋体"/>
          <w:color w:val="auto"/>
          <w:kern w:val="2"/>
          <w:sz w:val="24"/>
          <w:szCs w:val="24"/>
          <w:lang w:val="en-US" w:eastAsia="zh-CN" w:bidi="ar-SA"/>
        </w:rPr>
        <w:t>施工区域内的乙方人员提出管理要求，不服从管理的乙方人员不准进入施工区域。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甲方有权要求乙方编制施工</w:t>
      </w:r>
      <w:r>
        <w:rPr>
          <w:rFonts w:hint="eastAsia" w:ascii="宋体" w:hAnsi="宋体" w:cs="宋体"/>
          <w:color w:val="auto"/>
          <w:kern w:val="2"/>
          <w:sz w:val="24"/>
          <w:szCs w:val="24"/>
          <w:lang w:val="en-US" w:eastAsia="zh-CN" w:bidi="ar-SA"/>
        </w:rPr>
        <w:t>方案和安全措施、</w:t>
      </w:r>
      <w:r>
        <w:rPr>
          <w:rFonts w:hint="eastAsia" w:ascii="宋体" w:hAnsi="宋体" w:eastAsia="宋体" w:cs="宋体"/>
          <w:color w:val="auto"/>
          <w:kern w:val="2"/>
          <w:sz w:val="24"/>
          <w:szCs w:val="24"/>
          <w:lang w:val="en-US" w:eastAsia="zh-CN" w:bidi="ar-SA"/>
        </w:rPr>
        <w:t>资料、档案、标准、记录，并不定期对施工资料进行检查，出现问题有权对乙方进行考核。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甲方图纸、施工工艺发生改变时，应提前通知乙方做好准备，提前的时间应满足施工工作的要求。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甲方有义务将甲方有关管理规定和要求提供给乙方，为乙方在甲方施工区域的作业活动提供必要的支持。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合同签订前双方必须签订安全协议。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乙方在进入甲方区域时，甲方提前向乙方进行安全告知。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甲方为乙方有偿提供现场</w:t>
      </w:r>
      <w:r>
        <w:rPr>
          <w:rFonts w:hint="eastAsia" w:ascii="宋体" w:hAnsi="宋体" w:cs="宋体"/>
          <w:color w:val="auto"/>
          <w:kern w:val="2"/>
          <w:sz w:val="24"/>
          <w:szCs w:val="24"/>
          <w:lang w:val="en-US" w:eastAsia="zh-CN" w:bidi="ar-SA"/>
        </w:rPr>
        <w:t>施工</w:t>
      </w:r>
      <w:r>
        <w:rPr>
          <w:rFonts w:hint="eastAsia" w:ascii="宋体" w:hAnsi="宋体" w:eastAsia="宋体" w:cs="宋体"/>
          <w:color w:val="auto"/>
          <w:kern w:val="2"/>
          <w:sz w:val="24"/>
          <w:szCs w:val="24"/>
          <w:lang w:val="en-US" w:eastAsia="zh-CN" w:bidi="ar-SA"/>
        </w:rPr>
        <w:t>所需的能源介质（</w:t>
      </w:r>
      <w:r>
        <w:rPr>
          <w:rFonts w:hint="eastAsia" w:ascii="宋体" w:hAnsi="宋体" w:cs="宋体"/>
          <w:color w:val="auto"/>
          <w:kern w:val="2"/>
          <w:sz w:val="24"/>
          <w:szCs w:val="24"/>
          <w:lang w:val="en-US" w:eastAsia="zh-CN" w:bidi="ar-SA"/>
        </w:rPr>
        <w:t>风、</w:t>
      </w:r>
      <w:r>
        <w:rPr>
          <w:rFonts w:hint="eastAsia" w:ascii="宋体" w:hAnsi="宋体" w:eastAsia="宋体" w:cs="宋体"/>
          <w:color w:val="auto"/>
          <w:kern w:val="2"/>
          <w:sz w:val="24"/>
          <w:szCs w:val="24"/>
          <w:lang w:val="en-US" w:eastAsia="zh-CN" w:bidi="ar-SA"/>
        </w:rPr>
        <w:t>水、电、气），并指定接点位置。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甲方负责为乙方协调施工现场所需</w:t>
      </w:r>
      <w:r>
        <w:rPr>
          <w:rFonts w:hint="eastAsia" w:ascii="宋体" w:hAnsi="宋体" w:cs="宋体"/>
          <w:color w:val="auto"/>
          <w:kern w:val="2"/>
          <w:sz w:val="24"/>
          <w:szCs w:val="24"/>
          <w:lang w:val="en-US" w:eastAsia="zh-CN" w:bidi="ar-SA"/>
        </w:rPr>
        <w:t>工程车辆</w:t>
      </w:r>
      <w:r>
        <w:rPr>
          <w:rFonts w:hint="eastAsia" w:ascii="宋体" w:hAnsi="宋体" w:eastAsia="宋体" w:cs="宋体"/>
          <w:color w:val="auto"/>
          <w:kern w:val="2"/>
          <w:sz w:val="24"/>
          <w:szCs w:val="24"/>
          <w:lang w:val="en-US" w:eastAsia="zh-CN" w:bidi="ar-SA"/>
        </w:rPr>
        <w:t>的使用。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乙方所提供的产品必须满足甲方要求，给甲方造成事故时，经事故分析，双方责任人签字确认，作为索赔依据。如乙方无故拒绝事故分析、确认和签字，甲方有权单方面按损失考核。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.2乙方责任、权利和义务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乙方应建立健全满足</w:t>
      </w:r>
      <w:r>
        <w:rPr>
          <w:rFonts w:hint="eastAsia" w:ascii="宋体" w:hAnsi="宋体" w:cs="宋体"/>
          <w:color w:val="auto"/>
          <w:kern w:val="2"/>
          <w:sz w:val="24"/>
          <w:szCs w:val="24"/>
          <w:lang w:val="en-US" w:eastAsia="zh-CN" w:bidi="ar-SA"/>
        </w:rPr>
        <w:t>本项业务</w:t>
      </w:r>
      <w:r>
        <w:rPr>
          <w:rFonts w:hint="eastAsia" w:ascii="宋体" w:hAnsi="宋体" w:eastAsia="宋体" w:cs="宋体"/>
          <w:color w:val="auto"/>
          <w:kern w:val="2"/>
          <w:sz w:val="24"/>
          <w:szCs w:val="24"/>
          <w:lang w:val="en-US" w:eastAsia="zh-CN" w:bidi="ar-SA"/>
        </w:rPr>
        <w:t>需要的组织机构和人员配备，并对施工质量和进度负责。乙方按自己设置的组织机构、人员职责及国家和甲方的规定要求等，全面管理所属员工，对所属员工安全教育、技能培训、职业健康等方面负责。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乙方学习并遵守甲方告知的相关规章制度，管理教育所属员工，保证安全施工，服从甲方相关告知的规定要求。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乙方根据危险源辨识和现场环境，制定详细的安全措施、施工方案与安全管理制度，严格约束管理所属员工。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乙方作业人员进入现场，必须穿戴好合格、规范的劳动保护用品。从事特种作业的人员，应取得特种作业操作证方可上岗，并随身携带合格、有效的操作证原件或复印件，保证作业人员持证上岗。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乙方在有毒、有害等危险区域检修时要佩戴防护用具，高处作业时必须使用安全带，对施工可能存在的安全隐患要采取临时或永久防护措施才能作业。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乙方要采取措施保证所属员工作业的安全。因乙方原因造成设备、人身或其他安全事故时，乙方应及时采取措施并通知甲方，甲方给予协助，乙方承担全部责任以及由此造成的一切后果。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乙方对工作中存在的异议，有权提出建议和意见，有权对甲方违章指挥及有可能损坏设备及危及人身安全的行为拒绝作业。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乙方负责承包范围的各项作业和管理工作，保证甲方正常生产。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施工和维护作业场地应有安全防护措施，有专业安全人员现场监护。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（10）所有作业人员必须经过体检合格，男性不得大于60岁，女性不得大于55岁。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八、违约责任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本项目工期进度执行过程管理制，因施工单位原因导致分项工程每拖期1天考核500元，总工期每拖期1天考核5000元，若总工期在合同计划工期内完成，分项工程累计考核全部减免，若总工期在合同计划工期内未完成，分项工程累计考核和总工期拖期累计考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8.2因施工方案、安全措施及其他外委项目安全备案资料明细编制不合格导致的开工拖期，执行每天500元/天考核，由此导致的延期工期由乙方承担。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8.3施工过程中检查发现施工质量不合格，考核施工单位500元/项，由此导致的返工工期由乙方承担，且包含在项目总工期内。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8.4因施工质量不合格导致项目拖期交工，按照拖期天数考核施工单位5000元/天。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pacing w:val="-6"/>
          <w:kern w:val="2"/>
          <w:sz w:val="24"/>
          <w:szCs w:val="24"/>
          <w:lang w:val="en-US" w:eastAsia="zh-CN" w:bidi="ar-SA"/>
        </w:rPr>
      </w:pPr>
      <w:r>
        <w:rPr>
          <w:rFonts w:hint="eastAsia" w:ascii="宋体" w:hAnsi="宋体" w:cs="宋体"/>
          <w:color w:val="auto"/>
          <w:kern w:val="2"/>
          <w:sz w:val="24"/>
          <w:szCs w:val="24"/>
          <w:lang w:val="en-US" w:eastAsia="zh-CN" w:bidi="ar-SA"/>
        </w:rPr>
        <w:t>8.5</w:t>
      </w:r>
      <w:r>
        <w:rPr>
          <w:rFonts w:hint="eastAsia" w:ascii="宋体" w:hAnsi="宋体" w:cs="宋体"/>
          <w:color w:val="auto"/>
          <w:spacing w:val="-6"/>
          <w:kern w:val="2"/>
          <w:sz w:val="24"/>
          <w:szCs w:val="24"/>
          <w:lang w:val="en-US" w:eastAsia="zh-CN" w:bidi="ar-SA"/>
        </w:rPr>
        <w:t>本项目施工执行过程安全管理，按照公司“五同”管理要求，结合《耐材公司安全管理考核细则》、《安全生产管理协议》，甲方检查发现违反安全生产“红线底线”行为或可能发生严重事件的恶性违章行为，执行50000元/人·次考核，发现一般性行为违章、工器具缺陷、现场不符合项考核500-2000元/人·次。违章考核由施工单位分解至施工单位管理技术人员和违章者本人，且对违反“红线底线”行为或可能发生严重事件的恶性违章行为直接责任人吊销入场手续，不能再承担本项目施工。其他执行《安全生产管理协议》相关考核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8.6施工单位未按照项目管理机构配置管理技术人员，甲方有权停工，停工导致的拖期工期由乙方承担，专职安全员不在现场或者不履行安全管理职责，考核施工单位2000元/次。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8.7施工方不遵守甲方现场各项管理规定，制止无效者，考核方2000元/次。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8.8施工方在施工期间未经甲方同意私自更改技术方案，或使用与技术方案不符的材料、设备，除停工整改外，考核2000元/项；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8.9施工方安排非备案人员从事施工作业，考核10000元/人·次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8.10项目合同期内，因施工方拖欠工人工资每发生一起劳资纠纷，甲方从乙方合同总价格中扣20000元。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8.11该项目不得转包，若发生转包行为，甲方有权终止合同，同时乙方支付给甲方合同总价20%的违约金。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8.12疫情控制一般不符合项考500-2000元/人·次，严重不符合项考核10000元/人·次。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8.13其他未尽事宜，参照耐材公司《</w:t>
      </w:r>
      <w:r>
        <w:rPr>
          <w:rFonts w:hint="default" w:ascii="宋体" w:hAnsi="宋体" w:cs="宋体"/>
          <w:color w:val="auto"/>
          <w:kern w:val="2"/>
          <w:sz w:val="24"/>
          <w:szCs w:val="24"/>
          <w:lang w:val="en-US" w:eastAsia="zh-CN" w:bidi="ar-SA"/>
        </w:rPr>
        <w:t>耐材公司关于印发生产运行事故管理办法的通知</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科耐制〔2021〕48号</w:t>
      </w:r>
      <w:r>
        <w:rPr>
          <w:rFonts w:hint="eastAsia" w:ascii="宋体" w:hAnsi="宋体" w:cs="宋体"/>
          <w:color w:val="auto"/>
          <w:kern w:val="2"/>
          <w:sz w:val="24"/>
          <w:szCs w:val="24"/>
          <w:lang w:val="en-US" w:eastAsia="zh-CN" w:bidi="ar-SA"/>
        </w:rPr>
        <w:t>和《</w:t>
      </w:r>
      <w:r>
        <w:rPr>
          <w:rFonts w:hint="default" w:ascii="宋体" w:hAnsi="宋体" w:cs="宋体"/>
          <w:color w:val="auto"/>
          <w:kern w:val="2"/>
          <w:sz w:val="24"/>
          <w:szCs w:val="24"/>
          <w:lang w:val="en-US" w:eastAsia="zh-CN" w:bidi="ar-SA"/>
        </w:rPr>
        <w:t>耐材公司关于印发质量管理手册的通知</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科耐制〔2021〕33号</w:t>
      </w:r>
      <w:r>
        <w:rPr>
          <w:rFonts w:hint="eastAsia" w:ascii="宋体" w:hAnsi="宋体" w:cs="宋体"/>
          <w:color w:val="auto"/>
          <w:kern w:val="2"/>
          <w:sz w:val="24"/>
          <w:szCs w:val="24"/>
          <w:lang w:val="en-US" w:eastAsia="zh-CN" w:bidi="ar-SA"/>
        </w:rPr>
        <w:t>等文件要求。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八、安全生产责任及追究</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具体按照双方签订的《安全生产管理协议》执行。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九、其它相关要求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9.1施工管理要求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（1）乙方必须配备专职管理人员，对乙方人员进行日常安全教育、安全检查等工作。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（2）乙方人员的身体、年龄、技术水平等应能满足检修维护工作的需要。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（3）乙方人员的劳保用品必须按时发放，并能满足所从事工作的需求。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（4）在承包期内，对所需人员的聘用、教育管理制度和对聘用人员的报酬待遇，由乙方自主负责决定。乙方及所聘人员发生的劳务纠纷、工伤、病残、交通、食宿和安全事故及处理全部由乙方自行负责。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（5）乙方人员的社会保险、医疗保险、工伤保险、失业保险、生育保险等所有国家规定应购买的各类费用，均由乙方负责，按时足额购买并提供购买凭证。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（6）乙方所用人员工资及时发放，并每月为甲方提供工资发放明细。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乙方加工地点必须设在酒钢冶金厂区内，并随时接受甲方监督，甲方提供的各类主辅材、工机具和设备设施，乙方不得以任何理由运出酒钢冶金厂区，一经发现，甲方有权单方面终止合同，并上报公司，对乙方进行追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9.2疫情防控相关要求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（1）施工单位成立新冠肺炎疫情应急工作小组，包括现场指挥组、救援组、警戒疏散组网络机构，并明确各小组职责。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开工前施工单位组织对全体人员进行健康状况排查，要详细登记全员过去14天内的出行活动、是否前往或途径重点疫区、是否接触确诊或疑似病例等情况，做好“一人一档”建档工作，过程中按照疫情动态并及时向甲方报告排查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（3）现场大门处设置专人把守，严禁非备案人员进入施工场参与施工，非本项目施工人员进入前必须进行体温测量登记后方可进入。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（4）施工期间全体人员执行每日进行2次体温测量，并留存记录。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（5）按规定对会议场所、休息室、垃圾筒按照标准通风、消毒，每天至少2次消毒，并留存记录。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（6）两人及以上共处必须正确佩戴防护口罩。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（7）现场防疫垃圾筒、生活垃圾筒必须分离管理，禁止混装。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（8）保持个人卫生，勤洗手，不握手、不拥抱；咳嗽或打喷嚏时用纸巾或弯曲手肘掩盖口鼻，防止飞沫传播。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（9）现场就餐、开会必须保持1.0米距离，保持现场环境卫生整洁。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（10）发现疑似病例后，应立即向甲方汇报，并主动配合开展隔离工作。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十、协议生效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10.1本协议为主体合同的组成部分，随主体合同生效而生效，主体合同解除之日起，本协议自然失效，但因乙方违背协议，造成主体合同终止，不影响本协议责任条款的效力。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10.2本协议一式叁份，甲方持贰份，乙方持壹份。</w:t>
      </w:r>
    </w:p>
    <w:p>
      <w:pPr>
        <w:pStyle w:val="4"/>
        <w:keepNext w:val="0"/>
        <w:keepLines w:val="0"/>
        <w:pageBreakBefore w:val="0"/>
        <w:widowControl w:val="0"/>
        <w:kinsoku/>
        <w:wordWrap/>
        <w:overflowPunct/>
        <w:topLinePunct w:val="0"/>
        <w:autoSpaceDE/>
        <w:autoSpaceDN/>
        <w:bidi w:val="0"/>
        <w:adjustRightInd/>
        <w:snapToGrid/>
        <w:spacing w:after="0" w:line="240" w:lineRule="atLeast"/>
        <w:ind w:firstLine="120" w:firstLineChars="200"/>
        <w:textAlignment w:val="auto"/>
        <w:rPr>
          <w:rFonts w:hint="eastAsia" w:ascii="宋体" w:hAnsi="宋体" w:eastAsia="宋体" w:cs="宋体"/>
          <w:color w:val="auto"/>
          <w:kern w:val="2"/>
          <w:sz w:val="6"/>
          <w:szCs w:val="6"/>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240" w:lineRule="atLeast"/>
        <w:ind w:firstLine="120" w:firstLineChars="200"/>
        <w:textAlignment w:val="auto"/>
        <w:rPr>
          <w:rFonts w:hint="eastAsia" w:ascii="宋体" w:hAnsi="宋体" w:eastAsia="宋体" w:cs="宋体"/>
          <w:color w:val="auto"/>
          <w:kern w:val="2"/>
          <w:sz w:val="6"/>
          <w:szCs w:val="6"/>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乙方（签字盖章）：                        甲方（签字盖章）：</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负责人：                                 负责人：       </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年    月     日                           年    月     日</w:t>
      </w:r>
    </w:p>
    <w:sectPr>
      <w:headerReference r:id="rId3" w:type="first"/>
      <w:footerReference r:id="rId6" w:type="first"/>
      <w:footerReference r:id="rId4" w:type="default"/>
      <w:footerReference r:id="rId5" w:type="even"/>
      <w:pgSz w:w="11906" w:h="16838"/>
      <w:pgMar w:top="1134" w:right="1134" w:bottom="1134" w:left="1134" w:header="851" w:footer="992" w:gutter="0"/>
      <w:pgNumType w:fmt="decimal"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60101010101"/>
    <w:charset w:val="86"/>
    <w:family w:val="auto"/>
    <w:pitch w:val="default"/>
    <w:sig w:usb0="800002BF" w:usb1="38CF7CFA" w:usb2="00000016" w:usb3="00000000" w:csb0="00040001" w:csb1="00000000"/>
  </w:font>
  <w:font w:name="fontmui">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Fonts w:hint="eastAsia"/>
      </w:rPr>
      <w:t>０</w:t>
    </w:r>
    <w:r>
      <w:rPr>
        <w:rStyle w:val="12"/>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OWVjZDBhOTM0NDhhY2FkMTBiMjIxNWZkMzg1NjcifQ=="/>
  </w:docVars>
  <w:rsids>
    <w:rsidRoot w:val="009E2D50"/>
    <w:rsid w:val="00010A1E"/>
    <w:rsid w:val="00045CD0"/>
    <w:rsid w:val="00060B14"/>
    <w:rsid w:val="000870F9"/>
    <w:rsid w:val="000979D0"/>
    <w:rsid w:val="00111AE7"/>
    <w:rsid w:val="00160DED"/>
    <w:rsid w:val="00163B7C"/>
    <w:rsid w:val="00167062"/>
    <w:rsid w:val="00186605"/>
    <w:rsid w:val="001A4549"/>
    <w:rsid w:val="001B4AE3"/>
    <w:rsid w:val="001C499F"/>
    <w:rsid w:val="001D3C86"/>
    <w:rsid w:val="001F276E"/>
    <w:rsid w:val="001F5ABD"/>
    <w:rsid w:val="002143E3"/>
    <w:rsid w:val="002467D3"/>
    <w:rsid w:val="002803D2"/>
    <w:rsid w:val="00282179"/>
    <w:rsid w:val="00292DE9"/>
    <w:rsid w:val="002A47F0"/>
    <w:rsid w:val="002C57AA"/>
    <w:rsid w:val="002D4EA3"/>
    <w:rsid w:val="00365619"/>
    <w:rsid w:val="003975B3"/>
    <w:rsid w:val="003C2B12"/>
    <w:rsid w:val="003E04EC"/>
    <w:rsid w:val="00414A1D"/>
    <w:rsid w:val="00430473"/>
    <w:rsid w:val="00483D2A"/>
    <w:rsid w:val="004864FA"/>
    <w:rsid w:val="00491BBE"/>
    <w:rsid w:val="0049536E"/>
    <w:rsid w:val="004B43A3"/>
    <w:rsid w:val="005011C8"/>
    <w:rsid w:val="00502876"/>
    <w:rsid w:val="00520486"/>
    <w:rsid w:val="00546275"/>
    <w:rsid w:val="00575FA8"/>
    <w:rsid w:val="00576909"/>
    <w:rsid w:val="00583058"/>
    <w:rsid w:val="00637745"/>
    <w:rsid w:val="00643A7C"/>
    <w:rsid w:val="0065032F"/>
    <w:rsid w:val="006544E3"/>
    <w:rsid w:val="0066213D"/>
    <w:rsid w:val="00664041"/>
    <w:rsid w:val="006A40BF"/>
    <w:rsid w:val="006A49D1"/>
    <w:rsid w:val="006B16B7"/>
    <w:rsid w:val="006B255F"/>
    <w:rsid w:val="006C481C"/>
    <w:rsid w:val="006D228F"/>
    <w:rsid w:val="00711279"/>
    <w:rsid w:val="007556FB"/>
    <w:rsid w:val="00755C2E"/>
    <w:rsid w:val="0077771D"/>
    <w:rsid w:val="007C4EEB"/>
    <w:rsid w:val="007E57DA"/>
    <w:rsid w:val="00814052"/>
    <w:rsid w:val="00816376"/>
    <w:rsid w:val="00843AF3"/>
    <w:rsid w:val="00895A9A"/>
    <w:rsid w:val="008D3343"/>
    <w:rsid w:val="00930390"/>
    <w:rsid w:val="00995B3B"/>
    <w:rsid w:val="009B50D5"/>
    <w:rsid w:val="009E2D50"/>
    <w:rsid w:val="00A10CBC"/>
    <w:rsid w:val="00A50C12"/>
    <w:rsid w:val="00A62052"/>
    <w:rsid w:val="00A70C79"/>
    <w:rsid w:val="00A80FAD"/>
    <w:rsid w:val="00A95CB6"/>
    <w:rsid w:val="00AA01AB"/>
    <w:rsid w:val="00AE2DA1"/>
    <w:rsid w:val="00AE5FE7"/>
    <w:rsid w:val="00AE75BF"/>
    <w:rsid w:val="00AF685B"/>
    <w:rsid w:val="00B0599A"/>
    <w:rsid w:val="00BB171E"/>
    <w:rsid w:val="00BC3A8F"/>
    <w:rsid w:val="00BD72FE"/>
    <w:rsid w:val="00BE0C32"/>
    <w:rsid w:val="00BE60EA"/>
    <w:rsid w:val="00BF5EA6"/>
    <w:rsid w:val="00C25E7A"/>
    <w:rsid w:val="00C3006F"/>
    <w:rsid w:val="00C77CF8"/>
    <w:rsid w:val="00C8506E"/>
    <w:rsid w:val="00C85B91"/>
    <w:rsid w:val="00CA2FB0"/>
    <w:rsid w:val="00CE4ABD"/>
    <w:rsid w:val="00CE7AA7"/>
    <w:rsid w:val="00CF7A42"/>
    <w:rsid w:val="00D22D61"/>
    <w:rsid w:val="00D26083"/>
    <w:rsid w:val="00D553D2"/>
    <w:rsid w:val="00D577D6"/>
    <w:rsid w:val="00D85ACF"/>
    <w:rsid w:val="00D86767"/>
    <w:rsid w:val="00DF4DB1"/>
    <w:rsid w:val="00DF7FF9"/>
    <w:rsid w:val="00E016E9"/>
    <w:rsid w:val="00E10EED"/>
    <w:rsid w:val="00E4511D"/>
    <w:rsid w:val="00ED2E85"/>
    <w:rsid w:val="00EE2DE6"/>
    <w:rsid w:val="00FC37EA"/>
    <w:rsid w:val="02341CCD"/>
    <w:rsid w:val="02B250DA"/>
    <w:rsid w:val="054A6B02"/>
    <w:rsid w:val="054D243C"/>
    <w:rsid w:val="069B184D"/>
    <w:rsid w:val="06F03211"/>
    <w:rsid w:val="088F43C8"/>
    <w:rsid w:val="08EF26B6"/>
    <w:rsid w:val="09C369FD"/>
    <w:rsid w:val="09F71582"/>
    <w:rsid w:val="0C9261F4"/>
    <w:rsid w:val="0CF73000"/>
    <w:rsid w:val="0D38590D"/>
    <w:rsid w:val="0DED593F"/>
    <w:rsid w:val="0FD74AB9"/>
    <w:rsid w:val="0FE24CD2"/>
    <w:rsid w:val="1013057D"/>
    <w:rsid w:val="1187413B"/>
    <w:rsid w:val="11A15785"/>
    <w:rsid w:val="120407D6"/>
    <w:rsid w:val="12353FB8"/>
    <w:rsid w:val="12B332E8"/>
    <w:rsid w:val="12BF2272"/>
    <w:rsid w:val="138F3C4D"/>
    <w:rsid w:val="13F64750"/>
    <w:rsid w:val="14415D2F"/>
    <w:rsid w:val="15727576"/>
    <w:rsid w:val="15FB33C4"/>
    <w:rsid w:val="18EC0675"/>
    <w:rsid w:val="1C034035"/>
    <w:rsid w:val="1D1D4338"/>
    <w:rsid w:val="1D51325D"/>
    <w:rsid w:val="1DE821F7"/>
    <w:rsid w:val="1E76369C"/>
    <w:rsid w:val="1F6A154C"/>
    <w:rsid w:val="235F406A"/>
    <w:rsid w:val="24AF72D6"/>
    <w:rsid w:val="26484D3C"/>
    <w:rsid w:val="294B5680"/>
    <w:rsid w:val="29602A12"/>
    <w:rsid w:val="2994017D"/>
    <w:rsid w:val="2AC4599C"/>
    <w:rsid w:val="2B0B7AD3"/>
    <w:rsid w:val="2B694D93"/>
    <w:rsid w:val="2B745ED5"/>
    <w:rsid w:val="2CCE366E"/>
    <w:rsid w:val="2D724181"/>
    <w:rsid w:val="2DB25627"/>
    <w:rsid w:val="2DCD6F57"/>
    <w:rsid w:val="2E315C3F"/>
    <w:rsid w:val="2F340E9D"/>
    <w:rsid w:val="2F560F3B"/>
    <w:rsid w:val="30E125DC"/>
    <w:rsid w:val="31D113A3"/>
    <w:rsid w:val="32390AD6"/>
    <w:rsid w:val="34720FBA"/>
    <w:rsid w:val="3473094A"/>
    <w:rsid w:val="35147B81"/>
    <w:rsid w:val="352D4E09"/>
    <w:rsid w:val="372F3EC7"/>
    <w:rsid w:val="396A73A8"/>
    <w:rsid w:val="39AF3668"/>
    <w:rsid w:val="3A381C32"/>
    <w:rsid w:val="3DCC57DC"/>
    <w:rsid w:val="3DF35DB6"/>
    <w:rsid w:val="3ED5266C"/>
    <w:rsid w:val="3F3E2931"/>
    <w:rsid w:val="4036521B"/>
    <w:rsid w:val="409B28BF"/>
    <w:rsid w:val="419202C7"/>
    <w:rsid w:val="426E22F3"/>
    <w:rsid w:val="42AB52F4"/>
    <w:rsid w:val="42E773F6"/>
    <w:rsid w:val="44127F83"/>
    <w:rsid w:val="44BC20D7"/>
    <w:rsid w:val="45A548DB"/>
    <w:rsid w:val="45BB074E"/>
    <w:rsid w:val="46FC6425"/>
    <w:rsid w:val="478E535A"/>
    <w:rsid w:val="47EC34A9"/>
    <w:rsid w:val="49437344"/>
    <w:rsid w:val="49F05AF1"/>
    <w:rsid w:val="4B3147EB"/>
    <w:rsid w:val="4B7168D8"/>
    <w:rsid w:val="4CDA730F"/>
    <w:rsid w:val="4DB60C00"/>
    <w:rsid w:val="4F1F482A"/>
    <w:rsid w:val="4F6A28E6"/>
    <w:rsid w:val="50924ADE"/>
    <w:rsid w:val="50A225A7"/>
    <w:rsid w:val="51F930E0"/>
    <w:rsid w:val="524C3A26"/>
    <w:rsid w:val="52ED708B"/>
    <w:rsid w:val="56C01378"/>
    <w:rsid w:val="56DE143A"/>
    <w:rsid w:val="57212874"/>
    <w:rsid w:val="5CD55049"/>
    <w:rsid w:val="5D277B49"/>
    <w:rsid w:val="5E7E78FC"/>
    <w:rsid w:val="5EBF57AD"/>
    <w:rsid w:val="60327E41"/>
    <w:rsid w:val="61CA03AF"/>
    <w:rsid w:val="64673A56"/>
    <w:rsid w:val="6522417C"/>
    <w:rsid w:val="67BD0CA1"/>
    <w:rsid w:val="67EF2384"/>
    <w:rsid w:val="687463C3"/>
    <w:rsid w:val="6A1D4CD5"/>
    <w:rsid w:val="6A320F18"/>
    <w:rsid w:val="6BD07171"/>
    <w:rsid w:val="6D202397"/>
    <w:rsid w:val="6DB53BAF"/>
    <w:rsid w:val="6E6D7B96"/>
    <w:rsid w:val="6E9566B2"/>
    <w:rsid w:val="6EBF744F"/>
    <w:rsid w:val="6FF20151"/>
    <w:rsid w:val="7023735E"/>
    <w:rsid w:val="72A32944"/>
    <w:rsid w:val="7441385C"/>
    <w:rsid w:val="744B7C54"/>
    <w:rsid w:val="768C4F54"/>
    <w:rsid w:val="778A0071"/>
    <w:rsid w:val="77BD43F5"/>
    <w:rsid w:val="780B25D3"/>
    <w:rsid w:val="798847C2"/>
    <w:rsid w:val="79A34221"/>
    <w:rsid w:val="79FA7AE0"/>
    <w:rsid w:val="7A9970F5"/>
    <w:rsid w:val="7B645CD4"/>
    <w:rsid w:val="7B687EED"/>
    <w:rsid w:val="7D7E1E12"/>
    <w:rsid w:val="7E364807"/>
    <w:rsid w:val="7E96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样式 行距: 1.5 倍行距 + 两端对齐 Char"/>
    <w:basedOn w:val="1"/>
    <w:qFormat/>
    <w:uiPriority w:val="99"/>
    <w:pPr>
      <w:adjustRightInd w:val="0"/>
      <w:snapToGrid w:val="0"/>
      <w:ind w:firstLine="480" w:firstLineChars="200"/>
    </w:pPr>
    <w:rPr>
      <w:rFonts w:ascii="宋体" w:hAnsi="宋体" w:cs="宋体"/>
      <w:sz w:val="24"/>
    </w:rPr>
  </w:style>
  <w:style w:type="paragraph" w:styleId="3">
    <w:name w:val="Normal Indent"/>
    <w:basedOn w:val="1"/>
    <w:unhideWhenUsed/>
    <w:qFormat/>
    <w:uiPriority w:val="0"/>
    <w:pPr>
      <w:snapToGrid w:val="0"/>
      <w:spacing w:beforeLines="0" w:afterLines="0" w:line="300" w:lineRule="auto"/>
      <w:ind w:firstLine="556"/>
    </w:pPr>
    <w:rPr>
      <w:rFonts w:hint="eastAsia" w:ascii="仿宋_GB2312" w:eastAsia="仿宋_GB2312"/>
      <w:kern w:val="0"/>
      <w:sz w:val="21"/>
    </w:rPr>
  </w:style>
  <w:style w:type="paragraph" w:styleId="4">
    <w:name w:val="Body Text"/>
    <w:basedOn w:val="1"/>
    <w:link w:val="17"/>
    <w:qFormat/>
    <w:uiPriority w:val="0"/>
    <w:pPr>
      <w:spacing w:after="12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20"/>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Body Text First Indent"/>
    <w:basedOn w:val="4"/>
    <w:qFormat/>
    <w:uiPriority w:val="0"/>
    <w:pPr>
      <w:ind w:firstLine="420" w:firstLineChars="100"/>
    </w:pPr>
  </w:style>
  <w:style w:type="character" w:styleId="12">
    <w:name w:val="page number"/>
    <w:basedOn w:val="11"/>
    <w:qFormat/>
    <w:uiPriority w:val="99"/>
  </w:style>
  <w:style w:type="character" w:styleId="13">
    <w:name w:val="FollowedHyperlink"/>
    <w:basedOn w:val="11"/>
    <w:qFormat/>
    <w:uiPriority w:val="0"/>
    <w:rPr>
      <w:rFonts w:ascii="Arial" w:hAnsi="Arial" w:eastAsia="Arial" w:cs="Arial"/>
      <w:color w:val="333333"/>
      <w:sz w:val="21"/>
      <w:szCs w:val="21"/>
      <w:u w:val="none"/>
    </w:rPr>
  </w:style>
  <w:style w:type="character" w:styleId="14">
    <w:name w:val="Hyperlink"/>
    <w:basedOn w:val="11"/>
    <w:qFormat/>
    <w:uiPriority w:val="0"/>
    <w:rPr>
      <w:rFonts w:hint="default" w:ascii="fontmui" w:hAnsi="fontmui" w:eastAsia="fontmui" w:cs="fontmui"/>
      <w:color w:val="333333"/>
      <w:sz w:val="21"/>
      <w:szCs w:val="21"/>
      <w:u w:val="none"/>
    </w:rPr>
  </w:style>
  <w:style w:type="character" w:customStyle="1" w:styleId="15">
    <w:name w:val="页脚 字符"/>
    <w:link w:val="7"/>
    <w:semiHidden/>
    <w:qFormat/>
    <w:locked/>
    <w:uiPriority w:val="99"/>
    <w:rPr>
      <w:sz w:val="18"/>
    </w:rPr>
  </w:style>
  <w:style w:type="character" w:customStyle="1" w:styleId="16">
    <w:name w:val="页眉 字符"/>
    <w:link w:val="8"/>
    <w:semiHidden/>
    <w:qFormat/>
    <w:locked/>
    <w:uiPriority w:val="99"/>
    <w:rPr>
      <w:sz w:val="18"/>
    </w:rPr>
  </w:style>
  <w:style w:type="character" w:customStyle="1" w:styleId="17">
    <w:name w:val="正文文本 字符"/>
    <w:basedOn w:val="11"/>
    <w:link w:val="4"/>
    <w:qFormat/>
    <w:uiPriority w:val="0"/>
    <w:rPr>
      <w:kern w:val="2"/>
      <w:sz w:val="21"/>
      <w:szCs w:val="24"/>
    </w:rPr>
  </w:style>
  <w:style w:type="character" w:customStyle="1" w:styleId="18">
    <w:name w:val="before"/>
    <w:basedOn w:val="11"/>
    <w:qFormat/>
    <w:uiPriority w:val="0"/>
    <w:rPr>
      <w:bdr w:val="single" w:color="auto" w:sz="48" w:space="0"/>
    </w:rPr>
  </w:style>
  <w:style w:type="character" w:customStyle="1" w:styleId="19">
    <w:name w:val="before1"/>
    <w:basedOn w:val="11"/>
    <w:qFormat/>
    <w:uiPriority w:val="0"/>
  </w:style>
  <w:style w:type="character" w:customStyle="1" w:styleId="20">
    <w:name w:val="credit"/>
    <w:basedOn w:val="11"/>
    <w:qFormat/>
    <w:uiPriority w:val="0"/>
    <w:rPr>
      <w:sz w:val="18"/>
      <w:szCs w:val="18"/>
    </w:rPr>
  </w:style>
  <w:style w:type="character" w:customStyle="1" w:styleId="21">
    <w:name w:val="hover40"/>
    <w:basedOn w:val="11"/>
    <w:qFormat/>
    <w:uiPriority w:val="0"/>
    <w:rPr>
      <w:color w:val="DF4127"/>
    </w:rPr>
  </w:style>
  <w:style w:type="character" w:customStyle="1" w:styleId="22">
    <w:name w:val="hover41"/>
    <w:basedOn w:val="11"/>
    <w:qFormat/>
    <w:uiPriority w:val="0"/>
    <w:rPr>
      <w:shd w:val="clear" w:fill="CC2C11"/>
    </w:rPr>
  </w:style>
  <w:style w:type="character" w:customStyle="1" w:styleId="23">
    <w:name w:val="hover42"/>
    <w:basedOn w:val="11"/>
    <w:qFormat/>
    <w:uiPriority w:val="0"/>
    <w:rPr>
      <w:color w:val="DF4127"/>
      <w:u w:val="none"/>
    </w:rPr>
  </w:style>
  <w:style w:type="character" w:customStyle="1" w:styleId="24">
    <w:name w:val="hover43"/>
    <w:basedOn w:val="11"/>
    <w:qFormat/>
    <w:uiPriority w:val="0"/>
    <w:rPr>
      <w:color w:val="1A85D7"/>
    </w:rPr>
  </w:style>
  <w:style w:type="character" w:customStyle="1" w:styleId="25">
    <w:name w:val="hover44"/>
    <w:basedOn w:val="11"/>
    <w:qFormat/>
    <w:uiPriority w:val="0"/>
    <w:rPr>
      <w:color w:val="DF4127"/>
    </w:rPr>
  </w:style>
  <w:style w:type="character" w:customStyle="1" w:styleId="26">
    <w:name w:val="hover45"/>
    <w:basedOn w:val="11"/>
    <w:qFormat/>
    <w:uiPriority w:val="0"/>
  </w:style>
  <w:style w:type="character" w:customStyle="1" w:styleId="27">
    <w:name w:val="after"/>
    <w:basedOn w:val="11"/>
    <w:qFormat/>
    <w:uiPriority w:val="0"/>
    <w:rPr>
      <w:bdr w:val="dashed" w:color="auto" w:sz="48" w:space="0"/>
    </w:rPr>
  </w:style>
  <w:style w:type="character" w:customStyle="1" w:styleId="28">
    <w:name w:val="after1"/>
    <w:basedOn w:val="11"/>
    <w:qFormat/>
    <w:uiPriority w:val="0"/>
    <w:rPr>
      <w:shd w:val="clear" w:fill="DF4127"/>
    </w:rPr>
  </w:style>
  <w:style w:type="character" w:customStyle="1" w:styleId="29">
    <w:name w:val="first-child"/>
    <w:basedOn w:val="11"/>
    <w:qFormat/>
    <w:uiPriority w:val="0"/>
    <w:rPr>
      <w:shd w:val="clear" w:fill="DF4127"/>
    </w:rPr>
  </w:style>
  <w:style w:type="character" w:customStyle="1" w:styleId="30">
    <w:name w:val="first-child1"/>
    <w:basedOn w:val="11"/>
    <w:qFormat/>
    <w:uiPriority w:val="0"/>
  </w:style>
  <w:style w:type="character" w:customStyle="1" w:styleId="31">
    <w:name w:val="active2"/>
    <w:basedOn w:val="11"/>
    <w:qFormat/>
    <w:uiPriority w:val="0"/>
    <w:rPr>
      <w:color w:val="DF4127"/>
    </w:rPr>
  </w:style>
  <w:style w:type="character" w:customStyle="1" w:styleId="32">
    <w:name w:val="before2"/>
    <w:basedOn w:val="11"/>
    <w:qFormat/>
    <w:uiPriority w:val="0"/>
  </w:style>
  <w:style w:type="character" w:customStyle="1" w:styleId="33">
    <w:name w:val="hover"/>
    <w:basedOn w:val="11"/>
    <w:qFormat/>
    <w:uiPriority w:val="0"/>
    <w:rPr>
      <w:color w:val="DF4127"/>
      <w:u w:val="none"/>
    </w:rPr>
  </w:style>
  <w:style w:type="character" w:customStyle="1" w:styleId="34">
    <w:name w:val="hover1"/>
    <w:basedOn w:val="11"/>
    <w:qFormat/>
    <w:uiPriority w:val="0"/>
    <w:rPr>
      <w:shd w:val="clear" w:fill="CC2C11"/>
    </w:rPr>
  </w:style>
  <w:style w:type="character" w:customStyle="1" w:styleId="35">
    <w:name w:val="hover2"/>
    <w:basedOn w:val="11"/>
    <w:qFormat/>
    <w:uiPriority w:val="0"/>
    <w:rPr>
      <w:color w:val="DF4127"/>
    </w:rPr>
  </w:style>
  <w:style w:type="character" w:customStyle="1" w:styleId="36">
    <w:name w:val="hover3"/>
    <w:basedOn w:val="11"/>
    <w:qFormat/>
    <w:uiPriority w:val="0"/>
    <w:rPr>
      <w:color w:val="DF4127"/>
    </w:rPr>
  </w:style>
  <w:style w:type="character" w:customStyle="1" w:styleId="37">
    <w:name w:val="hover4"/>
    <w:basedOn w:val="11"/>
    <w:qFormat/>
    <w:uiPriority w:val="0"/>
    <w:rPr>
      <w:color w:val="1A85D7"/>
    </w:rPr>
  </w:style>
  <w:style w:type="character" w:customStyle="1" w:styleId="38">
    <w:name w:val="hover5"/>
    <w:basedOn w:val="11"/>
    <w:qFormat/>
    <w:uiPriority w:val="0"/>
  </w:style>
  <w:style w:type="character" w:customStyle="1" w:styleId="39">
    <w:name w:val="hover46"/>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3959</Words>
  <Characters>4138</Characters>
  <Lines>17</Lines>
  <Paragraphs>4</Paragraphs>
  <TotalTime>52</TotalTime>
  <ScaleCrop>false</ScaleCrop>
  <LinksUpToDate>false</LinksUpToDate>
  <CharactersWithSpaces>4273</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2018-01-26T02:59:00Z</dcterms:created>
  <dc:creator>微软用户</dc:creator>
  <cp:lastModifiedBy>飘如陌上尘</cp:lastModifiedBy>
  <cp:lastPrinted>2019-05-24T12:14:00Z</cp:lastPrinted>
  <dcterms:modified xsi:type="dcterms:W3CDTF">2023-07-20T06:30:25Z</dcterms:modified>
  <dc:title>协  议  会  签  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10501A4805264059A1780EF37720E994</vt:lpwstr>
  </property>
</Properties>
</file>