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default" w:ascii="华文中宋" w:hAnsi="华文中宋" w:eastAsia="华文中宋" w:cs="华文中宋"/>
          <w:b/>
          <w:color w:val="auto"/>
          <w:kern w:val="0"/>
          <w:sz w:val="36"/>
          <w:szCs w:val="36"/>
          <w:lang w:val="en-US" w:eastAsia="zh-CN" w:bidi="ar"/>
        </w:rPr>
      </w:pPr>
      <w:r>
        <w:rPr>
          <w:rFonts w:hint="eastAsia" w:ascii="华文中宋" w:hAnsi="华文中宋" w:eastAsia="华文中宋" w:cs="华文中宋"/>
          <w:b/>
          <w:color w:val="auto"/>
          <w:kern w:val="0"/>
          <w:sz w:val="36"/>
          <w:szCs w:val="36"/>
          <w:lang w:val="en-US" w:eastAsia="zh-CN" w:bidi="ar"/>
        </w:rPr>
        <w:t>卷钢产品运输服务合同(2026年度)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 xml:space="preserve">                                   合同编号:4500**</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 xml:space="preserve">甲方：甘肃酒钢集团宏兴钢铁股份有限公司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乙方：**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仿宋_GB2312"/>
          <w:color w:val="auto"/>
          <w:sz w:val="28"/>
          <w:szCs w:val="28"/>
        </w:rPr>
      </w:pPr>
      <w:r>
        <w:rPr>
          <w:rFonts w:hint="eastAsia" w:ascii="仿宋_GB2312" w:hAnsi="Times New Roman" w:eastAsia="仿宋_GB2312" w:cs="仿宋_GB2312"/>
          <w:color w:val="auto"/>
          <w:sz w:val="28"/>
          <w:szCs w:val="28"/>
        </w:rPr>
        <w:t>根据《中华人民共和国民法典》及相关法律法规，为明确双方的权利和义务，本着自愿、公平、平等</w:t>
      </w:r>
      <w:r>
        <w:rPr>
          <w:rFonts w:hint="eastAsia" w:ascii="仿宋_GB2312" w:hAnsi="Times New Roman" w:eastAsia="仿宋_GB2312" w:cs="仿宋_GB2312"/>
          <w:color w:val="auto"/>
          <w:sz w:val="28"/>
          <w:szCs w:val="28"/>
          <w:lang w:val="en-US" w:eastAsia="zh-CN"/>
        </w:rPr>
        <w:t>互惠</w:t>
      </w:r>
      <w:r>
        <w:rPr>
          <w:rFonts w:hint="eastAsia" w:ascii="仿宋_GB2312" w:hAnsi="Times New Roman" w:eastAsia="仿宋_GB2312" w:cs="仿宋_GB2312"/>
          <w:color w:val="auto"/>
          <w:sz w:val="28"/>
          <w:szCs w:val="28"/>
        </w:rPr>
        <w:t>、诚实信用的原则，就乙方在中国铁路兰州局集团有限公司绿化站（酒泉钢铁（集团）有限责任公司专用铁路）</w:t>
      </w:r>
      <w:r>
        <w:rPr>
          <w:rFonts w:hint="eastAsia" w:ascii="仿宋_GB2312" w:hAnsi="Times New Roman" w:eastAsia="仿宋_GB2312" w:cs="仿宋_GB2312"/>
          <w:color w:val="auto"/>
          <w:sz w:val="28"/>
          <w:szCs w:val="28"/>
          <w:lang w:val="en-US" w:eastAsia="zh-CN"/>
        </w:rPr>
        <w:t>使用</w:t>
      </w:r>
      <w:r>
        <w:rPr>
          <w:rFonts w:hint="eastAsia" w:ascii="仿宋_GB2312" w:hAnsi="Times New Roman" w:eastAsia="仿宋_GB2312" w:cs="仿宋_GB2312"/>
          <w:color w:val="auto"/>
          <w:sz w:val="28"/>
          <w:szCs w:val="28"/>
          <w:lang w:eastAsia="zh-CN"/>
        </w:rPr>
        <w:t>台架式卷钢集装箱</w:t>
      </w:r>
      <w:r>
        <w:rPr>
          <w:rFonts w:hint="eastAsia" w:ascii="仿宋_GB2312" w:hAnsi="Times New Roman" w:eastAsia="仿宋_GB2312" w:cs="仿宋_GB2312"/>
          <w:color w:val="auto"/>
          <w:sz w:val="28"/>
          <w:szCs w:val="28"/>
        </w:rPr>
        <w:t>为甲方卷钢产品</w:t>
      </w:r>
      <w:r>
        <w:rPr>
          <w:rFonts w:hint="eastAsia" w:ascii="仿宋_GB2312" w:hAnsi="Times New Roman" w:eastAsia="仿宋_GB2312" w:cs="仿宋_GB2312"/>
          <w:color w:val="auto"/>
          <w:sz w:val="28"/>
          <w:szCs w:val="28"/>
          <w:lang w:val="en-US" w:eastAsia="zh-CN"/>
        </w:rPr>
        <w:t>提供</w:t>
      </w:r>
      <w:r>
        <w:rPr>
          <w:rFonts w:hint="eastAsia" w:ascii="仿宋_GB2312" w:hAnsi="Times New Roman" w:eastAsia="仿宋_GB2312" w:cs="仿宋_GB2312"/>
          <w:color w:val="auto"/>
          <w:sz w:val="28"/>
          <w:szCs w:val="28"/>
        </w:rPr>
        <w:t>运输服务事宜，</w:t>
      </w:r>
      <w:r>
        <w:rPr>
          <w:rFonts w:hint="eastAsia" w:ascii="仿宋_GB2312" w:hAnsi="Times New Roman" w:eastAsia="仿宋_GB2312" w:cs="仿宋_GB2312"/>
          <w:color w:val="auto"/>
          <w:sz w:val="28"/>
          <w:szCs w:val="28"/>
          <w:lang w:eastAsia="zh-CN"/>
        </w:rPr>
        <w:t>甘肃酒钢集团宏兴钢铁股份有限公司</w:t>
      </w:r>
      <w:r>
        <w:rPr>
          <w:rFonts w:hint="eastAsia" w:ascii="仿宋_GB2312" w:hAnsi="Times New Roman" w:eastAsia="仿宋_GB2312" w:cs="仿宋_GB2312"/>
          <w:color w:val="auto"/>
          <w:sz w:val="28"/>
          <w:szCs w:val="28"/>
        </w:rPr>
        <w:t>（以下简称甲方）与</w:t>
      </w:r>
      <w:r>
        <w:rPr>
          <w:rFonts w:hint="eastAsia" w:ascii="仿宋_GB2312" w:hAnsi="Times New Roman" w:eastAsia="仿宋_GB2312" w:cs="仿宋_GB2312"/>
          <w:color w:val="auto"/>
          <w:sz w:val="28"/>
          <w:szCs w:val="28"/>
          <w:lang w:val="en-US" w:eastAsia="zh-CN"/>
        </w:rPr>
        <w:t>**</w:t>
      </w:r>
      <w:r>
        <w:rPr>
          <w:rFonts w:hint="eastAsia" w:ascii="仿宋_GB2312" w:hAnsi="Times New Roman" w:eastAsia="仿宋_GB2312" w:cs="仿宋_GB2312"/>
          <w:color w:val="auto"/>
          <w:sz w:val="28"/>
          <w:szCs w:val="28"/>
        </w:rPr>
        <w:t>（以下简称乙方）双方经友好协商签订本合同。</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一、运输服务内容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rPr>
        <w:t>乙方</w:t>
      </w:r>
      <w:r>
        <w:rPr>
          <w:rFonts w:hint="eastAsia" w:ascii="仿宋_GB2312" w:hAnsi="宋体" w:eastAsia="仿宋_GB2312" w:cs="仿宋_GB2312"/>
          <w:color w:val="auto"/>
          <w:sz w:val="28"/>
          <w:szCs w:val="28"/>
          <w:lang w:val="en-US" w:eastAsia="zh-CN"/>
        </w:rPr>
        <w:t>为甲方提供台架式卷钢集装箱运输卷钢服务，履行托运人相关业务职责，内容包括台架式卷钢集装箱的集结回送，对接铁路部门制票、支付铁路运费、信息化系统操作、交车，以及台架式卷钢集装箱</w:t>
      </w:r>
      <w:r>
        <w:rPr>
          <w:rFonts w:hint="eastAsia" w:ascii="仿宋_GB2312" w:hAnsi="宋体" w:eastAsia="仿宋_GB2312" w:cs="仿宋_GB2312"/>
          <w:color w:val="auto"/>
          <w:sz w:val="28"/>
          <w:szCs w:val="28"/>
        </w:rPr>
        <w:t>维修、检测等</w:t>
      </w:r>
      <w:r>
        <w:rPr>
          <w:rFonts w:hint="eastAsia" w:ascii="仿宋_GB2312" w:hAnsi="宋体" w:eastAsia="仿宋_GB2312" w:cs="仿宋_GB2312"/>
          <w:color w:val="auto"/>
          <w:sz w:val="28"/>
          <w:szCs w:val="28"/>
          <w:lang w:val="en-US" w:eastAsia="zh-CN"/>
        </w:rPr>
        <w:t>运输</w:t>
      </w:r>
      <w:r>
        <w:rPr>
          <w:rFonts w:hint="eastAsia" w:ascii="仿宋_GB2312" w:hAnsi="宋体" w:eastAsia="仿宋_GB2312" w:cs="仿宋_GB2312"/>
          <w:color w:val="auto"/>
          <w:sz w:val="28"/>
          <w:szCs w:val="28"/>
          <w:lang w:eastAsia="zh-CN"/>
        </w:rPr>
        <w:t>服务</w:t>
      </w:r>
      <w:r>
        <w:rPr>
          <w:rFonts w:hint="eastAsia" w:ascii="仿宋_GB2312" w:hAnsi="宋体" w:eastAsia="仿宋_GB2312" w:cs="仿宋_GB2312"/>
          <w:color w:val="auto"/>
          <w:sz w:val="28"/>
          <w:szCs w:val="28"/>
          <w:lang w:val="en-US" w:eastAsia="zh-CN"/>
        </w:rPr>
        <w:t>事宜。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rPr>
        <w:t>发送站:绿化</w:t>
      </w:r>
      <w:r>
        <w:rPr>
          <w:rFonts w:hint="eastAsia" w:ascii="仿宋_GB2312" w:hAnsi="宋体"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到达站:杭州北、无锡南、无锡西、周泾巷、杨浦、大朗、大弯镇</w:t>
      </w:r>
      <w:r>
        <w:rPr>
          <w:rFonts w:hint="eastAsia" w:ascii="仿宋_GB2312" w:hAnsi="宋体" w:eastAsia="仿宋_GB2312" w:cs="仿宋_GB2312"/>
          <w:color w:val="auto"/>
          <w:sz w:val="28"/>
          <w:szCs w:val="28"/>
          <w:lang w:eastAsia="zh-CN"/>
        </w:rPr>
        <w:t>、乌鲁木齐西、乌鲁木齐北、巴楚、兰州西、颖川堡等</w:t>
      </w:r>
      <w:r>
        <w:rPr>
          <w:rFonts w:hint="eastAsia" w:ascii="仿宋_GB2312" w:hAnsi="宋体" w:eastAsia="仿宋_GB2312" w:cs="仿宋_GB2312"/>
          <w:color w:val="auto"/>
          <w:sz w:val="28"/>
          <w:szCs w:val="28"/>
          <w:lang w:val="en-US" w:eastAsia="zh-CN"/>
        </w:rPr>
        <w:t>（根据甲方需要且经乙方确认后可增加或减少到站）。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rPr>
        <w:t>2</w:t>
      </w:r>
      <w:r>
        <w:rPr>
          <w:rFonts w:hint="eastAsia" w:ascii="仿宋_GB2312" w:hAnsi="宋体" w:eastAsia="仿宋_GB2312" w:cs="仿宋_GB2312"/>
          <w:color w:val="auto"/>
          <w:sz w:val="28"/>
          <w:szCs w:val="28"/>
          <w:lang w:val="en-US" w:eastAsia="zh-CN"/>
        </w:rPr>
        <w:t>.到达站及到达专用线的台架式卷钢集装箱装卸资质由乙方联系开通，</w:t>
      </w:r>
      <w:r>
        <w:rPr>
          <w:rFonts w:hint="eastAsia" w:ascii="仿宋_GB2312" w:hAnsi="宋体" w:eastAsia="仿宋_GB2312" w:cs="仿宋_GB2312"/>
          <w:color w:val="auto"/>
          <w:sz w:val="28"/>
          <w:szCs w:val="28"/>
        </w:rPr>
        <w:t>乙方愿根据甲方的业务变化相应扩展服务内容和范围，并保证其服务质量。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3</w:t>
      </w:r>
      <w:r>
        <w:rPr>
          <w:rFonts w:hint="eastAsia" w:ascii="仿宋_GB2312" w:hAnsi="宋体" w:eastAsia="仿宋_GB2312" w:cs="仿宋_GB2312"/>
          <w:color w:val="auto"/>
          <w:sz w:val="28"/>
          <w:szCs w:val="28"/>
          <w:lang w:val="en-US" w:eastAsia="zh-CN"/>
        </w:rPr>
        <w:t>.未经甲方同意，不允许</w:t>
      </w:r>
      <w:r>
        <w:rPr>
          <w:rFonts w:hint="eastAsia" w:ascii="仿宋_GB2312" w:hAnsi="宋体" w:eastAsia="仿宋_GB2312" w:cs="仿宋_GB2312"/>
          <w:color w:val="auto"/>
          <w:sz w:val="28"/>
          <w:szCs w:val="28"/>
        </w:rPr>
        <w:t>任何第三方以乙方的名义从事铁路</w:t>
      </w:r>
      <w:r>
        <w:rPr>
          <w:rFonts w:hint="eastAsia" w:ascii="仿宋_GB2312" w:hAnsi="宋体" w:eastAsia="仿宋_GB2312" w:cs="仿宋_GB2312"/>
          <w:color w:val="auto"/>
          <w:sz w:val="28"/>
          <w:szCs w:val="28"/>
          <w:lang w:eastAsia="zh-CN"/>
        </w:rPr>
        <w:t>台架式卷钢集装箱</w:t>
      </w:r>
      <w:r>
        <w:rPr>
          <w:rFonts w:hint="eastAsia" w:ascii="仿宋_GB2312" w:hAnsi="宋体" w:eastAsia="仿宋_GB2312" w:cs="仿宋_GB2312"/>
          <w:color w:val="auto"/>
          <w:sz w:val="28"/>
          <w:szCs w:val="28"/>
        </w:rPr>
        <w:t>运输。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rPr>
        <w:t>4</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rPr>
        <w:t>乙方根据甲方提供的发货计划，负责</w:t>
      </w:r>
      <w:r>
        <w:rPr>
          <w:rFonts w:hint="eastAsia" w:ascii="仿宋_GB2312" w:hAnsi="宋体" w:eastAsia="仿宋_GB2312" w:cs="仿宋_GB2312"/>
          <w:color w:val="auto"/>
          <w:sz w:val="28"/>
          <w:szCs w:val="28"/>
          <w:lang w:val="en-US" w:eastAsia="zh-CN"/>
        </w:rPr>
        <w:t>将台架式卷钢集装箱调配至</w:t>
      </w:r>
      <w:r>
        <w:rPr>
          <w:rFonts w:hint="eastAsia" w:ascii="仿宋_GB2312" w:hAnsi="宋体" w:eastAsia="仿宋_GB2312" w:cs="仿宋_GB2312"/>
          <w:color w:val="auto"/>
          <w:sz w:val="28"/>
          <w:szCs w:val="28"/>
        </w:rPr>
        <w:t>甲方</w:t>
      </w:r>
      <w:r>
        <w:rPr>
          <w:rFonts w:hint="eastAsia" w:ascii="仿宋_GB2312" w:hAnsi="宋体" w:eastAsia="仿宋_GB2312" w:cs="仿宋_GB2312"/>
          <w:color w:val="auto"/>
          <w:sz w:val="28"/>
          <w:szCs w:val="28"/>
          <w:lang w:val="en-US" w:eastAsia="zh-CN"/>
        </w:rPr>
        <w:t>专用铁路</w:t>
      </w:r>
      <w:r>
        <w:rPr>
          <w:rFonts w:hint="eastAsia" w:ascii="仿宋_GB2312" w:hAnsi="宋体" w:eastAsia="仿宋_GB2312" w:cs="仿宋_GB2312"/>
          <w:color w:val="auto"/>
          <w:sz w:val="28"/>
          <w:szCs w:val="28"/>
        </w:rPr>
        <w:t>装运甲方产品，完成全程运输工作和货物交付任务</w:t>
      </w:r>
      <w:r>
        <w:rPr>
          <w:rFonts w:hint="eastAsia" w:ascii="仿宋_GB2312" w:hAnsi="宋体"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最终到达以甲方产品约定到站或具体卸车专用线为准</w:t>
      </w:r>
      <w:r>
        <w:rPr>
          <w:rFonts w:hint="eastAsia" w:ascii="仿宋_GB2312" w:hAnsi="宋体"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eastAsia="zh-CN"/>
        </w:rPr>
        <w:t>5.</w:t>
      </w:r>
      <w:r>
        <w:rPr>
          <w:rFonts w:hint="eastAsia" w:ascii="仿宋_GB2312" w:hAnsi="宋体" w:eastAsia="仿宋_GB2312" w:cs="仿宋_GB2312"/>
          <w:color w:val="auto"/>
          <w:sz w:val="28"/>
          <w:szCs w:val="28"/>
        </w:rPr>
        <w:t>双方交接的货物</w:t>
      </w:r>
      <w:r>
        <w:rPr>
          <w:rFonts w:hint="eastAsia" w:ascii="仿宋_GB2312" w:hAnsi="宋体" w:eastAsia="仿宋_GB2312" w:cs="仿宋_GB2312"/>
          <w:color w:val="auto"/>
          <w:sz w:val="28"/>
          <w:szCs w:val="28"/>
          <w:lang w:val="en-US" w:eastAsia="zh-CN"/>
        </w:rPr>
        <w:t>要求</w:t>
      </w:r>
      <w:r>
        <w:rPr>
          <w:rFonts w:hint="eastAsia" w:ascii="仿宋_GB2312" w:hAnsi="宋体" w:eastAsia="仿宋_GB2312" w:cs="仿宋_GB2312"/>
          <w:color w:val="auto"/>
          <w:sz w:val="28"/>
          <w:szCs w:val="28"/>
        </w:rPr>
        <w:t>包装完好，货物重量以甲方出具的质量证明书</w:t>
      </w:r>
      <w:r>
        <w:rPr>
          <w:rFonts w:hint="eastAsia" w:ascii="仿宋_GB2312" w:hAnsi="宋体" w:eastAsia="仿宋_GB2312" w:cs="仿宋_GB2312"/>
          <w:color w:val="auto"/>
          <w:sz w:val="28"/>
          <w:szCs w:val="28"/>
          <w:lang w:val="en-US" w:eastAsia="zh-CN"/>
        </w:rPr>
        <w:t>中的总净重</w:t>
      </w:r>
      <w:r>
        <w:rPr>
          <w:rFonts w:hint="eastAsia" w:ascii="仿宋_GB2312" w:hAnsi="宋体" w:eastAsia="仿宋_GB2312" w:cs="仿宋_GB2312"/>
          <w:color w:val="auto"/>
          <w:sz w:val="28"/>
          <w:szCs w:val="28"/>
        </w:rPr>
        <w:t>为准</w:t>
      </w:r>
      <w:r>
        <w:rPr>
          <w:rFonts w:hint="eastAsia" w:ascii="仿宋_GB2312" w:hAnsi="宋体"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lang w:val="en-US" w:eastAsia="zh-CN"/>
        </w:rPr>
        <w:t>6.台架式卷钢集装箱使用过程中采取“箱不落地”，进厂装车及到站卸车均不装卸台架式卷钢集装箱。</w:t>
      </w:r>
      <w:r>
        <w:rPr>
          <w:rFonts w:hint="eastAsia" w:ascii="仿宋_GB2312" w:hAnsi="宋体" w:eastAsia="仿宋_GB2312" w:cs="仿宋_GB2312"/>
          <w:color w:val="auto"/>
          <w:sz w:val="28"/>
          <w:szCs w:val="28"/>
        </w:rPr>
        <w:t>重箱到达甲方指定的到达地点，</w:t>
      </w:r>
      <w:r>
        <w:rPr>
          <w:rFonts w:hint="eastAsia" w:ascii="仿宋_GB2312" w:hAnsi="宋体" w:eastAsia="仿宋_GB2312" w:cs="仿宋_GB2312"/>
          <w:color w:val="auto"/>
          <w:sz w:val="28"/>
          <w:szCs w:val="28"/>
          <w:lang w:val="en-US" w:eastAsia="zh-CN"/>
        </w:rPr>
        <w:t>以</w:t>
      </w:r>
      <w:r>
        <w:rPr>
          <w:rFonts w:hint="eastAsia" w:ascii="仿宋_GB2312" w:hAnsi="宋体" w:eastAsia="仿宋_GB2312" w:cs="仿宋_GB2312"/>
          <w:color w:val="auto"/>
          <w:sz w:val="28"/>
          <w:szCs w:val="28"/>
        </w:rPr>
        <w:t>甲方</w:t>
      </w:r>
      <w:r>
        <w:rPr>
          <w:rFonts w:hint="eastAsia" w:ascii="仿宋_GB2312" w:hAnsi="宋体" w:eastAsia="仿宋_GB2312" w:cs="仿宋_GB2312"/>
          <w:color w:val="auto"/>
          <w:sz w:val="28"/>
          <w:szCs w:val="28"/>
          <w:lang w:val="en-US" w:eastAsia="zh-CN"/>
        </w:rPr>
        <w:t>接收人员验收货物包装完好、产品无损伤为原则进行接收</w:t>
      </w:r>
      <w:r>
        <w:rPr>
          <w:rFonts w:hint="eastAsia" w:ascii="仿宋_GB2312" w:hAnsi="宋体"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二、技术规范</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1.台架式卷钢集装箱要根据货物形状、重量、车辆等条件制作，其强度、规格、防滑及加固措施，应能满足《铁路集装箱运输规则》（TG/HY2110-2022）对货物运输安全要求。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2.乙方要提供省级及以上质量检测部门出具的台架式卷钢集装箱检测合格报告，质量符合《铁路集装箱运输规则》（TG/HY2110-2022）的相关规定，并经中国铁路局兰州局集团公司同意使用。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3.台架式卷钢集装箱须取得专业机构的静载和冲击试验合格性报告，并取得合规的铁路装载加固方案。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4.乙方需具备产品的日常检测、维修、技术指导、物流回送等能力，能够负责具体运营。</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三、合同价款及结算和支付方式</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1.合同价款</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合同总价款预计</w:t>
      </w:r>
      <w:r>
        <w:rPr>
          <w:rFonts w:hint="eastAsia" w:ascii="仿宋_GB2312" w:hAnsi="仿宋_GB2312" w:eastAsia="仿宋_GB2312" w:cs="仿宋_GB2312"/>
          <w:b w:val="0"/>
          <w:bCs/>
          <w:color w:val="auto"/>
          <w:sz w:val="28"/>
          <w:szCs w:val="28"/>
          <w:highlight w:val="none"/>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含增值税</w:t>
      </w:r>
      <w:r>
        <w:rPr>
          <w:rFonts w:hint="eastAsia" w:ascii="仿宋_GB2312" w:hAnsi="宋体" w:eastAsia="仿宋_GB2312" w:cs="仿宋_GB2312"/>
          <w:color w:val="auto"/>
          <w:sz w:val="28"/>
          <w:szCs w:val="28"/>
          <w:lang w:val="en-US" w:eastAsia="zh-CN"/>
        </w:rPr>
        <w:t>)，其中：铁路运费预计</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增值税</w:t>
      </w:r>
      <w:r>
        <w:rPr>
          <w:rFonts w:hint="eastAsia" w:ascii="仿宋_GB2312" w:hAnsi="宋体" w:eastAsia="仿宋_GB2312" w:cs="仿宋_GB2312"/>
          <w:color w:val="auto"/>
          <w:sz w:val="28"/>
          <w:szCs w:val="28"/>
          <w:lang w:val="en-US" w:eastAsia="zh-CN"/>
        </w:rPr>
        <w:t>)；台架式卷钢集装箱物流服务费预计</w:t>
      </w:r>
      <w:r>
        <w:rPr>
          <w:rFonts w:hint="eastAsia" w:ascii="仿宋_GB2312" w:hAnsi="仿宋_GB2312" w:eastAsia="仿宋_GB2312" w:cs="仿宋_GB2312"/>
          <w:b w:val="0"/>
          <w:bCs/>
          <w:color w:val="auto"/>
          <w:sz w:val="28"/>
          <w:szCs w:val="28"/>
          <w:highlight w:val="none"/>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增值税</w:t>
      </w:r>
      <w:r>
        <w:rPr>
          <w:rFonts w:hint="eastAsia" w:ascii="仿宋_GB2312" w:hAnsi="宋体" w:eastAsia="仿宋_GB2312" w:cs="仿宋_GB2312"/>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铁路运费为现阶段计划发送到站的铁路竞争性一口价每车的平均运费，非具体结算金额，具体结算按照不同时期铁路运价调整后实际执行价格为准，依据制票系统实际发生额据实结算。</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2.费用结算</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(1)铁路运输费为台架式卷钢集装箱运价优惠后的一口价运费，税率为9%。铁路运输费按铁路制票系统实际发生额结算。铁路制票系统涉及货物保价费的，按以下约定执行：</w:t>
      </w:r>
      <w:r>
        <w:rPr>
          <w:rFonts w:ascii="仿宋_GB2312" w:hAnsi="仿宋_GB2312" w:eastAsia="仿宋_GB2312" w:cs="仿宋_GB2312"/>
          <w:b w:val="0"/>
          <w:color w:val="000000"/>
          <w:sz w:val="28"/>
          <w:szCs w:val="28"/>
        </w:rPr>
        <w:t>①外发不锈钢卷钢产品时，铁路制票系统中的货物保价费300元/车</w:t>
      </w:r>
      <w:r>
        <w:rPr>
          <w:rFonts w:hint="eastAsia" w:ascii="仿宋_GB2312" w:hAnsi="仿宋_GB2312" w:eastAsia="仿宋_GB2312" w:cs="仿宋_GB2312"/>
          <w:b w:val="0"/>
          <w:color w:val="000000"/>
          <w:sz w:val="28"/>
          <w:szCs w:val="28"/>
          <w:lang w:val="en-US" w:eastAsia="zh-CN"/>
        </w:rPr>
        <w:t>,其中：甲方承担100元/车；其余200元/车</w:t>
      </w:r>
      <w:r>
        <w:rPr>
          <w:rFonts w:ascii="仿宋_GB2312" w:hAnsi="仿宋_GB2312" w:eastAsia="仿宋_GB2312" w:cs="仿宋_GB2312"/>
          <w:b w:val="0"/>
          <w:color w:val="000000"/>
          <w:sz w:val="28"/>
          <w:szCs w:val="28"/>
        </w:rPr>
        <w:t>由乙方自行承担，费用结</w:t>
      </w:r>
      <w:r>
        <w:rPr>
          <w:rFonts w:hint="eastAsia" w:ascii="仿宋_GB2312" w:hAnsi="宋体" w:eastAsia="仿宋_GB2312" w:cs="仿宋_GB2312"/>
          <w:color w:val="auto"/>
          <w:sz w:val="28"/>
          <w:szCs w:val="28"/>
          <w:lang w:val="en-US" w:eastAsia="zh-CN"/>
        </w:rPr>
        <w:t>算时从制票系统总费用中扣除。②外发碳钢卷钢产品时，铁路制票系统中的货物保价费300元/车,其中：甲方承担200元/车；其余100元/车由乙方自行承担，费用结算时从制票系统总费用中扣除。③合同期内如遇铁路保价费调整，甲乙双方另行协商货物保价费事宜，但甲方承担的货物保价费不能超出整车铁路运输货物保价费水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(2)使用乙方台架式卷钢集装箱装载卷钢产品发送至指定到站物流服务费含税价格为**元/车，税率为6%。</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(3)合同期内遇国家税率调整或有关规定调整，则同步调整相应税率</w:t>
      </w:r>
      <w:r>
        <w:rPr>
          <w:rFonts w:hint="eastAsia" w:asci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(4)铁路运费的核对和确认：每月5日以前，甲乙双方依据制票系统实际发生额，对上月使用台架式卷钢集装箱发运卷钢的铁路运费进行统计核实。</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台架式卷钢集装箱物流服务费核对和确认：每月5日以前，甲乙双方对上月使用台架式卷钢集装箱发运卷钢车数进行统计核实后，双方在《台架式卷钢集装箱发运卷钢车数确认单》签字确认，作为费用结算依据。台架式卷钢集装箱物流服务费</w:t>
      </w:r>
      <w:r>
        <w:rPr>
          <w:rFonts w:ascii="仿宋_GB2312" w:eastAsia="仿宋_GB2312" w:cs="仿宋_GB2312"/>
          <w:sz w:val="28"/>
          <w:szCs w:val="28"/>
        </w:rPr>
        <w:t>=</w:t>
      </w:r>
      <w:r>
        <w:rPr>
          <w:rFonts w:hint="eastAsia" w:ascii="仿宋_GB2312" w:eastAsia="仿宋_GB2312" w:cs="仿宋_GB2312"/>
          <w:sz w:val="28"/>
          <w:szCs w:val="28"/>
        </w:rPr>
        <w:t>服务车数</w:t>
      </w:r>
      <w:r>
        <w:rPr>
          <w:rFonts w:ascii="仿宋_GB2312" w:eastAsia="仿宋_GB2312" w:cs="仿宋_GB2312"/>
          <w:sz w:val="28"/>
          <w:szCs w:val="28"/>
        </w:rPr>
        <w:t>*</w:t>
      </w:r>
      <w:r>
        <w:rPr>
          <w:rFonts w:hint="eastAsia" w:ascii="仿宋_GB2312" w:eastAsia="仿宋_GB2312" w:cs="仿宋_GB2312"/>
          <w:sz w:val="28"/>
          <w:szCs w:val="28"/>
        </w:rPr>
        <w:t>服务单价</w:t>
      </w:r>
      <w:r>
        <w:rPr>
          <w:rFonts w:hint="eastAsia" w:asci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3.支付方式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每月15日以前，乙方向甲方开具增值税专用发票，次月甲方将费用以承兑汇票或银行现汇方式支付给乙方。</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四、双方的权利和义务</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(一)甲方的权利和义务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1.台架式卷钢集装箱到达甲方指定专用铁路后，甲方应根据销售计划组织产品装运，尽量避免空箱进厂后停时过长。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2.甲方应为乙方提供次月货物发运计划，以便于乙方</w:t>
      </w:r>
      <w:r>
        <w:rPr>
          <w:rFonts w:hint="eastAsia" w:ascii="仿宋_GB2312" w:hAnsi="宋体" w:eastAsia="仿宋_GB2312" w:cs="仿宋_GB2312"/>
          <w:color w:val="auto"/>
          <w:sz w:val="28"/>
          <w:szCs w:val="28"/>
          <w:highlight w:val="none"/>
          <w:lang w:val="en-US" w:eastAsia="zh-CN"/>
        </w:rPr>
        <w:t>集结回送台架式卷钢集装箱和</w:t>
      </w:r>
      <w:r>
        <w:rPr>
          <w:rFonts w:hint="eastAsia" w:ascii="仿宋_GB2312" w:hAnsi="宋体" w:eastAsia="仿宋_GB2312" w:cs="仿宋_GB2312"/>
          <w:color w:val="auto"/>
          <w:sz w:val="28"/>
          <w:szCs w:val="28"/>
          <w:lang w:val="en-US" w:eastAsia="zh-CN"/>
        </w:rPr>
        <w:t>安排运输计划，乙方对甲方每月的发运量不做限制。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w:t>
      </w:r>
      <w:r>
        <w:rPr>
          <w:rFonts w:hint="eastAsia" w:ascii="仿宋_GB2312" w:eastAsia="仿宋_GB2312" w:cs="仿宋_GB2312"/>
          <w:color w:val="auto"/>
          <w:sz w:val="28"/>
          <w:szCs w:val="28"/>
        </w:rPr>
        <w:t>甲方应按要求组织</w:t>
      </w:r>
      <w:r>
        <w:rPr>
          <w:rFonts w:hint="eastAsia" w:ascii="仿宋_GB2312" w:eastAsia="仿宋_GB2312" w:cs="仿宋_GB2312"/>
          <w:color w:val="auto"/>
          <w:sz w:val="28"/>
          <w:szCs w:val="28"/>
          <w:lang w:val="en-US" w:eastAsia="zh-CN"/>
        </w:rPr>
        <w:t>台架式卷钢集装箱的</w:t>
      </w:r>
      <w:r>
        <w:rPr>
          <w:rFonts w:hint="eastAsia" w:ascii="仿宋_GB2312" w:eastAsia="仿宋_GB2312" w:cs="仿宋_GB2312"/>
          <w:color w:val="auto"/>
          <w:sz w:val="28"/>
          <w:szCs w:val="28"/>
        </w:rPr>
        <w:t>装车作业，正确使用，防止损坏</w:t>
      </w:r>
      <w:r>
        <w:rPr>
          <w:rFonts w:hint="eastAsia" w:ascii="仿宋_GB2312"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甲方应确保装运货物符合装载加固方案、《铁路集装箱运输规则》（TG/HY2110-2022）的相关规定。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4.甲方在日常使用中，应按《集装箱操作手册》规范操作，应保持箱体清洁无杂物，箱号标识齐全、清晰可见，</w:t>
      </w:r>
      <w:r>
        <w:rPr>
          <w:rFonts w:hint="eastAsia" w:ascii="仿宋_GB2312" w:hAnsi="宋体" w:eastAsia="仿宋_GB2312" w:cs="仿宋_GB2312"/>
          <w:color w:val="auto"/>
          <w:sz w:val="28"/>
          <w:szCs w:val="28"/>
          <w:highlight w:val="none"/>
          <w:lang w:val="en-US" w:eastAsia="zh-CN"/>
        </w:rPr>
        <w:t>箱盖锁闭。</w:t>
      </w:r>
      <w:r>
        <w:rPr>
          <w:rFonts w:hint="eastAsia" w:ascii="仿宋_GB2312" w:hAnsi="宋体" w:eastAsia="仿宋_GB2312" w:cs="仿宋_GB2312"/>
          <w:color w:val="auto"/>
          <w:sz w:val="28"/>
          <w:szCs w:val="28"/>
          <w:lang w:val="en-US" w:eastAsia="zh-CN"/>
        </w:rPr>
        <w:t>甲方不得擅自改变台架式卷钢集装箱的箱体结构、颜色和所有标识等，不得向任何第三方转让、出租、抵押及其它方式的担保，或者授权给任何第三方使用，否则乙方有权解除合同。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5.甲方负责在装货前检查箱体状况，对于异常情况应及时通知乙方，对于不符合装载条件的车辆或台架式卷钢集装箱排至厂外乙方与铁路部门确定的地点，由乙方处理。</w:t>
      </w:r>
      <w:r>
        <w:rPr>
          <w:rFonts w:hint="eastAsia" w:ascii="仿宋_GB2312" w:hAnsi="宋体" w:eastAsia="仿宋_GB2312"/>
          <w:color w:val="auto"/>
          <w:sz w:val="28"/>
          <w:szCs w:val="28"/>
        </w:rPr>
        <w:t>如甲方已经装箱，则视为甲方认同乙方提供的集装箱适载。</w:t>
      </w:r>
      <w:r>
        <w:rPr>
          <w:rFonts w:hint="eastAsia" w:ascii="仿宋_GB2312" w:hAnsi="宋体" w:eastAsia="仿宋_GB2312" w:cs="仿宋_GB2312"/>
          <w:color w:val="auto"/>
          <w:sz w:val="28"/>
          <w:szCs w:val="28"/>
          <w:lang w:val="en-US" w:eastAsia="zh-CN"/>
        </w:rPr>
        <w:t>甲方不得匿报货物重量、台架式卷钢集装箱装载重量不得有超过台架式卷钢集装箱允许载重，以及偏载情况。</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6.甲方享受的台架式卷钢集装箱竞争性一口价下浮优惠政策由乙方向铁路部门协商争取，当铁路政策发生变化时，乙方应及时告知甲方。如下浮比例过小造成甲方成本上升，甲方不可接受时有权终止合同，但需提前30天向乙方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(二)乙方的权利和义务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 xml:space="preserve">1.乙方应具有完善的组织机构，严格齐备的管理制度，切实可行的业务流转程序。如因乙方对各业务环节协调、操作不畅导致甲方不能及时组织产品发运，按照单车500元对乙方进行违约追责。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2.如甲方不能按照合同约定支付运输服务费，乙方有权终止合同，并追究甲方相应违约责任。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3.乙方应及时向甲方提供货物运输信息，包括铁路运输发生的情况变化和装载货物铁路车辆运行追踪信息等。若发生运输安全事故，乙方应及时告知甲方及甲方客户，并办理相关处理事宜。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4.乙方在运输过程中对甲方的货权和运输安全负责，如果货物在运输途中发生丢失、损毁或其他铁路货运事故，乙方负责办理理赔手续，并在事故发生的两个月内按货物实际价值及时赔付给甲方。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5.乙方为甲方使用台架式卷钢集装箱装运卷钢产品提供技术指导，在运输过程中出现中途扣车等货运问题时，由乙方联系处理并承担相关费用。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6.乙方应积极组织台架式卷钢集装箱的集结回送，按照“重去空回”提升周转效率，</w:t>
      </w:r>
      <w:r>
        <w:rPr>
          <w:rFonts w:hint="eastAsia" w:ascii="仿宋_GB2312" w:eastAsia="仿宋_GB2312" w:cs="仿宋_GB2312"/>
          <w:color w:val="auto"/>
          <w:sz w:val="28"/>
          <w:szCs w:val="28"/>
        </w:rPr>
        <w:t>根据装车</w:t>
      </w:r>
      <w:r>
        <w:rPr>
          <w:rFonts w:hint="eastAsia" w:ascii="仿宋_GB2312" w:eastAsia="仿宋_GB2312" w:cs="仿宋_GB2312"/>
          <w:color w:val="auto"/>
          <w:sz w:val="28"/>
          <w:szCs w:val="28"/>
          <w:lang w:val="en-US" w:eastAsia="zh-CN"/>
        </w:rPr>
        <w:t>需求</w:t>
      </w:r>
      <w:r>
        <w:rPr>
          <w:rFonts w:hint="eastAsia" w:ascii="仿宋_GB2312" w:eastAsia="仿宋_GB2312" w:cs="仿宋_GB2312"/>
          <w:color w:val="auto"/>
          <w:sz w:val="28"/>
          <w:szCs w:val="28"/>
        </w:rPr>
        <w:t>向甲方提供足额满足装车要求的</w:t>
      </w:r>
      <w:r>
        <w:rPr>
          <w:rFonts w:hint="eastAsia" w:ascii="仿宋_GB2312" w:hAnsi="宋体" w:eastAsia="仿宋_GB2312" w:cs="仿宋_GB2312"/>
          <w:color w:val="auto"/>
          <w:sz w:val="28"/>
          <w:szCs w:val="28"/>
          <w:lang w:val="en-US" w:eastAsia="zh-CN"/>
        </w:rPr>
        <w:t>台架式卷钢集装箱</w:t>
      </w:r>
      <w:r>
        <w:rPr>
          <w:rFonts w:hint="eastAsia" w:ascii="仿宋_GB2312"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如因回送不及时影响甲方产品发运，按照单车1000元进行违约追责。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7.乙方应保证台架式卷钢集装箱及车辆（装载台架式卷钢集装箱的平板车）在进厂前的完好性，确保甲方正常使用。乙方在进厂前对装载台架式卷钢集装箱的车辆定检修情况进行核查，对3个月内厂修到期、1个月内段修到期的车辆进行更换，如因联系确认不到位造成定检修到期车辆进厂的，由乙方联系处理，甲方视具体情况给予配合，但不承担相关费用。对于厂内不具备换车条件的甲方可做排空处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8.乙方应向甲方提供台架式卷钢集装箱技术参数、使用说明，必要时对甲方相关人员进行培训。</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9.乙方对铁路运输部门的停限装、价格变化等情况应及时通知甲方，双方协商做好运输方案的调整和变更。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10.因不可抗力或其他原因使服务项目不能顺利完成时，乙方应及时通知甲方，由双方协商并签订书面补充合同明确处理意见。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五、</w:t>
      </w:r>
      <w:r>
        <w:rPr>
          <w:rFonts w:hint="eastAsia" w:ascii="仿宋_GB2312" w:eastAsia="仿宋_GB2312" w:cs="仿宋_GB2312"/>
          <w:color w:val="auto"/>
          <w:sz w:val="28"/>
          <w:szCs w:val="28"/>
        </w:rPr>
        <w:t>违约责任</w:t>
      </w:r>
    </w:p>
    <w:p>
      <w:pPr>
        <w:keepNext w:val="0"/>
        <w:keepLines w:val="0"/>
        <w:pageBreakBefore w:val="0"/>
        <w:kinsoku/>
        <w:wordWrap/>
        <w:overflowPunct/>
        <w:topLinePunct w:val="0"/>
        <w:autoSpaceDE/>
        <w:autoSpaceDN/>
        <w:bidi w:val="0"/>
        <w:adjustRightInd/>
        <w:snapToGrid/>
        <w:spacing w:line="560" w:lineRule="exact"/>
        <w:ind w:firstLine="544" w:firstLineChars="200"/>
        <w:textAlignment w:val="auto"/>
        <w:rPr>
          <w:rFonts w:hint="default"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1.卷钢在装卸运输过程中发生货物损伤或集装箱损坏，如属于甲方装车原因导致，甲方自行承担货物损失，并赔偿台架式卷钢集装箱的实际损失；运输中途及到站卸车所有安全事项由乙方负责；如属于第三方责任的，由乙方负责追偿。</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2.如乙方需要在甲方区域作业时，要严格遵守甲方相关制度要求，若因违反甲方制度造成损失的，除全额赔偿损失外，并按500-2000元/次对乙方进行违约追责。</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3.乙方业务人员在甲方厂内发生交通违章、以及发生治安案件等，按双方签订的相关方平安建设业务外包责任书有关条款执行。</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4.乙方要加强业务人员消防安全教育和管理，认真落实消防安全规章制度，乙方原因违反消防安全规章制度的，按双方签订的相关方平安建设业务外包责任书有关条款执行。</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5.乙方原因发生人身伤害事故时，除承担相应的损失及经济方面违约追责以外，按双方签订的安全管理协议有关条款执行。</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6.乙方不得将承包业务进行分包或转包，否则甲方可终止合同。造成损失的，乙方全额赔偿甲方。</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default" w:ascii="仿宋_GB2312" w:eastAsia="仿宋_GB2312" w:cs="仿宋_GB2312"/>
          <w:color w:val="auto"/>
          <w:spacing w:val="-4"/>
          <w:sz w:val="28"/>
          <w:szCs w:val="28"/>
          <w:lang w:val="en-US" w:eastAsia="zh-CN"/>
        </w:rPr>
      </w:pPr>
      <w:r>
        <w:rPr>
          <w:rFonts w:hint="eastAsia" w:ascii="仿宋_GB2312" w:eastAsia="仿宋_GB2312"/>
          <w:color w:val="auto"/>
          <w:sz w:val="28"/>
          <w:lang w:val="en-US" w:eastAsia="zh-CN"/>
        </w:rPr>
        <w:t>7.</w:t>
      </w:r>
      <w:r>
        <w:rPr>
          <w:rFonts w:hint="eastAsia" w:ascii="仿宋_GB2312" w:eastAsia="仿宋_GB2312"/>
          <w:color w:val="auto"/>
          <w:sz w:val="28"/>
        </w:rPr>
        <w:t>遇国家法律、政策调整，铁路主管部门的政策、规定调整，履约地政府政策规定调整等属于双方订立本合同时不能预见、无法避免，且不能克服的客观情况出现，影响本合同适当履行的，双方互不承担违约责任、赔偿责任。</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六、</w:t>
      </w:r>
      <w:r>
        <w:rPr>
          <w:rFonts w:hint="eastAsia" w:ascii="仿宋_GB2312" w:eastAsia="仿宋_GB2312" w:cs="仿宋_GB2312"/>
          <w:color w:val="auto"/>
          <w:sz w:val="28"/>
          <w:szCs w:val="28"/>
        </w:rPr>
        <w:t>合同变更</w:t>
      </w:r>
    </w:p>
    <w:p>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olor w:val="auto"/>
          <w:spacing w:val="-4"/>
          <w:sz w:val="28"/>
          <w:szCs w:val="28"/>
          <w:lang w:eastAsia="zh-CN"/>
        </w:rPr>
      </w:pPr>
      <w:r>
        <w:rPr>
          <w:rFonts w:ascii="仿宋_GB2312" w:eastAsia="仿宋_GB2312" w:cs="仿宋_GB2312"/>
          <w:color w:val="auto"/>
          <w:spacing w:val="-4"/>
          <w:sz w:val="28"/>
          <w:szCs w:val="28"/>
        </w:rPr>
        <w:t>1.</w:t>
      </w:r>
      <w:r>
        <w:rPr>
          <w:rFonts w:hint="eastAsia" w:ascii="仿宋_GB2312" w:eastAsia="仿宋_GB2312" w:cs="仿宋_GB2312"/>
          <w:color w:val="auto"/>
          <w:spacing w:val="-4"/>
          <w:sz w:val="28"/>
          <w:szCs w:val="28"/>
        </w:rPr>
        <w:t>合同执行过程中出现需变更或补充事宜时，由双方协商签订补充合同</w:t>
      </w:r>
      <w:r>
        <w:rPr>
          <w:rFonts w:hint="eastAsia" w:ascii="仿宋_GB2312" w:eastAsia="仿宋_GB2312" w:cs="仿宋_GB2312"/>
          <w:color w:val="auto"/>
          <w:spacing w:val="-4"/>
          <w:sz w:val="28"/>
          <w:szCs w:val="28"/>
          <w:lang w:eastAsia="zh-CN"/>
        </w:rPr>
        <w:t>。</w:t>
      </w:r>
    </w:p>
    <w:p>
      <w:pPr>
        <w:keepNext w:val="0"/>
        <w:keepLines w:val="0"/>
        <w:pageBreakBefore w:val="0"/>
        <w:tabs>
          <w:tab w:val="left" w:pos="1080"/>
        </w:tabs>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eastAsia="zh-CN"/>
        </w:rPr>
      </w:pPr>
      <w:r>
        <w:rPr>
          <w:rFonts w:ascii="仿宋_GB2312" w:eastAsia="仿宋_GB2312" w:cs="仿宋_GB2312"/>
          <w:color w:val="auto"/>
          <w:sz w:val="28"/>
          <w:szCs w:val="28"/>
        </w:rPr>
        <w:t>2.</w:t>
      </w:r>
      <w:r>
        <w:rPr>
          <w:rFonts w:hint="eastAsia" w:ascii="仿宋_GB2312" w:eastAsia="仿宋_GB2312" w:cs="仿宋_GB2312"/>
          <w:color w:val="auto"/>
          <w:sz w:val="28"/>
          <w:szCs w:val="28"/>
        </w:rPr>
        <w:t>服务合同到期，任何一方决定不再延期续签合同的，以书面形式提前</w:t>
      </w:r>
      <w:r>
        <w:rPr>
          <w:rFonts w:ascii="仿宋_GB2312" w:eastAsia="仿宋_GB2312" w:cs="仿宋_GB2312"/>
          <w:color w:val="auto"/>
          <w:sz w:val="28"/>
          <w:szCs w:val="28"/>
        </w:rPr>
        <w:t>30</w:t>
      </w:r>
      <w:r>
        <w:rPr>
          <w:rFonts w:hint="eastAsia" w:ascii="仿宋_GB2312" w:eastAsia="仿宋_GB2312" w:cs="仿宋_GB2312"/>
          <w:color w:val="auto"/>
          <w:sz w:val="28"/>
          <w:szCs w:val="28"/>
        </w:rPr>
        <w:t>天告知对方，双方协商处理后续问题</w:t>
      </w:r>
      <w:r>
        <w:rPr>
          <w:rFonts w:hint="eastAsia" w:asci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3.除法律规定外，有下列情形之一时，甲方有权终止合同：</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(1)甲方因生产经营环境发生变化或有能力自行承担该业务时或发生不可抗力因素，致使合同无法履行。</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(2)乙方无法承担甲方下达的生产任务，给甲方生产造成影响的。</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(3)乙方不服从甲方管理，管理混乱，给甲方造成经济损失的。</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(4)乙方对本合同内容进行转包、分包的。</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(5)合同期内，乙方原因出现重伤、工亡的。</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(6)合同期内，乙方原因违反国家、省、市及酒钢环保部门下发的环境保护管理规定的。</w:t>
      </w:r>
    </w:p>
    <w:p>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发生上述第</w:t>
      </w:r>
      <w:r>
        <w:rPr>
          <w:rFonts w:hint="eastAsia" w:ascii="仿宋_GB2312" w:eastAsia="仿宋_GB2312"/>
          <w:color w:val="auto"/>
          <w:sz w:val="28"/>
          <w:szCs w:val="28"/>
          <w:lang w:val="en-US" w:eastAsia="zh-CN"/>
        </w:rPr>
        <w:t>(1)款情形时，甲方须提前30天向对方提出终止合同书面请求，双方协商一致解除合同，甲方不支付违约金。</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eastAsia="仿宋_GB2312" w:cs="仿宋_GB2312"/>
          <w:color w:val="auto"/>
          <w:spacing w:val="-6"/>
          <w:sz w:val="28"/>
          <w:szCs w:val="28"/>
        </w:rPr>
      </w:pPr>
      <w:r>
        <w:rPr>
          <w:rFonts w:hint="eastAsia" w:ascii="仿宋_GB2312" w:eastAsia="仿宋_GB2312" w:cs="仿宋_GB2312"/>
          <w:color w:val="auto"/>
          <w:sz w:val="28"/>
          <w:szCs w:val="28"/>
          <w:lang w:val="en-US" w:eastAsia="zh-CN"/>
        </w:rPr>
        <w:t>七、</w:t>
      </w:r>
      <w:r>
        <w:rPr>
          <w:rFonts w:hint="eastAsia" w:ascii="仿宋_GB2312" w:eastAsia="仿宋_GB2312" w:cs="仿宋_GB2312"/>
          <w:color w:val="auto"/>
          <w:sz w:val="28"/>
          <w:szCs w:val="28"/>
        </w:rPr>
        <w:t>合同</w:t>
      </w:r>
      <w:r>
        <w:rPr>
          <w:rFonts w:hint="eastAsia" w:ascii="仿宋_GB2312" w:eastAsia="仿宋_GB2312" w:cs="仿宋_GB2312"/>
          <w:color w:val="auto"/>
          <w:sz w:val="28"/>
          <w:szCs w:val="28"/>
          <w:lang w:eastAsia="zh-CN"/>
        </w:rPr>
        <w:t>履行</w:t>
      </w:r>
      <w:r>
        <w:rPr>
          <w:rFonts w:hint="eastAsia" w:ascii="仿宋_GB2312" w:eastAsia="仿宋_GB2312" w:cs="仿宋_GB2312"/>
          <w:color w:val="auto"/>
          <w:sz w:val="28"/>
          <w:szCs w:val="28"/>
        </w:rPr>
        <w:t>期：</w:t>
      </w:r>
      <w:r>
        <w:rPr>
          <w:rFonts w:hint="eastAsia" w:ascii="仿宋_GB2312" w:eastAsia="仿宋_GB2312" w:cs="仿宋_GB2312"/>
          <w:color w:val="auto"/>
          <w:sz w:val="28"/>
          <w:szCs w:val="28"/>
          <w:u w:val="single"/>
          <w:lang w:val="en-US" w:eastAsia="zh-CN"/>
        </w:rPr>
        <w:t>2026</w:t>
      </w:r>
      <w:r>
        <w:rPr>
          <w:rFonts w:hint="eastAsia" w:ascii="仿宋_GB2312" w:eastAsia="仿宋_GB2312" w:cs="仿宋_GB2312"/>
          <w:color w:val="auto"/>
          <w:sz w:val="28"/>
          <w:szCs w:val="28"/>
        </w:rPr>
        <w:t>年</w:t>
      </w:r>
      <w:r>
        <w:rPr>
          <w:rFonts w:hint="eastAsia" w:ascii="仿宋_GB2312" w:eastAsia="仿宋_GB2312" w:cs="仿宋_GB2312"/>
          <w:color w:val="auto"/>
          <w:sz w:val="28"/>
          <w:szCs w:val="28"/>
          <w:u w:val="single"/>
          <w:lang w:val="en-US" w:eastAsia="zh-CN"/>
        </w:rPr>
        <w:t>01</w:t>
      </w:r>
      <w:r>
        <w:rPr>
          <w:rFonts w:hint="eastAsia" w:ascii="仿宋_GB2312" w:eastAsia="仿宋_GB2312" w:cs="仿宋_GB2312"/>
          <w:color w:val="auto"/>
          <w:sz w:val="28"/>
          <w:szCs w:val="28"/>
        </w:rPr>
        <w:t>月</w:t>
      </w:r>
      <w:r>
        <w:rPr>
          <w:rFonts w:hint="eastAsia" w:ascii="仿宋_GB2312" w:eastAsia="仿宋_GB2312" w:cs="仿宋_GB2312"/>
          <w:color w:val="auto"/>
          <w:sz w:val="28"/>
          <w:szCs w:val="28"/>
          <w:u w:val="single"/>
          <w:lang w:val="en-US" w:eastAsia="zh-CN"/>
        </w:rPr>
        <w:t>01</w:t>
      </w:r>
      <w:r>
        <w:rPr>
          <w:rFonts w:hint="eastAsia" w:ascii="仿宋_GB2312" w:eastAsia="仿宋_GB2312" w:cs="仿宋_GB2312"/>
          <w:color w:val="auto"/>
          <w:sz w:val="28"/>
          <w:szCs w:val="28"/>
        </w:rPr>
        <w:t>日起至</w:t>
      </w:r>
      <w:r>
        <w:rPr>
          <w:rFonts w:hint="eastAsia" w:ascii="仿宋_GB2312" w:eastAsia="仿宋_GB2312" w:cs="仿宋_GB2312"/>
          <w:color w:val="auto"/>
          <w:sz w:val="28"/>
          <w:szCs w:val="28"/>
          <w:u w:val="single"/>
          <w:lang w:val="en-US" w:eastAsia="zh-CN"/>
        </w:rPr>
        <w:t>2026</w:t>
      </w:r>
      <w:bookmarkStart w:id="0" w:name="_GoBack"/>
      <w:bookmarkEnd w:id="0"/>
      <w:r>
        <w:rPr>
          <w:rFonts w:hint="eastAsia" w:ascii="仿宋_GB2312" w:eastAsia="仿宋_GB2312" w:cs="仿宋_GB2312"/>
          <w:color w:val="auto"/>
          <w:sz w:val="28"/>
          <w:szCs w:val="28"/>
        </w:rPr>
        <w:t>年</w:t>
      </w:r>
      <w:r>
        <w:rPr>
          <w:rFonts w:hint="eastAsia" w:ascii="仿宋_GB2312" w:eastAsia="仿宋_GB2312" w:cs="仿宋_GB2312"/>
          <w:color w:val="auto"/>
          <w:sz w:val="28"/>
          <w:szCs w:val="28"/>
          <w:u w:val="single"/>
          <w:lang w:val="en-US" w:eastAsia="zh-CN"/>
        </w:rPr>
        <w:t>12</w:t>
      </w:r>
      <w:r>
        <w:rPr>
          <w:rFonts w:hint="eastAsia" w:ascii="仿宋_GB2312" w:eastAsia="仿宋_GB2312" w:cs="仿宋_GB2312"/>
          <w:color w:val="auto"/>
          <w:spacing w:val="-6"/>
          <w:sz w:val="28"/>
          <w:szCs w:val="28"/>
        </w:rPr>
        <w:t>月</w:t>
      </w:r>
      <w:r>
        <w:rPr>
          <w:rFonts w:hint="eastAsia" w:ascii="仿宋_GB2312" w:eastAsia="仿宋_GB2312" w:cs="仿宋_GB2312"/>
          <w:color w:val="auto"/>
          <w:sz w:val="28"/>
          <w:szCs w:val="28"/>
          <w:u w:val="single"/>
          <w:lang w:val="en-US" w:eastAsia="zh-CN"/>
        </w:rPr>
        <w:t>31</w:t>
      </w:r>
      <w:r>
        <w:rPr>
          <w:rFonts w:hint="eastAsia" w:ascii="仿宋_GB2312" w:eastAsia="仿宋_GB2312" w:cs="仿宋_GB2312"/>
          <w:color w:val="auto"/>
          <w:spacing w:val="-6"/>
          <w:sz w:val="28"/>
          <w:szCs w:val="28"/>
        </w:rPr>
        <w:t>日止。</w:t>
      </w:r>
    </w:p>
    <w:p>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eastAsia="仿宋_GB2312"/>
          <w:color w:val="auto"/>
          <w:sz w:val="28"/>
          <w:szCs w:val="28"/>
        </w:rPr>
      </w:pPr>
      <w:r>
        <w:rPr>
          <w:rFonts w:hint="eastAsia" w:ascii="仿宋_GB2312" w:eastAsia="仿宋_GB2312" w:cs="仿宋_GB2312"/>
          <w:color w:val="auto"/>
          <w:spacing w:val="-6"/>
          <w:sz w:val="28"/>
          <w:szCs w:val="28"/>
          <w:lang w:eastAsia="zh-CN"/>
        </w:rPr>
        <w:t>八、合同其他附件：</w:t>
      </w:r>
      <w:r>
        <w:rPr>
          <w:rFonts w:hint="eastAsia" w:ascii="仿宋_GB2312" w:eastAsia="仿宋_GB2312" w:cs="仿宋_GB2312"/>
          <w:color w:val="auto"/>
          <w:spacing w:val="-6"/>
          <w:sz w:val="28"/>
          <w:szCs w:val="28"/>
        </w:rPr>
        <w:t>在</w:t>
      </w:r>
      <w:r>
        <w:rPr>
          <w:rFonts w:hint="eastAsia" w:ascii="仿宋_GB2312" w:eastAsia="仿宋_GB2312" w:cs="仿宋_GB2312"/>
          <w:color w:val="auto"/>
          <w:spacing w:val="-6"/>
          <w:sz w:val="28"/>
          <w:szCs w:val="28"/>
          <w:lang w:eastAsia="zh-CN"/>
        </w:rPr>
        <w:t>合同履行期</w:t>
      </w:r>
      <w:r>
        <w:rPr>
          <w:rFonts w:hint="eastAsia" w:ascii="仿宋_GB2312" w:eastAsia="仿宋_GB2312" w:cs="仿宋_GB2312"/>
          <w:color w:val="auto"/>
          <w:spacing w:val="-6"/>
          <w:sz w:val="28"/>
          <w:szCs w:val="28"/>
        </w:rPr>
        <w:t>内签定的补充合同</w:t>
      </w:r>
      <w:r>
        <w:rPr>
          <w:rFonts w:hint="eastAsia" w:ascii="仿宋_GB2312" w:eastAsia="仿宋_GB2312" w:cs="仿宋_GB2312"/>
          <w:color w:val="auto"/>
          <w:spacing w:val="-6"/>
          <w:sz w:val="28"/>
          <w:szCs w:val="28"/>
          <w:lang w:eastAsia="zh-CN"/>
        </w:rPr>
        <w:t>、安全管理协议以及</w:t>
      </w:r>
      <w:r>
        <w:rPr>
          <w:rFonts w:hint="eastAsia" w:ascii="仿宋_GB2312" w:eastAsia="仿宋_GB2312" w:cs="仿宋_GB2312"/>
          <w:color w:val="auto"/>
          <w:spacing w:val="-4"/>
          <w:sz w:val="28"/>
          <w:szCs w:val="28"/>
          <w:lang w:val="en-US" w:eastAsia="zh-CN"/>
        </w:rPr>
        <w:t>相关方平安建设业务外包责任书等</w:t>
      </w:r>
      <w:r>
        <w:rPr>
          <w:rFonts w:hint="eastAsia" w:ascii="仿宋_GB2312" w:eastAsia="仿宋_GB2312" w:cs="仿宋_GB2312"/>
          <w:color w:val="auto"/>
          <w:spacing w:val="-6"/>
          <w:sz w:val="28"/>
          <w:szCs w:val="28"/>
        </w:rPr>
        <w:t>，与</w:t>
      </w:r>
      <w:r>
        <w:rPr>
          <w:rFonts w:hint="eastAsia" w:ascii="仿宋_GB2312" w:eastAsia="仿宋_GB2312" w:cs="仿宋_GB2312"/>
          <w:color w:val="auto"/>
          <w:spacing w:val="-6"/>
          <w:sz w:val="28"/>
          <w:szCs w:val="28"/>
          <w:lang w:eastAsia="zh-CN"/>
        </w:rPr>
        <w:t>本</w:t>
      </w:r>
      <w:r>
        <w:rPr>
          <w:rFonts w:hint="eastAsia" w:ascii="仿宋_GB2312" w:eastAsia="仿宋_GB2312" w:cs="仿宋_GB2312"/>
          <w:color w:val="auto"/>
          <w:spacing w:val="-6"/>
          <w:sz w:val="28"/>
          <w:szCs w:val="28"/>
        </w:rPr>
        <w:t>合同具有相同法律效</w:t>
      </w:r>
      <w:r>
        <w:rPr>
          <w:rFonts w:hint="eastAsia" w:ascii="仿宋_GB2312" w:eastAsia="仿宋_GB2312" w:cs="仿宋_GB2312"/>
          <w:color w:val="auto"/>
          <w:sz w:val="28"/>
          <w:szCs w:val="28"/>
        </w:rPr>
        <w:t>力。</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九、</w:t>
      </w:r>
      <w:r>
        <w:rPr>
          <w:rFonts w:hint="eastAsia" w:ascii="仿宋_GB2312" w:eastAsia="仿宋_GB2312" w:cs="仿宋_GB2312"/>
          <w:color w:val="auto"/>
          <w:sz w:val="28"/>
          <w:szCs w:val="28"/>
        </w:rPr>
        <w:t>争议的解决：合同执行中发生争议时，由双方协商解决，协商不成，可向合同签</w:t>
      </w:r>
      <w:r>
        <w:rPr>
          <w:rFonts w:hint="eastAsia" w:ascii="仿宋_GB2312" w:eastAsia="仿宋_GB2312" w:cs="仿宋_GB2312"/>
          <w:color w:val="auto"/>
          <w:sz w:val="28"/>
          <w:szCs w:val="28"/>
          <w:lang w:eastAsia="zh-CN"/>
        </w:rPr>
        <w:t>订</w:t>
      </w:r>
      <w:r>
        <w:rPr>
          <w:rFonts w:hint="eastAsia" w:ascii="仿宋_GB2312" w:eastAsia="仿宋_GB2312" w:cs="仿宋_GB2312"/>
          <w:color w:val="auto"/>
          <w:sz w:val="28"/>
          <w:szCs w:val="28"/>
        </w:rPr>
        <w:t>所在地人民法院</w:t>
      </w:r>
      <w:r>
        <w:rPr>
          <w:rFonts w:hint="eastAsia" w:ascii="仿宋_GB2312" w:eastAsia="仿宋_GB2312" w:cs="仿宋_GB2312"/>
          <w:color w:val="auto"/>
          <w:sz w:val="28"/>
          <w:szCs w:val="28"/>
          <w:lang w:eastAsia="zh-CN"/>
        </w:rPr>
        <w:t>起诉</w:t>
      </w:r>
      <w:r>
        <w:rPr>
          <w:rFonts w:hint="eastAsia" w:asci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十、</w:t>
      </w:r>
      <w:r>
        <w:rPr>
          <w:rFonts w:hint="eastAsia" w:ascii="仿宋_GB2312" w:eastAsia="仿宋_GB2312" w:cs="仿宋_GB2312"/>
          <w:color w:val="auto"/>
          <w:sz w:val="28"/>
          <w:szCs w:val="28"/>
        </w:rPr>
        <w:t>合同签订地点：甘肃省嘉峪关市。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lang w:val="zh-CN" w:eastAsia="zh-CN"/>
        </w:rPr>
        <w:t>其他约定事项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1.组成本合同的文件，包括本合同、招标文件、投标文件、中标通知书、双方签订的在合同履行期内签定的补充合同、安全管理协议以及相关方平安建设业务外包责任书等，与本合同具有相同法律效力。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eastAsia="zh-CN"/>
        </w:rPr>
        <w:t>本合同一式</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val="zh-CN" w:eastAsia="zh-CN"/>
        </w:rPr>
        <w:t>份，甲方执</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zh-CN" w:eastAsia="zh-CN"/>
        </w:rPr>
        <w:t>份，乙方执1份。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3.本合同双方签字并盖章之日起生效。</w:t>
      </w:r>
    </w:p>
    <w:tbl>
      <w:tblPr>
        <w:tblStyle w:val="5"/>
        <w:tblW w:w="9670" w:type="dxa"/>
        <w:tblInd w:w="0" w:type="dxa"/>
        <w:tblLayout w:type="fixed"/>
        <w:tblCellMar>
          <w:top w:w="0" w:type="dxa"/>
          <w:left w:w="108" w:type="dxa"/>
          <w:bottom w:w="0" w:type="dxa"/>
          <w:right w:w="108" w:type="dxa"/>
        </w:tblCellMar>
      </w:tblPr>
      <w:tblGrid>
        <w:gridCol w:w="5064"/>
        <w:gridCol w:w="4606"/>
      </w:tblGrid>
      <w:tr>
        <w:tblPrEx>
          <w:tblLayout w:type="fixed"/>
          <w:tblCellMar>
            <w:top w:w="0" w:type="dxa"/>
            <w:left w:w="108" w:type="dxa"/>
            <w:bottom w:w="0" w:type="dxa"/>
            <w:right w:w="108" w:type="dxa"/>
          </w:tblCellMar>
        </w:tblPrEx>
        <w:trPr>
          <w:trHeight w:val="197"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Arial"/>
                <w:b/>
                <w:bCs/>
                <w:color w:val="auto"/>
                <w:kern w:val="0"/>
                <w:sz w:val="18"/>
                <w:szCs w:val="18"/>
                <w:lang w:val="sq-AL"/>
              </w:rPr>
            </w:pPr>
            <w:r>
              <w:rPr>
                <w:rFonts w:hint="eastAsia" w:ascii="宋体" w:hAnsi="宋体" w:cs="Arial"/>
                <w:b/>
                <w:bCs/>
                <w:color w:val="auto"/>
                <w:kern w:val="0"/>
                <w:sz w:val="18"/>
                <w:szCs w:val="18"/>
                <w:lang w:val="sq-AL" w:eastAsia="zh-CN"/>
              </w:rPr>
              <w:t>乙</w:t>
            </w:r>
            <w:r>
              <w:rPr>
                <w:rFonts w:hint="eastAsia" w:ascii="宋体" w:hAnsi="宋体" w:cs="Arial"/>
                <w:b/>
                <w:bCs/>
                <w:color w:val="auto"/>
                <w:kern w:val="0"/>
                <w:sz w:val="18"/>
                <w:szCs w:val="18"/>
                <w:lang w:val="sq-AL"/>
              </w:rPr>
              <w:t xml:space="preserve">        方</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宋体" w:hAnsi="宋体" w:cs="Arial"/>
                <w:b/>
                <w:bCs/>
                <w:color w:val="auto"/>
                <w:kern w:val="0"/>
                <w:sz w:val="18"/>
                <w:szCs w:val="18"/>
                <w:lang w:val="sq-AL"/>
              </w:rPr>
            </w:pPr>
            <w:r>
              <w:rPr>
                <w:rFonts w:hint="eastAsia" w:ascii="宋体" w:hAnsi="宋体" w:cs="Arial"/>
                <w:b/>
                <w:bCs/>
                <w:color w:val="auto"/>
                <w:kern w:val="0"/>
                <w:sz w:val="18"/>
                <w:szCs w:val="18"/>
                <w:lang w:val="sq-AL" w:eastAsia="zh-CN"/>
              </w:rPr>
              <w:t>甲</w:t>
            </w:r>
            <w:r>
              <w:rPr>
                <w:rFonts w:hint="eastAsia" w:ascii="宋体" w:hAnsi="宋体" w:cs="Arial"/>
                <w:b/>
                <w:bCs/>
                <w:color w:val="auto"/>
                <w:kern w:val="0"/>
                <w:sz w:val="18"/>
                <w:szCs w:val="18"/>
                <w:lang w:val="sq-AL"/>
              </w:rPr>
              <w:t xml:space="preserve">      方</w:t>
            </w:r>
          </w:p>
        </w:tc>
      </w:tr>
      <w:tr>
        <w:tblPrEx>
          <w:tblLayout w:type="fixed"/>
          <w:tblCellMar>
            <w:top w:w="0" w:type="dxa"/>
            <w:left w:w="108" w:type="dxa"/>
            <w:bottom w:w="0" w:type="dxa"/>
            <w:right w:w="108" w:type="dxa"/>
          </w:tblCellMar>
        </w:tblPrEx>
        <w:trPr>
          <w:trHeight w:val="329"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单位名称（章）:</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 xml:space="preserve">单位名称（章）: </w:t>
            </w:r>
            <w:r>
              <w:rPr>
                <w:rFonts w:hint="eastAsia" w:ascii="宋体" w:hAnsi="宋体" w:cs="Arial"/>
                <w:color w:val="auto"/>
                <w:kern w:val="0"/>
                <w:sz w:val="18"/>
                <w:szCs w:val="18"/>
                <w:lang w:val="sq-AL" w:eastAsia="zh-CN"/>
              </w:rPr>
              <w:t>甘肃酒钢集团</w:t>
            </w:r>
            <w:r>
              <w:rPr>
                <w:rFonts w:hint="eastAsia" w:ascii="宋体" w:hAnsi="宋体" w:cs="Arial"/>
                <w:color w:val="auto"/>
                <w:kern w:val="0"/>
                <w:sz w:val="18"/>
                <w:szCs w:val="18"/>
                <w:lang w:val="en-US" w:eastAsia="zh-CN"/>
              </w:rPr>
              <w:t>宏兴钢铁股份有限公司</w:t>
            </w:r>
          </w:p>
        </w:tc>
      </w:tr>
      <w:tr>
        <w:tblPrEx>
          <w:tblLayout w:type="fixed"/>
          <w:tblCellMar>
            <w:top w:w="0" w:type="dxa"/>
            <w:left w:w="108" w:type="dxa"/>
            <w:bottom w:w="0" w:type="dxa"/>
            <w:right w:w="108" w:type="dxa"/>
          </w:tblCellMar>
        </w:tblPrEx>
        <w:trPr>
          <w:trHeight w:val="305"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color w:val="auto"/>
                <w:kern w:val="0"/>
                <w:sz w:val="18"/>
                <w:szCs w:val="18"/>
                <w:lang w:val="en-US"/>
              </w:rPr>
            </w:pPr>
            <w:r>
              <w:rPr>
                <w:rFonts w:hint="eastAsia" w:ascii="宋体" w:hAnsi="宋体" w:cs="Arial"/>
                <w:color w:val="auto"/>
                <w:kern w:val="0"/>
                <w:sz w:val="18"/>
                <w:szCs w:val="18"/>
                <w:lang w:val="sq-AL"/>
              </w:rPr>
              <w:t>单位地址：</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hint="eastAsia" w:ascii="宋体" w:hAnsi="宋体" w:cs="Arial"/>
                <w:color w:val="auto"/>
                <w:kern w:val="0"/>
                <w:sz w:val="18"/>
                <w:szCs w:val="18"/>
                <w:lang w:val="sq-AL"/>
              </w:rPr>
            </w:pPr>
            <w:r>
              <w:rPr>
                <w:rFonts w:hint="eastAsia" w:ascii="宋体" w:hAnsi="宋体" w:cs="Arial"/>
                <w:color w:val="auto"/>
                <w:kern w:val="0"/>
                <w:sz w:val="18"/>
                <w:szCs w:val="18"/>
                <w:lang w:val="sq-AL"/>
              </w:rPr>
              <w:t>单位地址：甘肃省嘉峪关市雄关东路12号</w:t>
            </w:r>
          </w:p>
        </w:tc>
      </w:tr>
      <w:tr>
        <w:tblPrEx>
          <w:tblLayout w:type="fixed"/>
          <w:tblCellMar>
            <w:top w:w="0" w:type="dxa"/>
            <w:left w:w="108" w:type="dxa"/>
            <w:bottom w:w="0" w:type="dxa"/>
            <w:right w:w="108" w:type="dxa"/>
          </w:tblCellMar>
        </w:tblPrEx>
        <w:trPr>
          <w:trHeight w:val="295"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ascii="宋体" w:hAnsi="宋体" w:cs="Arial"/>
                <w:color w:val="auto"/>
                <w:kern w:val="0"/>
                <w:sz w:val="18"/>
                <w:szCs w:val="18"/>
                <w:lang w:val="sq-AL"/>
              </w:rPr>
            </w:pPr>
            <w:r>
              <w:rPr>
                <w:rFonts w:hint="eastAsia" w:ascii="宋体" w:hAnsi="宋体" w:cs="Arial"/>
                <w:color w:val="auto"/>
                <w:kern w:val="0"/>
                <w:sz w:val="18"/>
                <w:szCs w:val="18"/>
                <w:lang w:val="sq-AL"/>
              </w:rPr>
              <w:t>法定代表人：</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法定负责人：</w:t>
            </w:r>
            <w:r>
              <w:rPr>
                <w:rFonts w:ascii="宋体" w:hAnsi="宋体" w:cs="Arial"/>
                <w:color w:val="auto"/>
                <w:kern w:val="0"/>
                <w:sz w:val="18"/>
                <w:szCs w:val="18"/>
                <w:lang w:val="sq-AL"/>
              </w:rPr>
              <w:t xml:space="preserve"> </w:t>
            </w:r>
          </w:p>
        </w:tc>
      </w:tr>
      <w:tr>
        <w:tblPrEx>
          <w:tblLayout w:type="fixed"/>
          <w:tblCellMar>
            <w:top w:w="0" w:type="dxa"/>
            <w:left w:w="108" w:type="dxa"/>
            <w:bottom w:w="0" w:type="dxa"/>
            <w:right w:w="108" w:type="dxa"/>
          </w:tblCellMar>
        </w:tblPrEx>
        <w:trPr>
          <w:trHeight w:val="287"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ascii="宋体" w:hAnsi="宋体" w:cs="Arial"/>
                <w:color w:val="auto"/>
                <w:kern w:val="0"/>
                <w:sz w:val="18"/>
                <w:szCs w:val="18"/>
                <w:lang w:val="sq-AL"/>
              </w:rPr>
            </w:pPr>
            <w:r>
              <w:rPr>
                <w:rFonts w:hint="eastAsia" w:ascii="宋体" w:hAnsi="宋体" w:cs="Arial"/>
                <w:color w:val="auto"/>
                <w:kern w:val="0"/>
                <w:sz w:val="18"/>
                <w:szCs w:val="18"/>
                <w:lang w:val="sq-AL"/>
              </w:rPr>
              <w:t>委托代理人：</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委托代理人：</w:t>
            </w:r>
          </w:p>
        </w:tc>
      </w:tr>
      <w:tr>
        <w:tblPrEx>
          <w:tblLayout w:type="fixed"/>
          <w:tblCellMar>
            <w:top w:w="0" w:type="dxa"/>
            <w:left w:w="108" w:type="dxa"/>
            <w:bottom w:w="0" w:type="dxa"/>
            <w:right w:w="108" w:type="dxa"/>
          </w:tblCellMar>
        </w:tblPrEx>
        <w:trPr>
          <w:trHeight w:val="294"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电话：</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电话：</w:t>
            </w:r>
          </w:p>
        </w:tc>
      </w:tr>
      <w:tr>
        <w:tblPrEx>
          <w:tblLayout w:type="fixed"/>
          <w:tblCellMar>
            <w:top w:w="0" w:type="dxa"/>
            <w:left w:w="108" w:type="dxa"/>
            <w:bottom w:w="0" w:type="dxa"/>
            <w:right w:w="108" w:type="dxa"/>
          </w:tblCellMar>
        </w:tblPrEx>
        <w:trPr>
          <w:trHeight w:val="270"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开户银行：</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hint="eastAsia" w:ascii="宋体" w:hAnsi="宋体" w:cs="Arial"/>
                <w:color w:val="auto"/>
                <w:kern w:val="0"/>
                <w:sz w:val="18"/>
                <w:szCs w:val="18"/>
                <w:lang w:val="sq-AL"/>
              </w:rPr>
            </w:pPr>
            <w:r>
              <w:rPr>
                <w:rFonts w:hint="eastAsia" w:ascii="宋体" w:hAnsi="宋体" w:cs="Arial"/>
                <w:color w:val="auto"/>
                <w:kern w:val="0"/>
                <w:sz w:val="18"/>
                <w:szCs w:val="18"/>
                <w:lang w:val="sq-AL"/>
              </w:rPr>
              <w:t>开户银行：</w:t>
            </w:r>
            <w:r>
              <w:rPr>
                <w:rFonts w:ascii="宋体" w:hAnsi="宋体" w:cs="Arial"/>
                <w:color w:val="auto"/>
                <w:kern w:val="0"/>
                <w:sz w:val="18"/>
                <w:szCs w:val="18"/>
                <w:lang w:val="sq-AL"/>
              </w:rPr>
              <w:t xml:space="preserve"> </w:t>
            </w:r>
            <w:r>
              <w:rPr>
                <w:rFonts w:hint="eastAsia" w:ascii="宋体" w:hAnsi="宋体" w:cs="Arial"/>
                <w:color w:val="auto"/>
                <w:kern w:val="0"/>
                <w:sz w:val="18"/>
                <w:szCs w:val="18"/>
                <w:lang w:val="sq-AL"/>
              </w:rPr>
              <w:t>中国工商银行股份有限公司嘉峪关酒钢支行</w:t>
            </w:r>
          </w:p>
        </w:tc>
      </w:tr>
      <w:tr>
        <w:tblPrEx>
          <w:tblLayout w:type="fixed"/>
          <w:tblCellMar>
            <w:top w:w="0" w:type="dxa"/>
            <w:left w:w="108" w:type="dxa"/>
            <w:bottom w:w="0" w:type="dxa"/>
            <w:right w:w="108" w:type="dxa"/>
          </w:tblCellMar>
        </w:tblPrEx>
        <w:trPr>
          <w:trHeight w:val="273"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帐号：</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ind w:left="1260" w:leftChars="0" w:hanging="1260" w:hangingChars="700"/>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帐号：27028880</w:t>
            </w:r>
            <w:r>
              <w:rPr>
                <w:rFonts w:hint="eastAsia" w:ascii="宋体" w:hAnsi="宋体" w:cs="Arial"/>
                <w:color w:val="auto"/>
                <w:kern w:val="0"/>
                <w:sz w:val="18"/>
                <w:szCs w:val="18"/>
                <w:lang w:val="en-US" w:eastAsia="zh-CN"/>
              </w:rPr>
              <w:t>2</w:t>
            </w:r>
            <w:r>
              <w:rPr>
                <w:rFonts w:hint="eastAsia" w:ascii="宋体" w:hAnsi="宋体" w:cs="Arial"/>
                <w:color w:val="auto"/>
                <w:kern w:val="0"/>
                <w:sz w:val="18"/>
                <w:szCs w:val="18"/>
                <w:lang w:val="sq-AL"/>
              </w:rPr>
              <w:t>90000</w:t>
            </w:r>
            <w:r>
              <w:rPr>
                <w:rFonts w:hint="eastAsia" w:ascii="宋体" w:hAnsi="宋体" w:cs="Arial"/>
                <w:color w:val="auto"/>
                <w:kern w:val="0"/>
                <w:sz w:val="18"/>
                <w:szCs w:val="18"/>
                <w:lang w:val="en-US" w:eastAsia="zh-CN"/>
              </w:rPr>
              <w:t>3578</w:t>
            </w:r>
          </w:p>
        </w:tc>
      </w:tr>
      <w:tr>
        <w:tblPrEx>
          <w:tblLayout w:type="fixed"/>
          <w:tblCellMar>
            <w:top w:w="0" w:type="dxa"/>
            <w:left w:w="108" w:type="dxa"/>
            <w:bottom w:w="0" w:type="dxa"/>
            <w:right w:w="108" w:type="dxa"/>
          </w:tblCellMar>
        </w:tblPrEx>
        <w:trPr>
          <w:trHeight w:val="253"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税号：</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税号：9162</w:t>
            </w:r>
            <w:r>
              <w:rPr>
                <w:rFonts w:hint="eastAsia" w:ascii="宋体" w:hAnsi="宋体" w:cs="Arial"/>
                <w:color w:val="auto"/>
                <w:kern w:val="0"/>
                <w:sz w:val="18"/>
                <w:szCs w:val="18"/>
                <w:lang w:val="en-US" w:eastAsia="zh-CN"/>
              </w:rPr>
              <w:t>00</w:t>
            </w:r>
            <w:r>
              <w:rPr>
                <w:rFonts w:hint="eastAsia" w:ascii="宋体" w:hAnsi="宋体" w:cs="Arial"/>
                <w:color w:val="auto"/>
                <w:kern w:val="0"/>
                <w:sz w:val="18"/>
                <w:szCs w:val="18"/>
                <w:lang w:val="sq-AL"/>
              </w:rPr>
              <w:t>00</w:t>
            </w:r>
            <w:r>
              <w:rPr>
                <w:rFonts w:hint="eastAsia" w:ascii="宋体" w:hAnsi="宋体" w:cs="Arial"/>
                <w:color w:val="auto"/>
                <w:kern w:val="0"/>
                <w:sz w:val="18"/>
                <w:szCs w:val="18"/>
                <w:lang w:val="en-US" w:eastAsia="zh-CN"/>
              </w:rPr>
              <w:t>710375659T</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cs="仿宋_GB2312"/>
          <w:color w:val="auto"/>
          <w:sz w:val="28"/>
          <w:szCs w:val="28"/>
          <w:lang w:val="en-US" w:eastAsia="zh-CN"/>
        </w:rPr>
      </w:pPr>
    </w:p>
    <w:sectPr>
      <w:footerReference r:id="rId3" w:type="default"/>
      <w:pgSz w:w="11906" w:h="16838"/>
      <w:pgMar w:top="147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TBiOTBmOWNkMzAwNDUwZGRlZDgxNTYxZWYwNWEifQ=="/>
  </w:docVars>
  <w:rsids>
    <w:rsidRoot w:val="40836D80"/>
    <w:rsid w:val="00BA548B"/>
    <w:rsid w:val="00D6296B"/>
    <w:rsid w:val="00E96642"/>
    <w:rsid w:val="01A85E97"/>
    <w:rsid w:val="01BB7EC5"/>
    <w:rsid w:val="02173B09"/>
    <w:rsid w:val="02E51A13"/>
    <w:rsid w:val="032A65FD"/>
    <w:rsid w:val="033E0D4C"/>
    <w:rsid w:val="03D15683"/>
    <w:rsid w:val="03D42C34"/>
    <w:rsid w:val="03F852BD"/>
    <w:rsid w:val="040070B2"/>
    <w:rsid w:val="04252637"/>
    <w:rsid w:val="04290700"/>
    <w:rsid w:val="047D0879"/>
    <w:rsid w:val="0492380B"/>
    <w:rsid w:val="049C6A8B"/>
    <w:rsid w:val="05006DC9"/>
    <w:rsid w:val="053448D5"/>
    <w:rsid w:val="0547728B"/>
    <w:rsid w:val="05500A77"/>
    <w:rsid w:val="05602594"/>
    <w:rsid w:val="05AA47BD"/>
    <w:rsid w:val="05AD54C5"/>
    <w:rsid w:val="05BB613E"/>
    <w:rsid w:val="05F530E9"/>
    <w:rsid w:val="06094EE9"/>
    <w:rsid w:val="06536761"/>
    <w:rsid w:val="06C51CD2"/>
    <w:rsid w:val="06D874B9"/>
    <w:rsid w:val="076611C9"/>
    <w:rsid w:val="0771718A"/>
    <w:rsid w:val="07862BF8"/>
    <w:rsid w:val="07875717"/>
    <w:rsid w:val="07BC7005"/>
    <w:rsid w:val="07D7298C"/>
    <w:rsid w:val="08737B65"/>
    <w:rsid w:val="08D02ABE"/>
    <w:rsid w:val="090F3DE5"/>
    <w:rsid w:val="09CA159A"/>
    <w:rsid w:val="09D80A6E"/>
    <w:rsid w:val="0A092BFE"/>
    <w:rsid w:val="0A3633CC"/>
    <w:rsid w:val="0A3759E1"/>
    <w:rsid w:val="0A5D07F1"/>
    <w:rsid w:val="0A861524"/>
    <w:rsid w:val="0A8C4AC2"/>
    <w:rsid w:val="0AC02794"/>
    <w:rsid w:val="0ACC55C8"/>
    <w:rsid w:val="0AD61F78"/>
    <w:rsid w:val="0B017189"/>
    <w:rsid w:val="0B1528AB"/>
    <w:rsid w:val="0B2A6516"/>
    <w:rsid w:val="0B300C06"/>
    <w:rsid w:val="0B3B0FDB"/>
    <w:rsid w:val="0B9F30D4"/>
    <w:rsid w:val="0BB00FB3"/>
    <w:rsid w:val="0BC533ED"/>
    <w:rsid w:val="0C2D1C6C"/>
    <w:rsid w:val="0C39518D"/>
    <w:rsid w:val="0CAF2056"/>
    <w:rsid w:val="0CC156FF"/>
    <w:rsid w:val="0CCE444A"/>
    <w:rsid w:val="0CCF0DD7"/>
    <w:rsid w:val="0D0E0940"/>
    <w:rsid w:val="0D410ADA"/>
    <w:rsid w:val="0D5F7CFA"/>
    <w:rsid w:val="0D6C41E0"/>
    <w:rsid w:val="0DA47AB4"/>
    <w:rsid w:val="0E035F70"/>
    <w:rsid w:val="0E2943D6"/>
    <w:rsid w:val="0E80347C"/>
    <w:rsid w:val="0E83528A"/>
    <w:rsid w:val="0E932DA2"/>
    <w:rsid w:val="0EAF1241"/>
    <w:rsid w:val="0ED9616F"/>
    <w:rsid w:val="0EEA2A91"/>
    <w:rsid w:val="0EF33BC7"/>
    <w:rsid w:val="0F567A10"/>
    <w:rsid w:val="0F73169E"/>
    <w:rsid w:val="0FE95BAD"/>
    <w:rsid w:val="100F396C"/>
    <w:rsid w:val="101742D2"/>
    <w:rsid w:val="101D3E49"/>
    <w:rsid w:val="105B23C8"/>
    <w:rsid w:val="108B415C"/>
    <w:rsid w:val="10952B91"/>
    <w:rsid w:val="10991536"/>
    <w:rsid w:val="10DA1C44"/>
    <w:rsid w:val="10F538DC"/>
    <w:rsid w:val="110F1824"/>
    <w:rsid w:val="111E0CD7"/>
    <w:rsid w:val="115934AB"/>
    <w:rsid w:val="11657A45"/>
    <w:rsid w:val="1175086D"/>
    <w:rsid w:val="118A558A"/>
    <w:rsid w:val="11A06331"/>
    <w:rsid w:val="11D9125C"/>
    <w:rsid w:val="11F77EBA"/>
    <w:rsid w:val="12024E19"/>
    <w:rsid w:val="12526C63"/>
    <w:rsid w:val="12BA55C1"/>
    <w:rsid w:val="12D41CD3"/>
    <w:rsid w:val="13531FC2"/>
    <w:rsid w:val="13AD6E96"/>
    <w:rsid w:val="13B133F3"/>
    <w:rsid w:val="13B31CA4"/>
    <w:rsid w:val="13B76BDA"/>
    <w:rsid w:val="13F526B0"/>
    <w:rsid w:val="13FC0F83"/>
    <w:rsid w:val="141720E7"/>
    <w:rsid w:val="14200B8B"/>
    <w:rsid w:val="145D66B4"/>
    <w:rsid w:val="14784047"/>
    <w:rsid w:val="14AC0C93"/>
    <w:rsid w:val="15000CF6"/>
    <w:rsid w:val="15775E05"/>
    <w:rsid w:val="1596691B"/>
    <w:rsid w:val="15A67433"/>
    <w:rsid w:val="15C80BB1"/>
    <w:rsid w:val="15FB0B7A"/>
    <w:rsid w:val="16061BC5"/>
    <w:rsid w:val="16B82CC0"/>
    <w:rsid w:val="16C23842"/>
    <w:rsid w:val="175D697F"/>
    <w:rsid w:val="17690A87"/>
    <w:rsid w:val="17CD4472"/>
    <w:rsid w:val="18175BB5"/>
    <w:rsid w:val="187D4529"/>
    <w:rsid w:val="18816572"/>
    <w:rsid w:val="18896EAE"/>
    <w:rsid w:val="18985F33"/>
    <w:rsid w:val="18D21686"/>
    <w:rsid w:val="19684AD0"/>
    <w:rsid w:val="197D06CD"/>
    <w:rsid w:val="198059F7"/>
    <w:rsid w:val="19891AF2"/>
    <w:rsid w:val="199926F8"/>
    <w:rsid w:val="199F7A03"/>
    <w:rsid w:val="19DB5943"/>
    <w:rsid w:val="19E849C3"/>
    <w:rsid w:val="19FC19E5"/>
    <w:rsid w:val="1A214186"/>
    <w:rsid w:val="1A444D18"/>
    <w:rsid w:val="1AAD677D"/>
    <w:rsid w:val="1ADD7AC9"/>
    <w:rsid w:val="1B4A2A85"/>
    <w:rsid w:val="1B8F440E"/>
    <w:rsid w:val="1BCA3642"/>
    <w:rsid w:val="1BED463D"/>
    <w:rsid w:val="1C100F83"/>
    <w:rsid w:val="1C1D4B3A"/>
    <w:rsid w:val="1C2C1E01"/>
    <w:rsid w:val="1C342C09"/>
    <w:rsid w:val="1C546EBB"/>
    <w:rsid w:val="1C7059C7"/>
    <w:rsid w:val="1CAD45E8"/>
    <w:rsid w:val="1CD222CD"/>
    <w:rsid w:val="1CE07B95"/>
    <w:rsid w:val="1CEB3C51"/>
    <w:rsid w:val="1CF407DE"/>
    <w:rsid w:val="1D02422E"/>
    <w:rsid w:val="1D093854"/>
    <w:rsid w:val="1D0A6C0C"/>
    <w:rsid w:val="1D951C69"/>
    <w:rsid w:val="1DAE408B"/>
    <w:rsid w:val="1DC36AA1"/>
    <w:rsid w:val="1E2F64ED"/>
    <w:rsid w:val="1E476000"/>
    <w:rsid w:val="1E51404C"/>
    <w:rsid w:val="1E87666C"/>
    <w:rsid w:val="1EB33106"/>
    <w:rsid w:val="1EC853C6"/>
    <w:rsid w:val="1ED57E08"/>
    <w:rsid w:val="1ED76593"/>
    <w:rsid w:val="1EDE03E3"/>
    <w:rsid w:val="1EE02565"/>
    <w:rsid w:val="1EE25477"/>
    <w:rsid w:val="1F202EF5"/>
    <w:rsid w:val="1F3D454D"/>
    <w:rsid w:val="1F566CC7"/>
    <w:rsid w:val="1F791FC8"/>
    <w:rsid w:val="1F9B49E3"/>
    <w:rsid w:val="1FBD391D"/>
    <w:rsid w:val="1FFC68E3"/>
    <w:rsid w:val="200F400A"/>
    <w:rsid w:val="202856C1"/>
    <w:rsid w:val="20CA7B83"/>
    <w:rsid w:val="20DF3DF2"/>
    <w:rsid w:val="20F208CA"/>
    <w:rsid w:val="21706B76"/>
    <w:rsid w:val="21850318"/>
    <w:rsid w:val="219F14BB"/>
    <w:rsid w:val="21F86A61"/>
    <w:rsid w:val="22323A2E"/>
    <w:rsid w:val="223E1A23"/>
    <w:rsid w:val="22954333"/>
    <w:rsid w:val="22B96343"/>
    <w:rsid w:val="239E0580"/>
    <w:rsid w:val="23B07F7A"/>
    <w:rsid w:val="24220E7A"/>
    <w:rsid w:val="249D716D"/>
    <w:rsid w:val="24DF372E"/>
    <w:rsid w:val="24E559A8"/>
    <w:rsid w:val="24F827B7"/>
    <w:rsid w:val="24F97C3B"/>
    <w:rsid w:val="24FB283C"/>
    <w:rsid w:val="25385993"/>
    <w:rsid w:val="25400BA2"/>
    <w:rsid w:val="254D039D"/>
    <w:rsid w:val="257F2A45"/>
    <w:rsid w:val="25982B72"/>
    <w:rsid w:val="26017C1C"/>
    <w:rsid w:val="26510EDA"/>
    <w:rsid w:val="26A762D4"/>
    <w:rsid w:val="26E31DAE"/>
    <w:rsid w:val="26E576E0"/>
    <w:rsid w:val="26FB6C19"/>
    <w:rsid w:val="2729283A"/>
    <w:rsid w:val="274C5376"/>
    <w:rsid w:val="27952945"/>
    <w:rsid w:val="27AC2845"/>
    <w:rsid w:val="27DA3D3E"/>
    <w:rsid w:val="27DC6035"/>
    <w:rsid w:val="27F066B8"/>
    <w:rsid w:val="287A4602"/>
    <w:rsid w:val="28893445"/>
    <w:rsid w:val="292E404F"/>
    <w:rsid w:val="293852B1"/>
    <w:rsid w:val="29A51738"/>
    <w:rsid w:val="2A161405"/>
    <w:rsid w:val="2A175929"/>
    <w:rsid w:val="2A1B75DA"/>
    <w:rsid w:val="2A2264AA"/>
    <w:rsid w:val="2A3C6F43"/>
    <w:rsid w:val="2AB35F45"/>
    <w:rsid w:val="2ACA1121"/>
    <w:rsid w:val="2B491693"/>
    <w:rsid w:val="2B4B7671"/>
    <w:rsid w:val="2B747F1B"/>
    <w:rsid w:val="2BC87DBF"/>
    <w:rsid w:val="2C050B58"/>
    <w:rsid w:val="2C3C5353"/>
    <w:rsid w:val="2C87437D"/>
    <w:rsid w:val="2CA0156F"/>
    <w:rsid w:val="2CA16B91"/>
    <w:rsid w:val="2D0A3D09"/>
    <w:rsid w:val="2D4B4F2C"/>
    <w:rsid w:val="2D542DBC"/>
    <w:rsid w:val="2DAB5DA5"/>
    <w:rsid w:val="2DFF547E"/>
    <w:rsid w:val="2E402136"/>
    <w:rsid w:val="2E412FFD"/>
    <w:rsid w:val="2E581BC7"/>
    <w:rsid w:val="2EBE29E8"/>
    <w:rsid w:val="2F1559A5"/>
    <w:rsid w:val="2F173320"/>
    <w:rsid w:val="2F201E00"/>
    <w:rsid w:val="2F227630"/>
    <w:rsid w:val="2F2A6277"/>
    <w:rsid w:val="2FA20902"/>
    <w:rsid w:val="2FA87211"/>
    <w:rsid w:val="2FC63BC1"/>
    <w:rsid w:val="3022409B"/>
    <w:rsid w:val="30593717"/>
    <w:rsid w:val="30BA4A0B"/>
    <w:rsid w:val="30D845B1"/>
    <w:rsid w:val="30EF051E"/>
    <w:rsid w:val="311F11E9"/>
    <w:rsid w:val="31697845"/>
    <w:rsid w:val="31792A70"/>
    <w:rsid w:val="31865310"/>
    <w:rsid w:val="31BF4C09"/>
    <w:rsid w:val="31D27993"/>
    <w:rsid w:val="31DA18C7"/>
    <w:rsid w:val="31E178A7"/>
    <w:rsid w:val="321D15CB"/>
    <w:rsid w:val="32597ED5"/>
    <w:rsid w:val="32BE5A82"/>
    <w:rsid w:val="32C15DA1"/>
    <w:rsid w:val="32F14BD2"/>
    <w:rsid w:val="331C4C46"/>
    <w:rsid w:val="33262072"/>
    <w:rsid w:val="333C28F4"/>
    <w:rsid w:val="335123DD"/>
    <w:rsid w:val="336A1678"/>
    <w:rsid w:val="337051FE"/>
    <w:rsid w:val="33826815"/>
    <w:rsid w:val="33A74164"/>
    <w:rsid w:val="33F42897"/>
    <w:rsid w:val="347E6BC8"/>
    <w:rsid w:val="349146C6"/>
    <w:rsid w:val="34946BE1"/>
    <w:rsid w:val="34DF3551"/>
    <w:rsid w:val="34E8313D"/>
    <w:rsid w:val="34F4097C"/>
    <w:rsid w:val="34F42367"/>
    <w:rsid w:val="35264B0F"/>
    <w:rsid w:val="355B17A0"/>
    <w:rsid w:val="35774358"/>
    <w:rsid w:val="358A6CD5"/>
    <w:rsid w:val="35AD6128"/>
    <w:rsid w:val="35AE700E"/>
    <w:rsid w:val="36803F05"/>
    <w:rsid w:val="369954B3"/>
    <w:rsid w:val="369E6C7A"/>
    <w:rsid w:val="36DE48EE"/>
    <w:rsid w:val="37561460"/>
    <w:rsid w:val="37665B4A"/>
    <w:rsid w:val="37B815FE"/>
    <w:rsid w:val="37BB4AA2"/>
    <w:rsid w:val="37F46676"/>
    <w:rsid w:val="38162A29"/>
    <w:rsid w:val="381801C3"/>
    <w:rsid w:val="382C41F1"/>
    <w:rsid w:val="3844267F"/>
    <w:rsid w:val="384B2AB6"/>
    <w:rsid w:val="38BD67DF"/>
    <w:rsid w:val="38F6243E"/>
    <w:rsid w:val="390E2106"/>
    <w:rsid w:val="391E15B4"/>
    <w:rsid w:val="398E6357"/>
    <w:rsid w:val="39953109"/>
    <w:rsid w:val="39A3486A"/>
    <w:rsid w:val="39BA4B2D"/>
    <w:rsid w:val="39F81797"/>
    <w:rsid w:val="39FA5037"/>
    <w:rsid w:val="3A6E31EE"/>
    <w:rsid w:val="3A722300"/>
    <w:rsid w:val="3A9C4B8E"/>
    <w:rsid w:val="3ADA7263"/>
    <w:rsid w:val="3ADC445C"/>
    <w:rsid w:val="3B715271"/>
    <w:rsid w:val="3B9B265A"/>
    <w:rsid w:val="3BDA4ABC"/>
    <w:rsid w:val="3BFD4CE9"/>
    <w:rsid w:val="3C1B290E"/>
    <w:rsid w:val="3C685174"/>
    <w:rsid w:val="3C9A4119"/>
    <w:rsid w:val="3D346437"/>
    <w:rsid w:val="3D3A31F5"/>
    <w:rsid w:val="3D5A471C"/>
    <w:rsid w:val="3D886F19"/>
    <w:rsid w:val="3DC71B90"/>
    <w:rsid w:val="3DE52B79"/>
    <w:rsid w:val="3E262B92"/>
    <w:rsid w:val="3E9D18B9"/>
    <w:rsid w:val="3F9C2A37"/>
    <w:rsid w:val="40150D51"/>
    <w:rsid w:val="40836D80"/>
    <w:rsid w:val="40AE2DB9"/>
    <w:rsid w:val="40BE3F72"/>
    <w:rsid w:val="40D43867"/>
    <w:rsid w:val="4119640E"/>
    <w:rsid w:val="419E4956"/>
    <w:rsid w:val="41ED5C45"/>
    <w:rsid w:val="42005AA0"/>
    <w:rsid w:val="422A1D09"/>
    <w:rsid w:val="42526DD1"/>
    <w:rsid w:val="4255394D"/>
    <w:rsid w:val="42B529E7"/>
    <w:rsid w:val="43A5040E"/>
    <w:rsid w:val="43BB3CDB"/>
    <w:rsid w:val="43F62CC3"/>
    <w:rsid w:val="44101E80"/>
    <w:rsid w:val="44554AC4"/>
    <w:rsid w:val="44AA6DC5"/>
    <w:rsid w:val="44C82CB0"/>
    <w:rsid w:val="44F120E3"/>
    <w:rsid w:val="44FA2620"/>
    <w:rsid w:val="45B75B77"/>
    <w:rsid w:val="45F83747"/>
    <w:rsid w:val="46201253"/>
    <w:rsid w:val="46597679"/>
    <w:rsid w:val="465A227C"/>
    <w:rsid w:val="467915BA"/>
    <w:rsid w:val="46DD131A"/>
    <w:rsid w:val="48156F81"/>
    <w:rsid w:val="48173BE8"/>
    <w:rsid w:val="482A6EFD"/>
    <w:rsid w:val="4866568B"/>
    <w:rsid w:val="48C3614D"/>
    <w:rsid w:val="4909099C"/>
    <w:rsid w:val="490C2439"/>
    <w:rsid w:val="499A249E"/>
    <w:rsid w:val="49B61BF3"/>
    <w:rsid w:val="49BA16A1"/>
    <w:rsid w:val="49DE5156"/>
    <w:rsid w:val="49E01638"/>
    <w:rsid w:val="4ACB3274"/>
    <w:rsid w:val="4AFF50B6"/>
    <w:rsid w:val="4B094212"/>
    <w:rsid w:val="4B305286"/>
    <w:rsid w:val="4B3C143D"/>
    <w:rsid w:val="4BC06CBE"/>
    <w:rsid w:val="4BF720A6"/>
    <w:rsid w:val="4C4D1108"/>
    <w:rsid w:val="4C654E9C"/>
    <w:rsid w:val="4C7E32A1"/>
    <w:rsid w:val="4CB24AB5"/>
    <w:rsid w:val="4D572D3F"/>
    <w:rsid w:val="4D5D2811"/>
    <w:rsid w:val="4DB754DA"/>
    <w:rsid w:val="4DBA373A"/>
    <w:rsid w:val="4DC01681"/>
    <w:rsid w:val="4DD64655"/>
    <w:rsid w:val="4DFB5FEB"/>
    <w:rsid w:val="4E2824E6"/>
    <w:rsid w:val="4E592F17"/>
    <w:rsid w:val="4E77436D"/>
    <w:rsid w:val="4E7C32F5"/>
    <w:rsid w:val="4E916DFE"/>
    <w:rsid w:val="4E95219F"/>
    <w:rsid w:val="4EDB1A22"/>
    <w:rsid w:val="4EFB67F4"/>
    <w:rsid w:val="4F0D4880"/>
    <w:rsid w:val="4F4E725D"/>
    <w:rsid w:val="4F5F7E75"/>
    <w:rsid w:val="4FB562E6"/>
    <w:rsid w:val="4FBE54EE"/>
    <w:rsid w:val="4FC54578"/>
    <w:rsid w:val="502B3BA0"/>
    <w:rsid w:val="505307E0"/>
    <w:rsid w:val="50ED34FE"/>
    <w:rsid w:val="51A72C92"/>
    <w:rsid w:val="51CA563E"/>
    <w:rsid w:val="51D15388"/>
    <w:rsid w:val="522E43FC"/>
    <w:rsid w:val="522F26BA"/>
    <w:rsid w:val="523E6B7B"/>
    <w:rsid w:val="526F0A1D"/>
    <w:rsid w:val="52A60F19"/>
    <w:rsid w:val="52AF4381"/>
    <w:rsid w:val="52B731F8"/>
    <w:rsid w:val="52DA5434"/>
    <w:rsid w:val="52E66E93"/>
    <w:rsid w:val="53CF568E"/>
    <w:rsid w:val="53E720D7"/>
    <w:rsid w:val="54682B3B"/>
    <w:rsid w:val="54935C6D"/>
    <w:rsid w:val="54DF3A08"/>
    <w:rsid w:val="54E87104"/>
    <w:rsid w:val="551A05E2"/>
    <w:rsid w:val="556018F7"/>
    <w:rsid w:val="55A550D3"/>
    <w:rsid w:val="55AF028A"/>
    <w:rsid w:val="55EA02D6"/>
    <w:rsid w:val="562F1D5F"/>
    <w:rsid w:val="56644F2D"/>
    <w:rsid w:val="56765204"/>
    <w:rsid w:val="568107C0"/>
    <w:rsid w:val="56DE3499"/>
    <w:rsid w:val="57062958"/>
    <w:rsid w:val="574B6D3E"/>
    <w:rsid w:val="57575289"/>
    <w:rsid w:val="576F6B6B"/>
    <w:rsid w:val="57FD6216"/>
    <w:rsid w:val="583E5911"/>
    <w:rsid w:val="58525976"/>
    <w:rsid w:val="58636455"/>
    <w:rsid w:val="58755A53"/>
    <w:rsid w:val="589474C3"/>
    <w:rsid w:val="589C432C"/>
    <w:rsid w:val="58F4212A"/>
    <w:rsid w:val="58F4681C"/>
    <w:rsid w:val="592E6757"/>
    <w:rsid w:val="59443FE3"/>
    <w:rsid w:val="59AB7B35"/>
    <w:rsid w:val="59BC4813"/>
    <w:rsid w:val="59CC1C88"/>
    <w:rsid w:val="5AF15E4A"/>
    <w:rsid w:val="5B0101F2"/>
    <w:rsid w:val="5B080072"/>
    <w:rsid w:val="5B0E17E8"/>
    <w:rsid w:val="5B812490"/>
    <w:rsid w:val="5BC44B8F"/>
    <w:rsid w:val="5BE86D88"/>
    <w:rsid w:val="5C2D57F4"/>
    <w:rsid w:val="5C71194D"/>
    <w:rsid w:val="5CC201C7"/>
    <w:rsid w:val="5CE255DB"/>
    <w:rsid w:val="5D250CD3"/>
    <w:rsid w:val="5D4920C5"/>
    <w:rsid w:val="5DCA5934"/>
    <w:rsid w:val="5DDA4034"/>
    <w:rsid w:val="5E2E2F41"/>
    <w:rsid w:val="5E4E0D11"/>
    <w:rsid w:val="5ECD301B"/>
    <w:rsid w:val="5EEA7C1A"/>
    <w:rsid w:val="5F135BC0"/>
    <w:rsid w:val="5F3A402D"/>
    <w:rsid w:val="5F877587"/>
    <w:rsid w:val="6015688C"/>
    <w:rsid w:val="60261766"/>
    <w:rsid w:val="607F593F"/>
    <w:rsid w:val="60951344"/>
    <w:rsid w:val="61746136"/>
    <w:rsid w:val="61A144FE"/>
    <w:rsid w:val="61C213E0"/>
    <w:rsid w:val="61D60EB6"/>
    <w:rsid w:val="62263324"/>
    <w:rsid w:val="622A5496"/>
    <w:rsid w:val="62766893"/>
    <w:rsid w:val="628A42CC"/>
    <w:rsid w:val="63053355"/>
    <w:rsid w:val="63163A28"/>
    <w:rsid w:val="63707501"/>
    <w:rsid w:val="64732752"/>
    <w:rsid w:val="64880EF2"/>
    <w:rsid w:val="65052BBF"/>
    <w:rsid w:val="65171489"/>
    <w:rsid w:val="655F5D2A"/>
    <w:rsid w:val="659A6232"/>
    <w:rsid w:val="65E4525D"/>
    <w:rsid w:val="65F20D02"/>
    <w:rsid w:val="6621401A"/>
    <w:rsid w:val="66380AA5"/>
    <w:rsid w:val="665913AB"/>
    <w:rsid w:val="66680087"/>
    <w:rsid w:val="66812D12"/>
    <w:rsid w:val="66AB14BA"/>
    <w:rsid w:val="66AB3333"/>
    <w:rsid w:val="66E1049E"/>
    <w:rsid w:val="672219E4"/>
    <w:rsid w:val="67453E53"/>
    <w:rsid w:val="674C061E"/>
    <w:rsid w:val="676A22E9"/>
    <w:rsid w:val="67892699"/>
    <w:rsid w:val="67BE6CC1"/>
    <w:rsid w:val="68006425"/>
    <w:rsid w:val="68141086"/>
    <w:rsid w:val="683716F6"/>
    <w:rsid w:val="68897538"/>
    <w:rsid w:val="68C02B5A"/>
    <w:rsid w:val="695911A6"/>
    <w:rsid w:val="6978322B"/>
    <w:rsid w:val="6A0703F1"/>
    <w:rsid w:val="6A1F5F9D"/>
    <w:rsid w:val="6A3A1E6B"/>
    <w:rsid w:val="6A494BCC"/>
    <w:rsid w:val="6A7E2395"/>
    <w:rsid w:val="6A8625D2"/>
    <w:rsid w:val="6AD21CF3"/>
    <w:rsid w:val="6AE76B30"/>
    <w:rsid w:val="6B124466"/>
    <w:rsid w:val="6B386A1E"/>
    <w:rsid w:val="6BB63759"/>
    <w:rsid w:val="6C0E47FA"/>
    <w:rsid w:val="6C2D79E8"/>
    <w:rsid w:val="6C602F75"/>
    <w:rsid w:val="6C6F20D5"/>
    <w:rsid w:val="6CDA1E6B"/>
    <w:rsid w:val="6CE30E0E"/>
    <w:rsid w:val="6DC93F97"/>
    <w:rsid w:val="6E035C29"/>
    <w:rsid w:val="6E0D2EF1"/>
    <w:rsid w:val="6E12625A"/>
    <w:rsid w:val="6E2106A6"/>
    <w:rsid w:val="6E31375F"/>
    <w:rsid w:val="6E390A25"/>
    <w:rsid w:val="6E3A6CB6"/>
    <w:rsid w:val="6E71073A"/>
    <w:rsid w:val="6E770042"/>
    <w:rsid w:val="6E785663"/>
    <w:rsid w:val="6EFD6C4F"/>
    <w:rsid w:val="6F006AE6"/>
    <w:rsid w:val="6F2466C7"/>
    <w:rsid w:val="6F30057E"/>
    <w:rsid w:val="6FCB7556"/>
    <w:rsid w:val="70622870"/>
    <w:rsid w:val="70865E12"/>
    <w:rsid w:val="708C39D4"/>
    <w:rsid w:val="70BC4859"/>
    <w:rsid w:val="717A1059"/>
    <w:rsid w:val="71AB64A2"/>
    <w:rsid w:val="71CF6F70"/>
    <w:rsid w:val="71D45E01"/>
    <w:rsid w:val="71D53BA3"/>
    <w:rsid w:val="71D92FDD"/>
    <w:rsid w:val="72270FAC"/>
    <w:rsid w:val="7236143F"/>
    <w:rsid w:val="723D05D9"/>
    <w:rsid w:val="726D4D9D"/>
    <w:rsid w:val="72933670"/>
    <w:rsid w:val="73102627"/>
    <w:rsid w:val="736F7E89"/>
    <w:rsid w:val="738A22A6"/>
    <w:rsid w:val="73AA3111"/>
    <w:rsid w:val="73B12627"/>
    <w:rsid w:val="74451F95"/>
    <w:rsid w:val="744C1B55"/>
    <w:rsid w:val="74524AA6"/>
    <w:rsid w:val="74832D5A"/>
    <w:rsid w:val="74A14E77"/>
    <w:rsid w:val="74F36677"/>
    <w:rsid w:val="753A4E1F"/>
    <w:rsid w:val="753D7276"/>
    <w:rsid w:val="755F09E2"/>
    <w:rsid w:val="75A8115B"/>
    <w:rsid w:val="75B4578F"/>
    <w:rsid w:val="75C65F25"/>
    <w:rsid w:val="75DF3A57"/>
    <w:rsid w:val="75E040F5"/>
    <w:rsid w:val="76CE557C"/>
    <w:rsid w:val="78344BC4"/>
    <w:rsid w:val="79255AE6"/>
    <w:rsid w:val="795850EF"/>
    <w:rsid w:val="79886D15"/>
    <w:rsid w:val="79D805D8"/>
    <w:rsid w:val="79FF1315"/>
    <w:rsid w:val="7A49208A"/>
    <w:rsid w:val="7A6D6960"/>
    <w:rsid w:val="7A7A0E08"/>
    <w:rsid w:val="7A914CFB"/>
    <w:rsid w:val="7AB6517F"/>
    <w:rsid w:val="7B0C779A"/>
    <w:rsid w:val="7B1E3B82"/>
    <w:rsid w:val="7B373284"/>
    <w:rsid w:val="7B5A5BA0"/>
    <w:rsid w:val="7B665D14"/>
    <w:rsid w:val="7B75082C"/>
    <w:rsid w:val="7B772166"/>
    <w:rsid w:val="7C0A6F62"/>
    <w:rsid w:val="7C6E3901"/>
    <w:rsid w:val="7C921D78"/>
    <w:rsid w:val="7D155291"/>
    <w:rsid w:val="7D622F88"/>
    <w:rsid w:val="7D863378"/>
    <w:rsid w:val="7D8A714A"/>
    <w:rsid w:val="7DA7340E"/>
    <w:rsid w:val="7DA96074"/>
    <w:rsid w:val="7DDE5EC6"/>
    <w:rsid w:val="7E1829FF"/>
    <w:rsid w:val="7E545C85"/>
    <w:rsid w:val="7E5D2B14"/>
    <w:rsid w:val="7E9D673C"/>
    <w:rsid w:val="7EC62EF0"/>
    <w:rsid w:val="7FBD36A4"/>
    <w:rsid w:val="7FC5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99"/>
    <w:pPr>
      <w:ind w:firstLine="420" w:firstLineChars="200"/>
    </w:p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4371</Words>
  <Characters>4581</Characters>
  <Lines>0</Lines>
  <Paragraphs>0</Paragraphs>
  <TotalTime>49</TotalTime>
  <ScaleCrop>false</ScaleCrop>
  <LinksUpToDate>false</LinksUpToDate>
  <CharactersWithSpaces>4653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2023-06-02T03:24:00Z</dcterms:created>
  <dc:creator>wx</dc:creator>
  <cp:lastModifiedBy>lenovo</cp:lastModifiedBy>
  <dcterms:modified xsi:type="dcterms:W3CDTF">2025-12-03T03:29:07Z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B45BA74A4D504E9A8381A7D3DB1B3D92</vt:lpwstr>
  </property>
  <property fmtid="{D5CDD505-2E9C-101B-9397-08002B2CF9AE}" pid="4" name="KSOTemplateDocerSaveRecord">
    <vt:lpwstr>eyJoZGlkIjoiMzYxNmQ4MGJjZTQ1NTg3NjIxZTc2NmM4YjNkMDRmMGUiLCJ1c2VySWQiOiIyNjY1MjYyMTAifQ==</vt:lpwstr>
  </property>
</Properties>
</file>