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right="2" w:rightChars="1"/>
        <w:jc w:val="center"/>
        <w:rPr>
          <w:rFonts w:hint="eastAsia" w:ascii="仿宋" w:hAnsi="仿宋" w:eastAsia="仿宋" w:cs="仿宋"/>
          <w:b/>
          <w:sz w:val="44"/>
          <w:szCs w:val="44"/>
          <w:lang w:eastAsia="zh-CN"/>
        </w:rPr>
      </w:pPr>
      <w:r>
        <w:rPr>
          <w:rFonts w:hint="eastAsia" w:ascii="仿宋" w:hAnsi="仿宋" w:eastAsia="仿宋" w:cs="仿宋"/>
          <w:b/>
          <w:sz w:val="44"/>
          <w:szCs w:val="44"/>
        </w:rPr>
        <w:t>酒钢集团宏兴钢铁股份有限公司</w:t>
      </w:r>
      <w:r>
        <w:rPr>
          <w:rFonts w:hint="eastAsia" w:ascii="仿宋" w:hAnsi="仿宋" w:eastAsia="仿宋" w:cs="仿宋"/>
          <w:b/>
          <w:sz w:val="44"/>
          <w:szCs w:val="44"/>
          <w:lang w:eastAsia="zh-CN"/>
        </w:rPr>
        <w:t>炼铁厂</w:t>
      </w:r>
    </w:p>
    <w:p>
      <w:pPr>
        <w:snapToGrid w:val="0"/>
        <w:spacing w:line="360" w:lineRule="auto"/>
        <w:ind w:right="-447"/>
        <w:jc w:val="center"/>
        <w:rPr>
          <w:rFonts w:hint="eastAsia" w:ascii="仿宋" w:hAnsi="仿宋" w:eastAsia="仿宋" w:cs="仿宋"/>
          <w:b/>
          <w:sz w:val="36"/>
          <w:szCs w:val="48"/>
          <w:highlight w:val="yellow"/>
          <w:lang w:val="en-US" w:eastAsia="zh-CN"/>
        </w:rPr>
      </w:pPr>
      <w:r>
        <w:rPr>
          <w:rFonts w:hint="eastAsia" w:ascii="仿宋" w:hAnsi="仿宋" w:eastAsia="仿宋" w:cs="仿宋"/>
          <w:b/>
          <w:sz w:val="36"/>
          <w:szCs w:val="48"/>
          <w:highlight w:val="yellow"/>
          <w:lang w:val="en-US" w:eastAsia="zh-CN"/>
        </w:rPr>
        <w:t>变频器\EC570-4DXX-032A 15kW AC380V 32A</w:t>
      </w:r>
    </w:p>
    <w:p>
      <w:pPr>
        <w:snapToGrid w:val="0"/>
        <w:spacing w:line="360" w:lineRule="auto"/>
        <w:ind w:right="-447"/>
        <w:jc w:val="center"/>
        <w:rPr>
          <w:rFonts w:hint="eastAsia" w:ascii="仿宋" w:hAnsi="仿宋" w:eastAsia="仿宋" w:cs="仿宋"/>
          <w:b/>
          <w:sz w:val="36"/>
          <w:szCs w:val="48"/>
          <w:highlight w:val="yellow"/>
          <w:lang w:eastAsia="zh-CN"/>
        </w:rPr>
      </w:pPr>
      <w:r>
        <w:rPr>
          <w:rFonts w:hint="eastAsia" w:ascii="仿宋" w:hAnsi="仿宋" w:eastAsia="仿宋" w:cs="仿宋"/>
          <w:b/>
          <w:sz w:val="36"/>
          <w:szCs w:val="48"/>
          <w:highlight w:val="yellow"/>
          <w:lang w:eastAsia="zh-CN"/>
        </w:rPr>
        <w:t>（70386878）</w:t>
      </w:r>
    </w:p>
    <w:p>
      <w:pPr>
        <w:snapToGrid w:val="0"/>
        <w:spacing w:line="360" w:lineRule="auto"/>
        <w:ind w:right="-447"/>
        <w:jc w:val="center"/>
        <w:rPr>
          <w:rFonts w:hint="eastAsia" w:ascii="仿宋" w:hAnsi="仿宋" w:eastAsia="仿宋" w:cs="仿宋"/>
          <w:b/>
          <w:sz w:val="36"/>
          <w:szCs w:val="48"/>
          <w:highlight w:val="yellow"/>
          <w:lang w:eastAsia="zh-CN"/>
        </w:rPr>
      </w:pPr>
      <w:r>
        <w:rPr>
          <w:rFonts w:hint="eastAsia" w:ascii="仿宋" w:hAnsi="仿宋" w:eastAsia="仿宋" w:cs="仿宋"/>
          <w:b/>
          <w:sz w:val="36"/>
          <w:szCs w:val="48"/>
          <w:highlight w:val="yellow"/>
        </w:rPr>
        <w:t>采购技术</w:t>
      </w:r>
      <w:r>
        <w:rPr>
          <w:rFonts w:hint="eastAsia" w:ascii="仿宋" w:hAnsi="仿宋" w:eastAsia="仿宋" w:cs="仿宋"/>
          <w:b/>
          <w:sz w:val="36"/>
          <w:szCs w:val="48"/>
          <w:highlight w:val="yellow"/>
          <w:lang w:val="en-US" w:eastAsia="zh-CN"/>
        </w:rPr>
        <w:t>要求</w:t>
      </w:r>
    </w:p>
    <w:p>
      <w:pPr>
        <w:snapToGrid w:val="0"/>
        <w:spacing w:line="360" w:lineRule="auto"/>
        <w:ind w:right="-447"/>
        <w:jc w:val="center"/>
        <w:rPr>
          <w:rFonts w:hint="eastAsia" w:ascii="仿宋" w:hAnsi="仿宋" w:eastAsia="仿宋" w:cs="仿宋"/>
          <w:b/>
          <w:sz w:val="36"/>
          <w:szCs w:val="48"/>
        </w:rPr>
      </w:pPr>
    </w:p>
    <w:p>
      <w:pPr>
        <w:snapToGrid w:val="0"/>
        <w:spacing w:line="360" w:lineRule="auto"/>
        <w:ind w:right="-447"/>
        <w:jc w:val="center"/>
        <w:rPr>
          <w:rFonts w:hint="eastAsia" w:ascii="仿宋" w:hAnsi="仿宋" w:eastAsia="仿宋" w:cs="仿宋"/>
          <w:b/>
          <w:sz w:val="36"/>
          <w:szCs w:val="48"/>
        </w:rPr>
      </w:pPr>
    </w:p>
    <w:p>
      <w:pPr>
        <w:snapToGrid w:val="0"/>
        <w:spacing w:line="360" w:lineRule="auto"/>
        <w:ind w:right="-447"/>
        <w:jc w:val="center"/>
        <w:rPr>
          <w:rFonts w:hint="eastAsia" w:ascii="仿宋" w:hAnsi="仿宋" w:eastAsia="仿宋" w:cs="仿宋"/>
          <w:b/>
          <w:sz w:val="36"/>
          <w:szCs w:val="48"/>
        </w:rPr>
      </w:pPr>
    </w:p>
    <w:p>
      <w:pPr>
        <w:snapToGrid w:val="0"/>
        <w:spacing w:line="360" w:lineRule="auto"/>
        <w:ind w:right="-447"/>
        <w:jc w:val="center"/>
        <w:rPr>
          <w:rFonts w:hint="eastAsia" w:ascii="仿宋" w:hAnsi="仿宋" w:eastAsia="仿宋" w:cs="仿宋"/>
          <w:b/>
          <w:sz w:val="36"/>
          <w:szCs w:val="48"/>
        </w:rPr>
      </w:pPr>
    </w:p>
    <w:p>
      <w:pPr>
        <w:snapToGrid w:val="0"/>
        <w:spacing w:line="360" w:lineRule="auto"/>
        <w:ind w:right="2" w:rightChars="1" w:firstLine="703" w:firstLineChars="250"/>
        <w:rPr>
          <w:rFonts w:hint="eastAsia" w:ascii="仿宋" w:hAnsi="仿宋" w:eastAsia="仿宋" w:cs="仿宋"/>
          <w:b/>
          <w:sz w:val="28"/>
          <w:szCs w:val="28"/>
          <w:lang w:eastAsia="zh-CN"/>
        </w:rPr>
      </w:pPr>
      <w:r>
        <w:rPr>
          <w:rFonts w:hint="eastAsia" w:ascii="仿宋" w:hAnsi="仿宋" w:eastAsia="仿宋" w:cs="仿宋"/>
          <w:b/>
          <w:sz w:val="28"/>
          <w:szCs w:val="28"/>
        </w:rPr>
        <w:t>甲方：甘肃酒钢集团宏兴钢铁股份有限公司</w:t>
      </w:r>
      <w:r>
        <w:rPr>
          <w:rFonts w:hint="eastAsia" w:ascii="仿宋" w:hAnsi="仿宋" w:eastAsia="仿宋" w:cs="仿宋"/>
          <w:b/>
          <w:sz w:val="28"/>
          <w:szCs w:val="28"/>
          <w:lang w:eastAsia="zh-CN"/>
        </w:rPr>
        <w:t>炼铁厂</w:t>
      </w:r>
    </w:p>
    <w:p>
      <w:pPr>
        <w:spacing w:before="100" w:beforeAutospacing="1" w:after="100" w:afterAutospacing="1" w:line="360" w:lineRule="auto"/>
        <w:ind w:firstLine="722" w:firstLineChars="257"/>
        <w:rPr>
          <w:rFonts w:hint="eastAsia" w:ascii="仿宋" w:hAnsi="仿宋" w:eastAsia="仿宋" w:cs="仿宋"/>
          <w:b/>
          <w:bCs/>
          <w:sz w:val="28"/>
          <w:szCs w:val="28"/>
        </w:rPr>
      </w:pPr>
      <w:r>
        <w:rPr>
          <w:rFonts w:hint="eastAsia" w:ascii="仿宋" w:hAnsi="仿宋" w:eastAsia="仿宋" w:cs="仿宋"/>
          <w:b/>
          <w:bCs/>
          <w:sz w:val="28"/>
          <w:szCs w:val="28"/>
        </w:rPr>
        <w:t>甲方代表（签字）：</w:t>
      </w:r>
    </w:p>
    <w:p>
      <w:pPr>
        <w:spacing w:before="100" w:beforeAutospacing="1" w:after="100" w:afterAutospacing="1" w:line="360" w:lineRule="auto"/>
        <w:ind w:firstLine="722" w:firstLineChars="257"/>
        <w:rPr>
          <w:rFonts w:hint="eastAsia" w:ascii="仿宋" w:hAnsi="仿宋" w:eastAsia="仿宋" w:cs="仿宋"/>
          <w:b/>
          <w:sz w:val="28"/>
          <w:szCs w:val="28"/>
        </w:rPr>
      </w:pPr>
      <w:r>
        <w:rPr>
          <w:rFonts w:hint="eastAsia" w:ascii="仿宋" w:hAnsi="仿宋" w:eastAsia="仿宋" w:cs="仿宋"/>
          <w:b/>
          <w:sz w:val="28"/>
          <w:szCs w:val="28"/>
        </w:rPr>
        <w:t>乙方：</w:t>
      </w:r>
    </w:p>
    <w:p>
      <w:pPr>
        <w:snapToGrid w:val="0"/>
        <w:spacing w:before="100" w:beforeAutospacing="1" w:after="100" w:afterAutospacing="1" w:line="360" w:lineRule="auto"/>
        <w:ind w:right="-447" w:firstLine="722" w:firstLineChars="257"/>
        <w:rPr>
          <w:rFonts w:hint="eastAsia" w:ascii="仿宋" w:hAnsi="仿宋" w:eastAsia="仿宋" w:cs="仿宋"/>
          <w:b/>
          <w:sz w:val="28"/>
          <w:szCs w:val="28"/>
        </w:rPr>
      </w:pPr>
      <w:r>
        <w:rPr>
          <w:rFonts w:hint="eastAsia" w:ascii="仿宋" w:hAnsi="仿宋" w:eastAsia="仿宋" w:cs="仿宋"/>
          <w:b/>
          <w:sz w:val="28"/>
          <w:szCs w:val="28"/>
        </w:rPr>
        <w:t>乙方代表（签字）：</w:t>
      </w:r>
    </w:p>
    <w:p>
      <w:pPr>
        <w:snapToGrid w:val="0"/>
        <w:spacing w:before="100" w:beforeAutospacing="1" w:after="100" w:afterAutospacing="1" w:line="360" w:lineRule="auto"/>
        <w:ind w:right="-447" w:firstLine="1349" w:firstLineChars="420"/>
        <w:rPr>
          <w:rFonts w:hint="eastAsia" w:ascii="仿宋" w:hAnsi="仿宋" w:eastAsia="仿宋" w:cs="仿宋"/>
          <w:b/>
          <w:sz w:val="32"/>
          <w:szCs w:val="32"/>
        </w:rPr>
      </w:pPr>
    </w:p>
    <w:p>
      <w:pPr>
        <w:snapToGrid w:val="0"/>
        <w:spacing w:before="100" w:beforeAutospacing="1" w:after="100" w:afterAutospacing="1" w:line="360" w:lineRule="auto"/>
        <w:ind w:right="-447" w:firstLine="1349" w:firstLineChars="420"/>
        <w:rPr>
          <w:rFonts w:hint="eastAsia" w:ascii="仿宋" w:hAnsi="仿宋" w:eastAsia="仿宋" w:cs="仿宋"/>
          <w:b/>
          <w:sz w:val="32"/>
          <w:szCs w:val="32"/>
        </w:rPr>
      </w:pPr>
    </w:p>
    <w:p>
      <w:pPr>
        <w:snapToGrid w:val="0"/>
        <w:spacing w:before="100" w:beforeAutospacing="1" w:after="100" w:afterAutospacing="1" w:line="360" w:lineRule="auto"/>
        <w:ind w:right="-447" w:firstLine="1349" w:firstLineChars="420"/>
        <w:rPr>
          <w:rFonts w:hint="eastAsia" w:ascii="仿宋" w:hAnsi="仿宋" w:eastAsia="仿宋" w:cs="仿宋"/>
          <w:b/>
          <w:sz w:val="32"/>
          <w:szCs w:val="32"/>
        </w:rPr>
      </w:pPr>
    </w:p>
    <w:p>
      <w:pPr>
        <w:widowControl/>
        <w:spacing w:before="100" w:beforeAutospacing="1" w:after="100" w:afterAutospacing="1" w:line="360" w:lineRule="auto"/>
        <w:ind w:right="72" w:rightChars="30" w:firstLine="5409" w:firstLineChars="1796"/>
        <w:rPr>
          <w:rFonts w:hint="eastAsia" w:ascii="仿宋" w:hAnsi="仿宋" w:eastAsia="仿宋" w:cs="仿宋"/>
          <w:sz w:val="48"/>
          <w:szCs w:val="48"/>
        </w:rPr>
      </w:pPr>
      <w:r>
        <w:rPr>
          <w:rFonts w:hint="eastAsia" w:ascii="仿宋" w:hAnsi="仿宋" w:eastAsia="仿宋" w:cs="仿宋"/>
          <w:b/>
          <w:sz w:val="30"/>
          <w:szCs w:val="30"/>
        </w:rPr>
        <w:t>20</w:t>
      </w:r>
      <w:r>
        <w:rPr>
          <w:rFonts w:hint="eastAsia" w:ascii="仿宋" w:hAnsi="仿宋" w:eastAsia="仿宋" w:cs="仿宋"/>
          <w:b/>
          <w:sz w:val="30"/>
          <w:szCs w:val="30"/>
          <w:lang w:val="en-US" w:eastAsia="zh-CN"/>
        </w:rPr>
        <w:t>24</w:t>
      </w:r>
      <w:r>
        <w:rPr>
          <w:rFonts w:hint="eastAsia" w:ascii="仿宋" w:hAnsi="仿宋" w:eastAsia="仿宋" w:cs="仿宋"/>
          <w:b/>
          <w:sz w:val="30"/>
          <w:szCs w:val="30"/>
        </w:rPr>
        <w:t xml:space="preserve">年 </w:t>
      </w:r>
      <w:r>
        <w:rPr>
          <w:rFonts w:hint="eastAsia" w:ascii="仿宋" w:hAnsi="仿宋" w:eastAsia="仿宋" w:cs="仿宋"/>
          <w:b/>
          <w:sz w:val="30"/>
          <w:szCs w:val="30"/>
          <w:lang w:val="en-US" w:eastAsia="zh-CN"/>
        </w:rPr>
        <w:t>12</w:t>
      </w:r>
      <w:r>
        <w:rPr>
          <w:rFonts w:hint="eastAsia" w:ascii="仿宋" w:hAnsi="仿宋" w:eastAsia="仿宋" w:cs="仿宋"/>
          <w:b/>
          <w:sz w:val="30"/>
          <w:szCs w:val="30"/>
        </w:rPr>
        <w:t>月</w:t>
      </w:r>
      <w:r>
        <w:rPr>
          <w:rFonts w:hint="eastAsia" w:ascii="仿宋" w:hAnsi="仿宋" w:eastAsia="仿宋" w:cs="仿宋"/>
          <w:b/>
          <w:sz w:val="30"/>
          <w:szCs w:val="30"/>
          <w:lang w:val="en-US" w:eastAsia="zh-CN"/>
        </w:rPr>
        <w:t>06</w:t>
      </w:r>
      <w:r>
        <w:rPr>
          <w:rFonts w:hint="eastAsia" w:ascii="仿宋" w:hAnsi="仿宋" w:eastAsia="仿宋" w:cs="仿宋"/>
          <w:b/>
          <w:sz w:val="30"/>
          <w:szCs w:val="30"/>
        </w:rPr>
        <w:t>日</w:t>
      </w:r>
    </w:p>
    <w:p>
      <w:pPr>
        <w:spacing w:line="360" w:lineRule="auto"/>
        <w:ind w:firstLine="3791" w:firstLineChars="1049"/>
        <w:rPr>
          <w:rFonts w:ascii="宋体"/>
          <w:b/>
          <w:sz w:val="36"/>
          <w:szCs w:val="36"/>
        </w:rPr>
      </w:pPr>
    </w:p>
    <w:p>
      <w:pPr>
        <w:spacing w:line="360" w:lineRule="auto"/>
        <w:ind w:firstLine="3791" w:firstLineChars="1049"/>
        <w:rPr>
          <w:rFonts w:ascii="宋体"/>
          <w:b/>
          <w:sz w:val="36"/>
          <w:szCs w:val="36"/>
        </w:rPr>
      </w:pPr>
    </w:p>
    <w:p>
      <w:pPr>
        <w:spacing w:line="360" w:lineRule="auto"/>
        <w:ind w:firstLine="3791" w:firstLineChars="1049"/>
        <w:rPr>
          <w:rFonts w:ascii="宋体"/>
          <w:b/>
          <w:sz w:val="36"/>
          <w:szCs w:val="36"/>
        </w:rPr>
      </w:pPr>
    </w:p>
    <w:p>
      <w:pPr>
        <w:spacing w:line="360" w:lineRule="auto"/>
        <w:ind w:firstLine="4514" w:firstLineChars="1249"/>
        <w:rPr>
          <w:rFonts w:ascii="宋体"/>
          <w:b/>
          <w:sz w:val="36"/>
          <w:szCs w:val="36"/>
        </w:rPr>
      </w:pPr>
      <w:r>
        <w:rPr>
          <w:rFonts w:hint="eastAsia" w:ascii="宋体" w:hAnsi="宋体"/>
          <w:b/>
          <w:sz w:val="36"/>
          <w:szCs w:val="36"/>
        </w:rPr>
        <w:t>目</w:t>
      </w:r>
      <w:r>
        <w:rPr>
          <w:rFonts w:ascii="宋体" w:hAnsi="宋体"/>
          <w:b/>
          <w:sz w:val="36"/>
          <w:szCs w:val="36"/>
        </w:rPr>
        <w:t xml:space="preserve">    </w:t>
      </w:r>
      <w:r>
        <w:rPr>
          <w:rFonts w:hint="eastAsia" w:ascii="宋体" w:hAnsi="宋体"/>
          <w:b/>
          <w:sz w:val="36"/>
          <w:szCs w:val="36"/>
        </w:rPr>
        <w:t>录</w:t>
      </w:r>
    </w:p>
    <w:p>
      <w:pPr>
        <w:spacing w:line="360" w:lineRule="auto"/>
        <w:ind w:firstLine="3791" w:firstLineChars="1049"/>
        <w:rPr>
          <w:rFonts w:ascii="宋体"/>
          <w:b/>
          <w:sz w:val="36"/>
          <w:szCs w:val="36"/>
        </w:rPr>
      </w:pPr>
    </w:p>
    <w:p>
      <w:pPr>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附件一</w:t>
      </w:r>
      <w:r>
        <w:rPr>
          <w:rFonts w:ascii="宋体" w:hAnsi="宋体"/>
          <w:b/>
          <w:sz w:val="28"/>
          <w:szCs w:val="28"/>
        </w:rPr>
        <w:t xml:space="preserve">    </w:t>
      </w:r>
      <w:r>
        <w:rPr>
          <w:rFonts w:hint="eastAsia" w:ascii="宋体" w:hAnsi="宋体"/>
          <w:b/>
          <w:sz w:val="28"/>
          <w:szCs w:val="28"/>
        </w:rPr>
        <w:t>总则</w:t>
      </w:r>
    </w:p>
    <w:p>
      <w:pPr>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附件二</w:t>
      </w:r>
      <w:r>
        <w:rPr>
          <w:rFonts w:ascii="宋体" w:hAnsi="宋体"/>
          <w:b/>
          <w:sz w:val="28"/>
          <w:szCs w:val="28"/>
        </w:rPr>
        <w:t xml:space="preserve">    </w:t>
      </w:r>
      <w:r>
        <w:rPr>
          <w:rFonts w:hint="eastAsia" w:ascii="宋体" w:hAnsi="宋体"/>
          <w:b/>
          <w:sz w:val="28"/>
          <w:szCs w:val="28"/>
        </w:rPr>
        <w:t>制造要求</w:t>
      </w:r>
    </w:p>
    <w:p>
      <w:pPr>
        <w:spacing w:before="100" w:beforeAutospacing="1" w:after="100" w:afterAutospacing="1" w:line="480" w:lineRule="auto"/>
        <w:ind w:firstLine="2458" w:firstLineChars="900"/>
        <w:rPr>
          <w:rFonts w:hint="eastAsia" w:ascii="宋体" w:eastAsia="宋体"/>
          <w:b/>
          <w:spacing w:val="-4"/>
          <w:kern w:val="28"/>
          <w:sz w:val="28"/>
          <w:szCs w:val="28"/>
          <w:lang w:val="en-US" w:eastAsia="zh-CN"/>
        </w:rPr>
      </w:pPr>
      <w:r>
        <w:rPr>
          <w:rFonts w:hint="eastAsia" w:ascii="宋体" w:hAnsi="宋体"/>
          <w:b/>
          <w:spacing w:val="-4"/>
          <w:kern w:val="28"/>
          <w:sz w:val="28"/>
          <w:szCs w:val="28"/>
        </w:rPr>
        <w:t>附件三</w:t>
      </w:r>
      <w:r>
        <w:rPr>
          <w:rFonts w:ascii="宋体" w:hAnsi="宋体"/>
          <w:b/>
          <w:spacing w:val="-4"/>
          <w:kern w:val="28"/>
          <w:sz w:val="28"/>
          <w:szCs w:val="28"/>
        </w:rPr>
        <w:t xml:space="preserve">    </w:t>
      </w:r>
      <w:r>
        <w:rPr>
          <w:rFonts w:hint="eastAsia" w:ascii="宋体" w:hAnsi="宋体"/>
          <w:b/>
          <w:spacing w:val="-4"/>
          <w:kern w:val="28"/>
          <w:sz w:val="28"/>
          <w:szCs w:val="28"/>
          <w:lang w:eastAsia="zh-CN"/>
        </w:rPr>
        <w:t>安装与接线</w:t>
      </w:r>
    </w:p>
    <w:p>
      <w:pPr>
        <w:tabs>
          <w:tab w:val="left" w:pos="0"/>
          <w:tab w:val="left" w:pos="900"/>
          <w:tab w:val="left" w:pos="1080"/>
        </w:tabs>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附件四</w:t>
      </w:r>
      <w:r>
        <w:rPr>
          <w:rFonts w:ascii="宋体" w:hAnsi="宋体"/>
          <w:b/>
          <w:sz w:val="28"/>
          <w:szCs w:val="28"/>
        </w:rPr>
        <w:t xml:space="preserve">    </w:t>
      </w:r>
      <w:r>
        <w:rPr>
          <w:rFonts w:hint="eastAsia" w:ascii="宋体" w:hAnsi="宋体"/>
          <w:b/>
          <w:sz w:val="28"/>
          <w:szCs w:val="28"/>
        </w:rPr>
        <w:t>提供资料</w:t>
      </w:r>
    </w:p>
    <w:p>
      <w:pPr>
        <w:tabs>
          <w:tab w:val="left" w:pos="0"/>
          <w:tab w:val="left" w:pos="900"/>
          <w:tab w:val="left" w:pos="1080"/>
        </w:tabs>
        <w:spacing w:before="100" w:beforeAutospacing="1" w:after="100" w:afterAutospacing="1" w:line="480" w:lineRule="auto"/>
        <w:ind w:firstLine="2530" w:firstLineChars="900"/>
        <w:rPr>
          <w:rFonts w:hint="eastAsia" w:ascii="宋体" w:hAnsi="宋体" w:eastAsia="宋体"/>
          <w:b/>
          <w:sz w:val="28"/>
          <w:szCs w:val="28"/>
          <w:lang w:eastAsia="zh-CN"/>
        </w:rPr>
      </w:pPr>
      <w:r>
        <w:rPr>
          <w:rFonts w:hint="eastAsia" w:ascii="宋体" w:hAnsi="宋体"/>
          <w:b/>
          <w:sz w:val="28"/>
          <w:szCs w:val="28"/>
        </w:rPr>
        <w:t>附件</w:t>
      </w:r>
      <w:r>
        <w:rPr>
          <w:rFonts w:hint="eastAsia" w:ascii="宋体" w:hAnsi="宋体"/>
          <w:b/>
          <w:sz w:val="28"/>
          <w:szCs w:val="28"/>
          <w:lang w:eastAsia="zh-CN"/>
        </w:rPr>
        <w:t>五</w:t>
      </w:r>
      <w:r>
        <w:rPr>
          <w:rFonts w:ascii="宋体" w:hAnsi="宋体"/>
          <w:b/>
          <w:sz w:val="28"/>
          <w:szCs w:val="28"/>
        </w:rPr>
        <w:t xml:space="preserve">   </w:t>
      </w:r>
      <w:r>
        <w:rPr>
          <w:rFonts w:hint="eastAsia" w:ascii="宋体" w:hAnsi="宋体"/>
          <w:b/>
          <w:sz w:val="28"/>
          <w:szCs w:val="28"/>
          <w:lang w:val="en-US" w:eastAsia="zh-CN"/>
        </w:rPr>
        <w:t xml:space="preserve"> </w:t>
      </w:r>
      <w:r>
        <w:rPr>
          <w:rFonts w:hint="eastAsia" w:ascii="宋体" w:hAnsi="宋体"/>
          <w:b/>
          <w:sz w:val="28"/>
          <w:szCs w:val="28"/>
          <w:lang w:eastAsia="zh-CN"/>
        </w:rPr>
        <w:t>售后服务</w:t>
      </w:r>
    </w:p>
    <w:p>
      <w:pPr>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w:t>
      </w:r>
      <w:r>
        <w:rPr>
          <w:rFonts w:hint="eastAsia" w:ascii="宋体" w:hAnsi="宋体"/>
          <w:b/>
          <w:sz w:val="28"/>
          <w:szCs w:val="28"/>
          <w:lang w:eastAsia="zh-CN"/>
        </w:rPr>
        <w:t>六</w:t>
      </w:r>
      <w:r>
        <w:rPr>
          <w:rFonts w:ascii="宋体" w:hAnsi="宋体"/>
          <w:b/>
          <w:sz w:val="28"/>
          <w:szCs w:val="28"/>
        </w:rPr>
        <w:t xml:space="preserve">    </w:t>
      </w:r>
      <w:r>
        <w:rPr>
          <w:rFonts w:hint="eastAsia" w:ascii="宋体" w:hAnsi="宋体"/>
          <w:b/>
          <w:sz w:val="28"/>
          <w:szCs w:val="28"/>
        </w:rPr>
        <w:t>交货时间及地点</w:t>
      </w:r>
    </w:p>
    <w:p>
      <w:pPr>
        <w:tabs>
          <w:tab w:val="left" w:pos="0"/>
          <w:tab w:val="left" w:pos="720"/>
          <w:tab w:val="left" w:pos="900"/>
          <w:tab w:val="left" w:pos="1080"/>
        </w:tabs>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w:t>
      </w:r>
      <w:r>
        <w:rPr>
          <w:rFonts w:hint="eastAsia" w:ascii="宋体" w:hAnsi="宋体"/>
          <w:b/>
          <w:sz w:val="28"/>
          <w:szCs w:val="28"/>
          <w:lang w:eastAsia="zh-CN"/>
        </w:rPr>
        <w:t>七</w:t>
      </w:r>
      <w:r>
        <w:rPr>
          <w:rFonts w:ascii="宋体" w:hAnsi="宋体"/>
          <w:b/>
          <w:sz w:val="28"/>
          <w:szCs w:val="28"/>
        </w:rPr>
        <w:t xml:space="preserve">    </w:t>
      </w:r>
      <w:r>
        <w:rPr>
          <w:rFonts w:hint="eastAsia" w:ascii="宋体" w:hAnsi="宋体"/>
          <w:b/>
          <w:sz w:val="28"/>
          <w:szCs w:val="28"/>
        </w:rPr>
        <w:t>其它</w:t>
      </w:r>
    </w:p>
    <w:p>
      <w:pPr>
        <w:pStyle w:val="2"/>
        <w:rPr>
          <w:rFonts w:hint="eastAsia" w:ascii="宋体" w:hAnsi="宋体"/>
          <w:b/>
          <w:sz w:val="28"/>
          <w:szCs w:val="28"/>
        </w:rPr>
      </w:pPr>
    </w:p>
    <w:p>
      <w:pPr>
        <w:pStyle w:val="3"/>
      </w:pPr>
    </w:p>
    <w:p>
      <w:pPr>
        <w:snapToGrid w:val="0"/>
        <w:spacing w:before="100" w:beforeAutospacing="1" w:after="100" w:afterAutospacing="1" w:line="360" w:lineRule="auto"/>
        <w:ind w:right="-447"/>
        <w:rPr>
          <w:rFonts w:ascii="宋体"/>
          <w:b/>
          <w:sz w:val="32"/>
          <w:szCs w:val="32"/>
        </w:rPr>
      </w:pPr>
    </w:p>
    <w:p/>
    <w:p/>
    <w:p/>
    <w:p/>
    <w:p/>
    <w:p>
      <w:pPr>
        <w:pStyle w:val="2"/>
      </w:pPr>
    </w:p>
    <w:p>
      <w:pPr>
        <w:pStyle w:val="3"/>
      </w:pPr>
    </w:p>
    <w:p/>
    <w:p/>
    <w:p/>
    <w:p/>
    <w:p/>
    <w:p/>
    <w:p>
      <w:pPr>
        <w:autoSpaceDE w:val="0"/>
        <w:autoSpaceDN w:val="0"/>
        <w:spacing w:line="360" w:lineRule="auto"/>
        <w:ind w:firstLine="420" w:firstLineChars="200"/>
        <w:jc w:val="left"/>
        <w:rPr>
          <w:rFonts w:ascii="宋体"/>
          <w:b/>
          <w:sz w:val="21"/>
          <w:szCs w:val="21"/>
        </w:rPr>
      </w:pPr>
      <w:r>
        <w:rPr>
          <w:rFonts w:hint="eastAsia" w:ascii="宋体" w:hAnsi="宋体"/>
          <w:sz w:val="21"/>
          <w:szCs w:val="21"/>
        </w:rPr>
        <w:t>甘肃酒钢集团宏兴钢铁股份有限公司</w:t>
      </w:r>
      <w:r>
        <w:rPr>
          <w:rFonts w:hint="eastAsia" w:ascii="宋体" w:hAnsi="宋体" w:eastAsia="宋体"/>
          <w:sz w:val="21"/>
          <w:szCs w:val="21"/>
          <w:lang w:eastAsia="zh-CN"/>
        </w:rPr>
        <w:t>炼铁厂</w:t>
      </w:r>
      <w:r>
        <w:rPr>
          <w:rFonts w:hint="eastAsia" w:ascii="宋体" w:hAnsi="宋体"/>
          <w:sz w:val="21"/>
          <w:szCs w:val="21"/>
        </w:rPr>
        <w:t>（以下称甲方）与</w:t>
      </w:r>
      <w:r>
        <w:rPr>
          <w:rFonts w:ascii="宋体" w:hAnsi="宋体"/>
          <w:szCs w:val="21"/>
          <w:u w:val="single"/>
        </w:rPr>
        <w:t xml:space="preserve">                     </w:t>
      </w:r>
      <w:r>
        <w:rPr>
          <w:rFonts w:hint="eastAsia" w:ascii="宋体" w:hAnsi="宋体"/>
          <w:sz w:val="21"/>
          <w:szCs w:val="21"/>
        </w:rPr>
        <w:t>（以下称乙方）就甲</w:t>
      </w:r>
      <w:r>
        <w:rPr>
          <w:rFonts w:hint="eastAsia" w:ascii="宋体" w:hAnsi="宋体" w:eastAsia="宋体" w:cs="Times New Roman"/>
          <w:sz w:val="21"/>
          <w:szCs w:val="21"/>
        </w:rPr>
        <w:t>方</w:t>
      </w:r>
      <w:r>
        <w:rPr>
          <w:rFonts w:hint="eastAsia" w:ascii="宋体" w:hAnsi="宋体" w:eastAsia="宋体" w:cs="Times New Roman"/>
          <w:sz w:val="21"/>
          <w:szCs w:val="21"/>
          <w:lang w:val="zh-CN" w:eastAsia="zh-CN"/>
        </w:rPr>
        <w:t>变频器\EC570-4DXX-032A 15kW AC380V 32A</w:t>
      </w:r>
      <w:r>
        <w:rPr>
          <w:rFonts w:hint="eastAsia" w:ascii="宋体" w:hAnsi="宋体"/>
          <w:sz w:val="21"/>
          <w:szCs w:val="21"/>
        </w:rPr>
        <w:t>采购经双方协商，达成如下技术协议：</w:t>
      </w:r>
    </w:p>
    <w:p>
      <w:pPr>
        <w:spacing w:line="360" w:lineRule="auto"/>
        <w:rPr>
          <w:rFonts w:ascii="宋体"/>
          <w:b/>
          <w:sz w:val="21"/>
          <w:szCs w:val="21"/>
        </w:rPr>
      </w:pPr>
      <w:r>
        <w:rPr>
          <w:rFonts w:hint="eastAsia" w:ascii="宋体" w:hAnsi="宋体"/>
          <w:b/>
          <w:sz w:val="21"/>
          <w:szCs w:val="21"/>
        </w:rPr>
        <w:t>附件一</w:t>
      </w:r>
      <w:r>
        <w:rPr>
          <w:rFonts w:ascii="宋体" w:hAnsi="宋体"/>
          <w:b/>
          <w:sz w:val="21"/>
          <w:szCs w:val="21"/>
        </w:rPr>
        <w:t xml:space="preserve">  </w:t>
      </w:r>
      <w:r>
        <w:rPr>
          <w:rFonts w:hint="eastAsia" w:ascii="宋体" w:hAnsi="宋体"/>
          <w:b/>
          <w:sz w:val="21"/>
          <w:szCs w:val="21"/>
        </w:rPr>
        <w:t>总则</w:t>
      </w:r>
    </w:p>
    <w:p>
      <w:pPr>
        <w:keepNext w:val="0"/>
        <w:keepLines w:val="0"/>
        <w:pageBreakBefore w:val="0"/>
        <w:widowControl/>
        <w:tabs>
          <w:tab w:val="left" w:pos="1080"/>
        </w:tabs>
        <w:kinsoku/>
        <w:wordWrap/>
        <w:overflowPunct/>
        <w:topLinePunct w:val="0"/>
        <w:autoSpaceDE/>
        <w:autoSpaceDN/>
        <w:bidi w:val="0"/>
        <w:adjustRightInd/>
        <w:snapToGrid/>
        <w:spacing w:line="240" w:lineRule="auto"/>
        <w:ind w:firstLine="525" w:firstLineChars="250"/>
        <w:textAlignment w:val="auto"/>
        <w:rPr>
          <w:rFonts w:ascii="宋体"/>
          <w:sz w:val="21"/>
          <w:szCs w:val="21"/>
        </w:rPr>
      </w:pPr>
      <w:r>
        <w:rPr>
          <w:rFonts w:hint="eastAsia" w:ascii="宋体" w:hAnsi="宋体"/>
          <w:sz w:val="21"/>
          <w:szCs w:val="21"/>
        </w:rPr>
        <w:t>本技术协议作为甲方设备订货合同的附件，与订货合同同时生效，具有同等法律效力。合同执行期间双方再协商形成的补充协议和追加条款也具有同等法律效力。</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本技术协议所提出的是最低标准的技术要求，并未对一切技术细节做出规定，也未充分引述有关标准和规范的条文，乙方应保证提供符合有关标准和技术文件的优质产品。</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乙方提供的设备必须具有国内同行业近几年内的先进制造水平，采用先进工艺，合格材料，成熟的技术或专利技术。</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乙方提供的设备必须是全新、规范、先进的高质量可靠产品，能够确保连续稳定的工作。</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乙方提供货物的制造，材料的选择，都应按照国内外通用的现行标准和相应的技术规范执行，而这些标准和技术规范应为合同签字日为止最新公布发问的标准和技术规范。</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乙方须对设备设计的完整性、合理性和设计质量承担全部责任。保证设备满足系统工艺要求。</w:t>
      </w:r>
    </w:p>
    <w:p>
      <w:pPr>
        <w:keepNext w:val="0"/>
        <w:keepLines w:val="0"/>
        <w:pageBreakBefore w:val="0"/>
        <w:widowControl/>
        <w:numPr>
          <w:ilvl w:val="0"/>
          <w:numId w:val="0"/>
        </w:numPr>
        <w:tabs>
          <w:tab w:val="left" w:pos="360"/>
        </w:tabs>
        <w:kinsoku/>
        <w:wordWrap/>
        <w:overflowPunct/>
        <w:topLinePunct w:val="0"/>
        <w:autoSpaceDE/>
        <w:autoSpaceDN/>
        <w:bidi w:val="0"/>
        <w:adjustRightInd/>
        <w:snapToGrid/>
        <w:spacing w:line="240" w:lineRule="auto"/>
        <w:ind w:left="0" w:leftChars="0" w:firstLine="478" w:firstLineChars="228"/>
        <w:jc w:val="both"/>
        <w:textAlignment w:val="auto"/>
        <w:rPr>
          <w:rFonts w:hint="eastAsia" w:ascii="宋体" w:hAnsi="宋体"/>
          <w:sz w:val="21"/>
          <w:szCs w:val="21"/>
        </w:rPr>
      </w:pPr>
      <w:r>
        <w:rPr>
          <w:rFonts w:hint="eastAsia" w:ascii="宋体" w:hAnsi="宋体"/>
          <w:sz w:val="21"/>
          <w:szCs w:val="21"/>
          <w:lang w:val="en-US" w:eastAsia="zh-CN"/>
        </w:rPr>
        <w:t xml:space="preserve">1.6   </w:t>
      </w:r>
      <w:r>
        <w:rPr>
          <w:rFonts w:hint="eastAsia" w:ascii="宋体" w:hAnsi="宋体"/>
          <w:sz w:val="21"/>
          <w:szCs w:val="21"/>
        </w:rPr>
        <w:t>乙方在合同货物制造中，发生侵犯专利的行为时其侵权责任与甲方无关。</w:t>
      </w:r>
    </w:p>
    <w:p>
      <w:pPr>
        <w:pStyle w:val="2"/>
      </w:pPr>
      <w:r>
        <w:rPr>
          <w:rFonts w:hint="eastAsia" w:ascii="仿宋" w:hAnsi="仿宋" w:eastAsia="仿宋" w:cs="仿宋"/>
          <w:b/>
          <w:color w:val="0000FF"/>
          <w:sz w:val="21"/>
          <w:szCs w:val="21"/>
          <w:highlight w:val="yellow"/>
          <w:lang w:val="en-US" w:eastAsia="zh-CN"/>
        </w:rPr>
        <w:t>乙方在投标前，必须与甲方充分技术交流后并签订标签技术协议，方可参标。</w:t>
      </w:r>
    </w:p>
    <w:p>
      <w:pPr>
        <w:spacing w:line="360" w:lineRule="auto"/>
        <w:rPr>
          <w:rFonts w:ascii="宋体"/>
          <w:b/>
          <w:sz w:val="21"/>
          <w:szCs w:val="21"/>
        </w:rPr>
      </w:pPr>
      <w:r>
        <w:rPr>
          <w:rFonts w:hint="eastAsia" w:ascii="宋体" w:hAnsi="宋体"/>
          <w:b/>
          <w:sz w:val="21"/>
          <w:szCs w:val="21"/>
        </w:rPr>
        <w:t>附件二</w:t>
      </w:r>
      <w:r>
        <w:rPr>
          <w:rFonts w:ascii="宋体" w:hAnsi="宋体"/>
          <w:b/>
          <w:sz w:val="21"/>
          <w:szCs w:val="21"/>
        </w:rPr>
        <w:t xml:space="preserve">    </w:t>
      </w:r>
      <w:r>
        <w:rPr>
          <w:rFonts w:hint="eastAsia" w:ascii="宋体" w:hAnsi="宋体"/>
          <w:b/>
          <w:sz w:val="21"/>
          <w:szCs w:val="21"/>
        </w:rPr>
        <w:t>制造要求</w:t>
      </w:r>
    </w:p>
    <w:p>
      <w:pPr>
        <w:widowControl w:val="0"/>
        <w:spacing w:line="360" w:lineRule="auto"/>
        <w:ind w:firstLine="422" w:firstLineChars="200"/>
        <w:jc w:val="both"/>
        <w:rPr>
          <w:rFonts w:ascii="宋体"/>
          <w:b/>
          <w:sz w:val="21"/>
          <w:szCs w:val="21"/>
        </w:rPr>
      </w:pPr>
      <w:r>
        <w:rPr>
          <w:rFonts w:hint="eastAsia" w:ascii="宋体" w:hAnsi="宋体"/>
          <w:b/>
          <w:kern w:val="2"/>
          <w:sz w:val="21"/>
          <w:szCs w:val="21"/>
        </w:rPr>
        <w:t>设备主要性能参数及设备描述：</w:t>
      </w:r>
    </w:p>
    <w:tbl>
      <w:tblPr>
        <w:tblStyle w:val="19"/>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864"/>
        <w:gridCol w:w="535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03"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kern w:val="2"/>
                <w:sz w:val="21"/>
                <w:szCs w:val="21"/>
              </w:rPr>
            </w:pPr>
            <w:r>
              <w:rPr>
                <w:rFonts w:hint="eastAsia" w:ascii="宋体" w:hAnsi="宋体"/>
                <w:kern w:val="2"/>
                <w:sz w:val="21"/>
                <w:szCs w:val="21"/>
              </w:rPr>
              <w:t>技术指标</w:t>
            </w:r>
          </w:p>
        </w:tc>
        <w:tc>
          <w:tcPr>
            <w:tcW w:w="5355" w:type="dxa"/>
            <w:noWrap w:val="0"/>
            <w:vAlign w:val="bottom"/>
          </w:tcPr>
          <w:p>
            <w:pPr>
              <w:widowControl w:val="0"/>
              <w:spacing w:line="360" w:lineRule="auto"/>
              <w:ind w:firstLine="420" w:firstLineChars="200"/>
              <w:jc w:val="center"/>
              <w:rPr>
                <w:rFonts w:hint="eastAsia" w:ascii="宋体" w:hAnsi="宋体"/>
                <w:kern w:val="2"/>
                <w:sz w:val="21"/>
                <w:szCs w:val="21"/>
              </w:rPr>
            </w:pPr>
            <w:r>
              <w:rPr>
                <w:rFonts w:hint="eastAsia" w:ascii="宋体" w:hAnsi="宋体"/>
                <w:kern w:val="2"/>
                <w:sz w:val="21"/>
                <w:szCs w:val="21"/>
              </w:rPr>
              <w:t>参数</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41"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kern w:val="2"/>
                <w:sz w:val="21"/>
                <w:szCs w:val="21"/>
                <w:lang w:eastAsia="zh-CN"/>
              </w:rPr>
            </w:pPr>
            <w:r>
              <w:rPr>
                <w:rFonts w:hint="eastAsia" w:ascii="宋体" w:hAnsi="宋体"/>
                <w:kern w:val="2"/>
                <w:sz w:val="21"/>
                <w:szCs w:val="21"/>
              </w:rPr>
              <w:t>◆</w:t>
            </w:r>
            <w:r>
              <w:rPr>
                <w:rFonts w:hint="eastAsia" w:ascii="宋体" w:hAnsi="宋体"/>
                <w:kern w:val="2"/>
                <w:sz w:val="21"/>
                <w:szCs w:val="21"/>
                <w:lang w:eastAsia="zh-CN"/>
              </w:rPr>
              <w:t>名称</w:t>
            </w:r>
          </w:p>
        </w:tc>
        <w:tc>
          <w:tcPr>
            <w:tcW w:w="5355" w:type="dxa"/>
            <w:noWrap w:val="0"/>
            <w:vAlign w:val="bottom"/>
          </w:tcPr>
          <w:p>
            <w:pPr>
              <w:widowControl w:val="0"/>
              <w:spacing w:line="360" w:lineRule="auto"/>
              <w:jc w:val="center"/>
              <w:rPr>
                <w:rFonts w:hint="default" w:ascii="宋体" w:hAnsi="宋体"/>
                <w:kern w:val="2"/>
                <w:sz w:val="21"/>
                <w:szCs w:val="21"/>
                <w:lang w:val="en-US" w:eastAsia="zh-CN"/>
              </w:rPr>
            </w:pPr>
            <w:r>
              <w:rPr>
                <w:rFonts w:hint="eastAsia" w:ascii="宋体" w:hAnsi="宋体"/>
                <w:kern w:val="2"/>
                <w:sz w:val="21"/>
                <w:szCs w:val="21"/>
                <w:lang w:val="en-US" w:eastAsia="zh-CN"/>
              </w:rPr>
              <w:t>E-CONVERT中冶南方变频器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76"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kern w:val="2"/>
                <w:sz w:val="21"/>
                <w:szCs w:val="21"/>
                <w:lang w:eastAsia="zh-CN"/>
              </w:rPr>
            </w:pPr>
            <w:r>
              <w:rPr>
                <w:rFonts w:hint="eastAsia" w:ascii="宋体" w:hAnsi="宋体"/>
                <w:kern w:val="2"/>
                <w:sz w:val="21"/>
                <w:szCs w:val="21"/>
              </w:rPr>
              <w:t>◆规格型号</w:t>
            </w:r>
          </w:p>
        </w:tc>
        <w:tc>
          <w:tcPr>
            <w:tcW w:w="5355" w:type="dxa"/>
            <w:noWrap w:val="0"/>
            <w:vAlign w:val="center"/>
          </w:tcPr>
          <w:p>
            <w:pPr>
              <w:widowControl w:val="0"/>
              <w:spacing w:line="360" w:lineRule="auto"/>
              <w:jc w:val="center"/>
              <w:rPr>
                <w:rFonts w:hint="eastAsia" w:ascii="宋体" w:hAnsi="宋体"/>
                <w:kern w:val="2"/>
                <w:sz w:val="21"/>
                <w:szCs w:val="21"/>
                <w:lang w:eastAsia="zh-CN"/>
              </w:rPr>
            </w:pPr>
            <w:r>
              <w:rPr>
                <w:rFonts w:hint="default" w:ascii="宋体" w:hAnsi="宋体"/>
                <w:kern w:val="2"/>
                <w:sz w:val="21"/>
                <w:szCs w:val="21"/>
                <w:lang w:val="en-US" w:eastAsia="zh-CN"/>
              </w:rPr>
              <w:t>EC570-4</w:t>
            </w:r>
            <w:r>
              <w:rPr>
                <w:rFonts w:hint="eastAsia" w:ascii="宋体" w:hAnsi="宋体"/>
                <w:kern w:val="2"/>
                <w:sz w:val="21"/>
                <w:szCs w:val="21"/>
                <w:lang w:val="en-US" w:eastAsia="zh-CN"/>
              </w:rPr>
              <w:t>D</w:t>
            </w:r>
            <w:r>
              <w:rPr>
                <w:rFonts w:hint="default" w:ascii="宋体" w:hAnsi="宋体"/>
                <w:kern w:val="2"/>
                <w:sz w:val="21"/>
                <w:szCs w:val="21"/>
                <w:lang w:val="en-US" w:eastAsia="zh-CN"/>
              </w:rPr>
              <w:t>XX-03</w:t>
            </w:r>
            <w:r>
              <w:rPr>
                <w:rFonts w:hint="eastAsia" w:ascii="宋体" w:hAnsi="宋体"/>
                <w:kern w:val="2"/>
                <w:sz w:val="21"/>
                <w:szCs w:val="21"/>
                <w:lang w:val="en-US" w:eastAsia="zh-CN"/>
              </w:rPr>
              <w:t>2</w:t>
            </w:r>
            <w:r>
              <w:rPr>
                <w:rFonts w:hint="default" w:ascii="宋体" w:hAnsi="宋体"/>
                <w:kern w:val="2"/>
                <w:sz w:val="21"/>
                <w:szCs w:val="21"/>
                <w:lang w:val="en-US" w:eastAsia="zh-CN"/>
              </w:rPr>
              <w:t>A</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76"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输入电压</w:t>
            </w:r>
          </w:p>
        </w:tc>
        <w:tc>
          <w:tcPr>
            <w:tcW w:w="5355" w:type="dxa"/>
            <w:noWrap w:val="0"/>
            <w:vAlign w:val="bottom"/>
          </w:tcPr>
          <w:p>
            <w:pPr>
              <w:widowControl w:val="0"/>
              <w:spacing w:line="360" w:lineRule="auto"/>
              <w:jc w:val="center"/>
              <w:rPr>
                <w:rFonts w:hint="default" w:ascii="宋体" w:hAnsi="宋体"/>
                <w:kern w:val="2"/>
                <w:sz w:val="21"/>
                <w:szCs w:val="21"/>
                <w:lang w:val="en-US" w:eastAsia="zh-CN"/>
              </w:rPr>
            </w:pPr>
            <w:r>
              <w:rPr>
                <w:rFonts w:hint="eastAsia" w:ascii="宋体" w:hAnsi="宋体"/>
                <w:kern w:val="2"/>
                <w:sz w:val="21"/>
                <w:szCs w:val="21"/>
                <w:lang w:val="en-US" w:eastAsia="zh-CN"/>
              </w:rPr>
              <w:t>3AC380V(±20%)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41"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频率</w:t>
            </w:r>
          </w:p>
        </w:tc>
        <w:tc>
          <w:tcPr>
            <w:tcW w:w="5355" w:type="dxa"/>
            <w:noWrap w:val="0"/>
            <w:vAlign w:val="bottom"/>
          </w:tcPr>
          <w:p>
            <w:pPr>
              <w:widowControl w:val="0"/>
              <w:spacing w:line="360" w:lineRule="auto"/>
              <w:jc w:val="center"/>
              <w:rPr>
                <w:rFonts w:hint="default" w:ascii="宋体" w:hAnsi="宋体"/>
                <w:kern w:val="2"/>
                <w:sz w:val="21"/>
                <w:szCs w:val="21"/>
                <w:lang w:val="en-US" w:eastAsia="zh-CN"/>
              </w:rPr>
            </w:pPr>
            <w:r>
              <w:rPr>
                <w:rFonts w:hint="eastAsia" w:ascii="宋体" w:hAnsi="宋体"/>
                <w:kern w:val="2"/>
                <w:sz w:val="21"/>
                <w:szCs w:val="21"/>
                <w:lang w:val="en-US" w:eastAsia="zh-CN"/>
              </w:rPr>
              <w:t>50Hz/60Hz，波动范围：±5%</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32" w:hRule="exact"/>
          <w:tblHeader/>
          <w:jc w:val="center"/>
        </w:trPr>
        <w:tc>
          <w:tcPr>
            <w:tcW w:w="2864" w:type="dxa"/>
            <w:noWrap w:val="0"/>
            <w:vAlign w:val="center"/>
          </w:tcPr>
          <w:p>
            <w:pPr>
              <w:widowControl w:val="0"/>
              <w:spacing w:line="360" w:lineRule="auto"/>
              <w:ind w:firstLine="420" w:firstLineChars="200"/>
              <w:jc w:val="left"/>
              <w:rPr>
                <w:rFonts w:hint="default"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输出电压</w:t>
            </w:r>
          </w:p>
        </w:tc>
        <w:tc>
          <w:tcPr>
            <w:tcW w:w="5355" w:type="dxa"/>
            <w:noWrap w:val="0"/>
            <w:vAlign w:val="center"/>
          </w:tcPr>
          <w:p>
            <w:pPr>
              <w:widowControl w:val="0"/>
              <w:numPr>
                <w:ilvl w:val="0"/>
                <w:numId w:val="0"/>
              </w:numPr>
              <w:spacing w:line="360" w:lineRule="auto"/>
              <w:jc w:val="center"/>
              <w:rPr>
                <w:rFonts w:hint="default" w:ascii="宋体" w:eastAsia="宋体" w:cs="Arial"/>
                <w:sz w:val="21"/>
                <w:szCs w:val="21"/>
                <w:highlight w:val="yellow"/>
                <w:lang w:val="en-US" w:eastAsia="zh-CN" w:bidi="ar-SA"/>
              </w:rPr>
            </w:pPr>
            <w:r>
              <w:rPr>
                <w:rFonts w:hint="eastAsia" w:ascii="宋体" w:eastAsia="宋体" w:cs="Arial"/>
                <w:sz w:val="21"/>
                <w:szCs w:val="21"/>
                <w:highlight w:val="none"/>
                <w:lang w:val="en-US" w:eastAsia="zh-CN" w:bidi="ar-SA"/>
              </w:rPr>
              <w:t>3AC 0~Usupply</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12" w:hRule="exact"/>
          <w:tblHeader/>
          <w:jc w:val="center"/>
        </w:trPr>
        <w:tc>
          <w:tcPr>
            <w:tcW w:w="2864" w:type="dxa"/>
            <w:noWrap w:val="0"/>
            <w:vAlign w:val="top"/>
          </w:tcPr>
          <w:p>
            <w:pPr>
              <w:widowControl w:val="0"/>
              <w:spacing w:line="360" w:lineRule="auto"/>
              <w:ind w:firstLine="420" w:firstLineChars="200"/>
              <w:jc w:val="left"/>
              <w:rPr>
                <w:rFonts w:hint="default"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最大输出频率</w:t>
            </w:r>
          </w:p>
        </w:tc>
        <w:tc>
          <w:tcPr>
            <w:tcW w:w="5355" w:type="dxa"/>
            <w:noWrap w:val="0"/>
            <w:vAlign w:val="top"/>
          </w:tcPr>
          <w:p>
            <w:pPr>
              <w:widowControl w:val="0"/>
              <w:spacing w:line="360" w:lineRule="auto"/>
              <w:jc w:val="center"/>
              <w:rPr>
                <w:rFonts w:hint="default" w:ascii="宋体" w:eastAsia="宋体" w:cs="Arial"/>
                <w:sz w:val="21"/>
                <w:szCs w:val="21"/>
                <w:highlight w:val="yellow"/>
                <w:lang w:val="en-US" w:eastAsia="zh-CN" w:bidi="ar-SA"/>
              </w:rPr>
            </w:pPr>
            <w:r>
              <w:rPr>
                <w:rFonts w:hint="eastAsia" w:ascii="宋体" w:eastAsia="宋体" w:cs="Arial"/>
                <w:sz w:val="21"/>
                <w:szCs w:val="21"/>
                <w:highlight w:val="none"/>
                <w:lang w:val="en-US" w:eastAsia="zh-CN" w:bidi="ar-SA"/>
              </w:rPr>
              <w:t>500Hz</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80"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安规</w:t>
            </w:r>
          </w:p>
        </w:tc>
        <w:tc>
          <w:tcPr>
            <w:tcW w:w="5355" w:type="dxa"/>
            <w:noWrap w:val="0"/>
            <w:vAlign w:val="top"/>
          </w:tcPr>
          <w:p>
            <w:pPr>
              <w:widowControl w:val="0"/>
              <w:numPr>
                <w:ilvl w:val="0"/>
                <w:numId w:val="0"/>
              </w:numPr>
              <w:spacing w:line="360" w:lineRule="auto"/>
              <w:jc w:val="center"/>
              <w:rPr>
                <w:rFonts w:hint="default" w:ascii="宋体" w:hAnsi="宋体" w:eastAsia="宋体" w:cs="宋体"/>
                <w:sz w:val="21"/>
                <w:szCs w:val="21"/>
                <w:highlight w:val="yellow"/>
                <w:lang w:val="en-US" w:eastAsia="zh-CN" w:bidi="ar-SA"/>
              </w:rPr>
            </w:pPr>
            <w:r>
              <w:rPr>
                <w:rFonts w:hint="eastAsia" w:ascii="宋体" w:hAnsi="宋体" w:eastAsia="宋体" w:cs="宋体"/>
                <w:sz w:val="21"/>
                <w:szCs w:val="21"/>
                <w:highlight w:val="none"/>
                <w:lang w:val="en-US" w:eastAsia="zh-CN" w:bidi="ar-SA"/>
              </w:rPr>
              <w:t>CE</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2707"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kern w:val="2"/>
                <w:sz w:val="21"/>
                <w:szCs w:val="21"/>
              </w:rPr>
            </w:pPr>
            <w:r>
              <w:rPr>
                <w:rFonts w:hint="eastAsia" w:ascii="宋体" w:hAnsi="宋体"/>
                <w:kern w:val="2"/>
                <w:sz w:val="21"/>
                <w:szCs w:val="21"/>
              </w:rPr>
              <w:t>◆使用环境</w:t>
            </w:r>
          </w:p>
        </w:tc>
        <w:tc>
          <w:tcPr>
            <w:tcW w:w="5355" w:type="dxa"/>
            <w:noWrap w:val="0"/>
            <w:vAlign w:val="top"/>
          </w:tcPr>
          <w:p>
            <w:pPr>
              <w:widowControl w:val="0"/>
              <w:numPr>
                <w:ilvl w:val="0"/>
                <w:numId w:val="0"/>
              </w:numPr>
              <w:spacing w:line="360" w:lineRule="auto"/>
              <w:jc w:val="center"/>
              <w:rPr>
                <w:rFonts w:hint="eastAsia" w:ascii="宋体" w:hAnsi="宋体" w:eastAsia="宋体" w:cs="宋体"/>
                <w:sz w:val="21"/>
                <w:szCs w:val="21"/>
                <w:highlight w:val="none"/>
                <w:lang w:val="en-US" w:eastAsia="zh-CN" w:bidi="ar-SA"/>
              </w:rPr>
            </w:pPr>
            <w:r>
              <w:rPr>
                <w:rFonts w:hint="eastAsia" w:ascii="宋体" w:hAnsi="宋体" w:eastAsia="宋体" w:cs="宋体"/>
                <w:sz w:val="21"/>
                <w:szCs w:val="21"/>
                <w:highlight w:val="none"/>
                <w:lang w:val="en-US" w:eastAsia="zh-CN" w:bidi="ar-SA"/>
              </w:rPr>
              <w:t>运行环境温度：-10℃~+50℃，40℃以上需降额使用，环境温度每升高1℃降额1%</w:t>
            </w:r>
          </w:p>
          <w:p>
            <w:pPr>
              <w:widowControl w:val="0"/>
              <w:numPr>
                <w:ilvl w:val="0"/>
                <w:numId w:val="0"/>
              </w:numPr>
              <w:spacing w:line="360" w:lineRule="auto"/>
              <w:jc w:val="center"/>
              <w:rPr>
                <w:rFonts w:hint="eastAsia" w:ascii="宋体" w:hAnsi="宋体" w:eastAsia="宋体" w:cs="宋体"/>
                <w:sz w:val="21"/>
                <w:szCs w:val="21"/>
                <w:highlight w:val="none"/>
                <w:lang w:val="en-US" w:eastAsia="zh-CN" w:bidi="ar-SA"/>
              </w:rPr>
            </w:pPr>
            <w:r>
              <w:rPr>
                <w:rFonts w:hint="eastAsia" w:ascii="宋体" w:hAnsi="宋体" w:eastAsia="宋体" w:cs="宋体"/>
                <w:sz w:val="21"/>
                <w:szCs w:val="21"/>
                <w:highlight w:val="none"/>
                <w:lang w:val="en-US" w:eastAsia="zh-CN" w:bidi="ar-SA"/>
              </w:rPr>
              <w:t>相对湿度：5%~95%，无凝霜、无凝珠</w:t>
            </w:r>
          </w:p>
          <w:p>
            <w:pPr>
              <w:widowControl w:val="0"/>
              <w:numPr>
                <w:ilvl w:val="0"/>
                <w:numId w:val="0"/>
              </w:numPr>
              <w:spacing w:line="360" w:lineRule="auto"/>
              <w:jc w:val="center"/>
              <w:rPr>
                <w:rFonts w:hint="default"/>
                <w:sz w:val="21"/>
                <w:szCs w:val="21"/>
                <w:lang w:val="en-US" w:eastAsia="zh-CN"/>
              </w:rPr>
            </w:pPr>
            <w:r>
              <w:rPr>
                <w:rFonts w:hint="eastAsia"/>
                <w:sz w:val="21"/>
                <w:szCs w:val="21"/>
                <w:lang w:val="en-US" w:eastAsia="zh-CN"/>
              </w:rPr>
              <w:t>海拔高度：0~3000米，1000米以上需降额使用，海拔每升高100m降额1%</w:t>
            </w:r>
          </w:p>
          <w:p>
            <w:pPr>
              <w:pStyle w:val="2"/>
              <w:rPr>
                <w:rFonts w:hint="default"/>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809"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eastAsia="宋体"/>
                <w:kern w:val="2"/>
                <w:sz w:val="21"/>
                <w:szCs w:val="21"/>
                <w:lang w:eastAsia="zh-CN"/>
              </w:rPr>
            </w:pPr>
            <w:r>
              <w:rPr>
                <w:rFonts w:hint="eastAsia" w:ascii="宋体" w:hAnsi="宋体"/>
                <w:kern w:val="2"/>
                <w:sz w:val="21"/>
                <w:szCs w:val="21"/>
              </w:rPr>
              <w:t>◆</w:t>
            </w:r>
            <w:r>
              <w:rPr>
                <w:rFonts w:hint="eastAsia" w:ascii="宋体" w:hAnsi="宋体" w:eastAsia="宋体"/>
                <w:kern w:val="2"/>
                <w:sz w:val="21"/>
                <w:szCs w:val="21"/>
                <w:lang w:eastAsia="zh-CN"/>
              </w:rPr>
              <w:t>防护等级</w:t>
            </w:r>
          </w:p>
        </w:tc>
        <w:tc>
          <w:tcPr>
            <w:tcW w:w="5355" w:type="dxa"/>
            <w:noWrap w:val="0"/>
            <w:vAlign w:val="top"/>
          </w:tcPr>
          <w:p>
            <w:pPr>
              <w:widowControl w:val="0"/>
              <w:numPr>
                <w:ilvl w:val="0"/>
                <w:numId w:val="0"/>
              </w:numPr>
              <w:spacing w:line="360" w:lineRule="auto"/>
              <w:jc w:val="center"/>
              <w:rPr>
                <w:rFonts w:hint="default" w:ascii="宋体" w:hAnsi="宋体" w:eastAsia="宋体" w:cs="宋体"/>
                <w:sz w:val="21"/>
                <w:szCs w:val="21"/>
                <w:lang w:val="en-US" w:eastAsia="zh-CN" w:bidi="ar-SA"/>
              </w:rPr>
            </w:pPr>
            <w:r>
              <w:rPr>
                <w:rFonts w:hint="eastAsia" w:ascii="宋体" w:hAnsi="宋体" w:eastAsia="宋体" w:cs="宋体"/>
                <w:sz w:val="21"/>
                <w:szCs w:val="21"/>
                <w:lang w:val="en-US" w:eastAsia="zh-CN" w:bidi="ar-SA"/>
              </w:rPr>
              <w:t>IP20</w:t>
            </w:r>
          </w:p>
        </w:tc>
      </w:tr>
    </w:tbl>
    <w:p>
      <w:pPr>
        <w:spacing w:line="360" w:lineRule="auto"/>
        <w:rPr>
          <w:rFonts w:hint="eastAsia" w:ascii="宋体" w:hAnsi="宋体"/>
          <w:b/>
          <w:spacing w:val="-4"/>
          <w:kern w:val="28"/>
          <w:sz w:val="21"/>
          <w:szCs w:val="21"/>
        </w:rPr>
      </w:pPr>
    </w:p>
    <w:p>
      <w:pPr>
        <w:pStyle w:val="3"/>
        <w:rPr>
          <w:rFonts w:hint="eastAsia" w:ascii="宋体" w:hAnsi="宋体"/>
          <w:b/>
          <w:spacing w:val="-4"/>
          <w:kern w:val="28"/>
          <w:sz w:val="21"/>
          <w:szCs w:val="21"/>
        </w:rPr>
      </w:pPr>
    </w:p>
    <w:p>
      <w:pPr>
        <w:pStyle w:val="2"/>
        <w:rPr>
          <w:rFonts w:hint="eastAsia"/>
        </w:rPr>
      </w:pPr>
    </w:p>
    <w:p>
      <w:pPr>
        <w:spacing w:line="360" w:lineRule="auto"/>
        <w:rPr>
          <w:rFonts w:hint="eastAsia" w:ascii="宋体" w:hAnsi="宋体"/>
          <w:b/>
          <w:spacing w:val="-4"/>
          <w:kern w:val="28"/>
          <w:sz w:val="21"/>
          <w:szCs w:val="21"/>
          <w:lang w:eastAsia="zh-CN"/>
        </w:rPr>
      </w:pPr>
      <w:r>
        <w:rPr>
          <w:rFonts w:hint="eastAsia" w:ascii="宋体" w:hAnsi="宋体"/>
          <w:b/>
          <w:spacing w:val="-4"/>
          <w:kern w:val="28"/>
          <w:sz w:val="21"/>
          <w:szCs w:val="21"/>
        </w:rPr>
        <w:t>附件三</w:t>
      </w:r>
      <w:r>
        <w:rPr>
          <w:rFonts w:ascii="宋体" w:hAnsi="宋体"/>
          <w:b/>
          <w:spacing w:val="-4"/>
          <w:kern w:val="28"/>
          <w:sz w:val="21"/>
          <w:szCs w:val="21"/>
        </w:rPr>
        <w:t xml:space="preserve">    </w:t>
      </w:r>
      <w:r>
        <w:rPr>
          <w:rFonts w:hint="eastAsia" w:ascii="宋体" w:hAnsi="宋体"/>
          <w:b/>
          <w:spacing w:val="-4"/>
          <w:kern w:val="28"/>
          <w:sz w:val="21"/>
          <w:szCs w:val="21"/>
          <w:lang w:eastAsia="zh-CN"/>
        </w:rPr>
        <w:t>安装与接线</w:t>
      </w:r>
    </w:p>
    <w:p>
      <w:pPr>
        <w:spacing w:line="360" w:lineRule="auto"/>
        <w:rPr>
          <w:rFonts w:hint="default" w:ascii="宋体" w:hAnsi="宋体" w:eastAsia="宋体" w:cs="Times New Roman"/>
          <w:kern w:val="0"/>
          <w:sz w:val="21"/>
          <w:szCs w:val="21"/>
          <w:lang w:val="en-US" w:eastAsia="zh-CN" w:bidi="ar-SA"/>
        </w:rPr>
      </w:pPr>
      <w:r>
        <w:rPr>
          <w:rFonts w:hint="default" w:ascii="宋体" w:hAnsi="宋体" w:eastAsia="宋体" w:cs="Times New Roman"/>
          <w:kern w:val="0"/>
          <w:sz w:val="21"/>
          <w:szCs w:val="21"/>
          <w:lang w:val="en-US" w:eastAsia="zh-CN" w:bidi="ar-SA"/>
        </w:rPr>
        <w:t>3.1 安装环境与流程</w:t>
      </w:r>
    </w:p>
    <w:p>
      <w:pPr>
        <w:pStyle w:val="2"/>
        <w:rPr>
          <w:rFonts w:hint="default" w:ascii="宋体" w:hAnsi="宋体" w:eastAsia="宋体" w:cs="Times New Roman"/>
          <w:kern w:val="0"/>
          <w:sz w:val="21"/>
          <w:szCs w:val="21"/>
          <w:lang w:val="en-US" w:eastAsia="zh-CN" w:bidi="ar-SA"/>
        </w:rPr>
      </w:pPr>
      <w:r>
        <w:rPr>
          <w:rFonts w:hint="default" w:ascii="宋体" w:hAnsi="宋体" w:eastAsia="宋体" w:cs="Times New Roman"/>
          <w:kern w:val="0"/>
          <w:sz w:val="21"/>
          <w:szCs w:val="21"/>
          <w:lang w:val="en-US" w:eastAsia="zh-CN" w:bidi="ar-SA"/>
        </w:rPr>
        <w:t>3.1.1 变频器在长期存放后的使用</w:t>
      </w:r>
    </w:p>
    <w:p>
      <w:pPr>
        <w:pStyle w:val="2"/>
        <w:ind w:firstLine="630" w:firstLineChars="300"/>
        <w:rPr>
          <w:rFonts w:hint="default" w:ascii="宋体" w:hAnsi="宋体" w:eastAsia="宋体" w:cs="Times New Roman"/>
          <w:kern w:val="0"/>
          <w:sz w:val="21"/>
          <w:szCs w:val="21"/>
          <w:lang w:val="en-US" w:eastAsia="zh-CN" w:bidi="ar-SA"/>
        </w:rPr>
      </w:pPr>
      <w:r>
        <w:rPr>
          <w:rFonts w:hint="default" w:ascii="宋体" w:hAnsi="宋体" w:eastAsia="宋体" w:cs="Times New Roman"/>
          <w:kern w:val="0"/>
          <w:sz w:val="21"/>
          <w:szCs w:val="21"/>
          <w:lang w:val="en-US" w:eastAsia="zh-CN" w:bidi="ar-SA"/>
        </w:rPr>
        <w:t>如果变频器的存放时间超过1年后进行安装，您必须对其中的电容器重新进行处理。</w:t>
      </w:r>
    </w:p>
    <w:p>
      <w:pPr>
        <w:pStyle w:val="3"/>
        <w:jc w:val="center"/>
      </w:pPr>
      <w:r>
        <w:drawing>
          <wp:inline distT="0" distB="0" distL="114300" distR="114300">
            <wp:extent cx="4856480" cy="4872990"/>
            <wp:effectExtent l="0" t="0" r="1270" b="3810"/>
            <wp:docPr id="1"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9"/>
                    <pic:cNvPicPr>
                      <a:picLocks noChangeAspect="1"/>
                    </pic:cNvPicPr>
                  </pic:nvPicPr>
                  <pic:blipFill>
                    <a:blip r:embed="rId5"/>
                    <a:stretch>
                      <a:fillRect/>
                    </a:stretch>
                  </pic:blipFill>
                  <pic:spPr>
                    <a:xfrm>
                      <a:off x="0" y="0"/>
                      <a:ext cx="4856480" cy="4872990"/>
                    </a:xfrm>
                    <a:prstGeom prst="rect">
                      <a:avLst/>
                    </a:prstGeom>
                    <a:noFill/>
                    <a:ln>
                      <a:noFill/>
                    </a:ln>
                  </pic:spPr>
                </pic:pic>
              </a:graphicData>
            </a:graphic>
          </wp:inline>
        </w:drawing>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3.1.2 安装环境</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1)环境温度:周围环境温度对变频器寿命有很大影响，不允许变频器的运行环境温度超过允许温度范围(-10℃-50℃)。</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2)将变频器装于阻燃物体的表面，并用螺丝垂直安装在安装支座上，需参照3.1.3章节要求预留足够空间散热。变频器工作时易产生大量热量。</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3)请安装在不易振动的地方。振动应不大于0.6G。特别注意远离冲床等设备。</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4)避免装于阳光直射、潮湿、有水珠的地方。</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5)避免装于空气中有腐蚀性、易燃性、易爆性气体的场所</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6)避免装在有油污、粉尘的场所。</w:t>
      </w:r>
    </w:p>
    <w:p>
      <w:pPr>
        <w:pStyle w:val="2"/>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3.1.3 安装空间</w:t>
      </w:r>
    </w:p>
    <w:p>
      <w:pPr>
        <w:pStyle w:val="2"/>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为保证变频器能够正常的运行，需要在安装前预留足够的空间以保证正常的散热需求。单机安装，请参照图 3-2、3-3 和表3-1、3-2对变频器四周空间进行预留。</w:t>
      </w:r>
    </w:p>
    <w:p>
      <w:pPr>
        <w:pStyle w:val="2"/>
        <w:jc w:val="center"/>
      </w:pPr>
      <w:r>
        <w:drawing>
          <wp:inline distT="0" distB="0" distL="114300" distR="114300">
            <wp:extent cx="4010025" cy="3580765"/>
            <wp:effectExtent l="0" t="0" r="9525" b="635"/>
            <wp:docPr id="2"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1"/>
                    <pic:cNvPicPr>
                      <a:picLocks noChangeAspect="1"/>
                    </pic:cNvPicPr>
                  </pic:nvPicPr>
                  <pic:blipFill>
                    <a:blip r:embed="rId6"/>
                    <a:stretch>
                      <a:fillRect/>
                    </a:stretch>
                  </pic:blipFill>
                  <pic:spPr>
                    <a:xfrm>
                      <a:off x="0" y="0"/>
                      <a:ext cx="4010025" cy="3580765"/>
                    </a:xfrm>
                    <a:prstGeom prst="rect">
                      <a:avLst/>
                    </a:prstGeom>
                    <a:noFill/>
                    <a:ln>
                      <a:noFill/>
                    </a:ln>
                  </pic:spPr>
                </pic:pic>
              </a:graphicData>
            </a:graphic>
          </wp:inline>
        </w:drawing>
      </w:r>
    </w:p>
    <w:p>
      <w:pPr>
        <w:pStyle w:val="3"/>
        <w:rPr>
          <w:rFonts w:hint="default" w:eastAsia="宋体"/>
          <w:sz w:val="21"/>
          <w:szCs w:val="21"/>
          <w:lang w:val="en-US" w:eastAsia="zh-CN"/>
        </w:rPr>
      </w:pPr>
      <w:r>
        <w:rPr>
          <w:rFonts w:hint="eastAsia"/>
          <w:sz w:val="21"/>
          <w:szCs w:val="21"/>
          <w:lang w:val="en-US" w:eastAsia="zh-CN"/>
        </w:rPr>
        <w:t>3.2安装方法</w:t>
      </w:r>
    </w:p>
    <w:p>
      <w:pPr>
        <w:pStyle w:val="3"/>
        <w:rPr>
          <w:rFonts w:hint="eastAsia"/>
          <w:sz w:val="21"/>
          <w:szCs w:val="21"/>
          <w:lang w:val="en-US" w:eastAsia="zh-CN"/>
        </w:rPr>
      </w:pPr>
      <w:r>
        <w:rPr>
          <w:rFonts w:hint="eastAsia"/>
          <w:sz w:val="21"/>
          <w:szCs w:val="21"/>
          <w:lang w:val="en-US" w:eastAsia="zh-CN"/>
        </w:rPr>
        <w:t>3.2.1 壁挂式安装</w:t>
      </w:r>
    </w:p>
    <w:p>
      <w:pPr>
        <w:pStyle w:val="3"/>
        <w:ind w:firstLine="630" w:firstLineChars="300"/>
        <w:rPr>
          <w:rFonts w:hint="eastAsia"/>
          <w:sz w:val="21"/>
          <w:szCs w:val="21"/>
          <w:lang w:val="en-US" w:eastAsia="zh-CN"/>
        </w:rPr>
      </w:pPr>
      <w:r>
        <w:rPr>
          <w:rFonts w:hint="eastAsia"/>
          <w:sz w:val="21"/>
          <w:szCs w:val="21"/>
          <w:lang w:val="en-US" w:eastAsia="zh-CN"/>
        </w:rPr>
        <w:t>1)为保证变频器的正常运行，需要对变频器进行可靠地固定，请按照表 3-4和图3-6预先打好安装固定孔，并按照表3-4使用指定紧固件。</w:t>
      </w:r>
    </w:p>
    <w:p>
      <w:pPr>
        <w:jc w:val="center"/>
      </w:pPr>
      <w:r>
        <w:drawing>
          <wp:inline distT="0" distB="0" distL="114300" distR="114300">
            <wp:extent cx="4829810" cy="2092325"/>
            <wp:effectExtent l="0" t="0" r="8890" b="3175"/>
            <wp:docPr id="3"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2"/>
                    <pic:cNvPicPr>
                      <a:picLocks noChangeAspect="1"/>
                    </pic:cNvPicPr>
                  </pic:nvPicPr>
                  <pic:blipFill>
                    <a:blip r:embed="rId7"/>
                    <a:stretch>
                      <a:fillRect/>
                    </a:stretch>
                  </pic:blipFill>
                  <pic:spPr>
                    <a:xfrm>
                      <a:off x="0" y="0"/>
                      <a:ext cx="4829810" cy="2092325"/>
                    </a:xfrm>
                    <a:prstGeom prst="rect">
                      <a:avLst/>
                    </a:prstGeom>
                    <a:noFill/>
                    <a:ln>
                      <a:noFill/>
                    </a:ln>
                  </pic:spPr>
                </pic:pic>
              </a:graphicData>
            </a:graphic>
          </wp:inline>
        </w:drawing>
      </w:r>
    </w:p>
    <w:p>
      <w:pPr>
        <w:pStyle w:val="2"/>
        <w:jc w:val="center"/>
      </w:pPr>
      <w:r>
        <w:drawing>
          <wp:inline distT="0" distB="0" distL="114300" distR="114300">
            <wp:extent cx="1782445" cy="2461895"/>
            <wp:effectExtent l="0" t="0" r="8255" b="14605"/>
            <wp:docPr id="4"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3"/>
                    <pic:cNvPicPr>
                      <a:picLocks noChangeAspect="1"/>
                    </pic:cNvPicPr>
                  </pic:nvPicPr>
                  <pic:blipFill>
                    <a:blip r:embed="rId8"/>
                    <a:stretch>
                      <a:fillRect/>
                    </a:stretch>
                  </pic:blipFill>
                  <pic:spPr>
                    <a:xfrm>
                      <a:off x="0" y="0"/>
                      <a:ext cx="1782445" cy="2461895"/>
                    </a:xfrm>
                    <a:prstGeom prst="rect">
                      <a:avLst/>
                    </a:prstGeom>
                    <a:noFill/>
                    <a:ln>
                      <a:noFill/>
                    </a:ln>
                  </pic:spPr>
                </pic:pic>
              </a:graphicData>
            </a:graphic>
          </wp:inline>
        </w:drawing>
      </w:r>
    </w:p>
    <w:p>
      <w:pPr>
        <w:pStyle w:val="3"/>
        <w:numPr>
          <w:ilvl w:val="0"/>
          <w:numId w:val="0"/>
        </w:numPr>
        <w:ind w:firstLine="420" w:firstLineChars="200"/>
        <w:rPr>
          <w:rFonts w:hint="eastAsia"/>
          <w:sz w:val="21"/>
          <w:szCs w:val="21"/>
          <w:lang w:val="en-US" w:eastAsia="zh-CN"/>
        </w:rPr>
      </w:pPr>
      <w:r>
        <w:rPr>
          <w:rFonts w:hint="eastAsia"/>
          <w:sz w:val="21"/>
          <w:szCs w:val="21"/>
          <w:lang w:val="en-US" w:eastAsia="zh-CN"/>
        </w:rPr>
        <w:t>2）对于BC尺寸机型可直接用手支撑抬起机身并使其背面安装孔对准机柜安装孔位，然后按照表 3-4使用对应规格的紧固件拧紫固定变频器:对于DH尺寸机型可利用变频器顶部吊装孔进行吊装使其背面安装孔对准机柜安装孔位，然后按照表3-4使用对应规格的紧固件拧紧固定变频器。</w:t>
      </w:r>
    </w:p>
    <w:p>
      <w:pPr>
        <w:numPr>
          <w:ilvl w:val="0"/>
          <w:numId w:val="0"/>
        </w:numPr>
        <w:jc w:val="center"/>
      </w:pPr>
      <w:r>
        <w:drawing>
          <wp:inline distT="0" distB="0" distL="114300" distR="114300">
            <wp:extent cx="3867150" cy="3305175"/>
            <wp:effectExtent l="0" t="0" r="0" b="9525"/>
            <wp:docPr id="5"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4"/>
                    <pic:cNvPicPr>
                      <a:picLocks noChangeAspect="1"/>
                    </pic:cNvPicPr>
                  </pic:nvPicPr>
                  <pic:blipFill>
                    <a:blip r:embed="rId9"/>
                    <a:stretch>
                      <a:fillRect/>
                    </a:stretch>
                  </pic:blipFill>
                  <pic:spPr>
                    <a:xfrm>
                      <a:off x="0" y="0"/>
                      <a:ext cx="3867150" cy="3305175"/>
                    </a:xfrm>
                    <a:prstGeom prst="rect">
                      <a:avLst/>
                    </a:prstGeom>
                    <a:noFill/>
                    <a:ln>
                      <a:noFill/>
                    </a:ln>
                  </pic:spPr>
                </pic:pic>
              </a:graphicData>
            </a:graphic>
          </wp:inline>
        </w:drawing>
      </w:r>
    </w:p>
    <w:p>
      <w:pPr>
        <w:pStyle w:val="2"/>
        <w:jc w:val="center"/>
      </w:pPr>
      <w:r>
        <w:drawing>
          <wp:inline distT="0" distB="0" distL="114300" distR="114300">
            <wp:extent cx="5076825" cy="5143500"/>
            <wp:effectExtent l="0" t="0" r="9525" b="0"/>
            <wp:docPr id="6"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5"/>
                    <pic:cNvPicPr>
                      <a:picLocks noChangeAspect="1"/>
                    </pic:cNvPicPr>
                  </pic:nvPicPr>
                  <pic:blipFill>
                    <a:blip r:embed="rId10"/>
                    <a:stretch>
                      <a:fillRect/>
                    </a:stretch>
                  </pic:blipFill>
                  <pic:spPr>
                    <a:xfrm>
                      <a:off x="0" y="0"/>
                      <a:ext cx="5076825" cy="5143500"/>
                    </a:xfrm>
                    <a:prstGeom prst="rect">
                      <a:avLst/>
                    </a:prstGeom>
                    <a:noFill/>
                    <a:ln>
                      <a:noFill/>
                    </a:ln>
                  </pic:spPr>
                </pic:pic>
              </a:graphicData>
            </a:graphic>
          </wp:inline>
        </w:drawing>
      </w:r>
    </w:p>
    <w:p>
      <w:pPr>
        <w:pStyle w:val="3"/>
      </w:pPr>
    </w:p>
    <w:p>
      <w:pPr>
        <w:rPr>
          <w:rFonts w:hint="eastAsia"/>
          <w:lang w:val="en-US" w:eastAsia="zh-CN"/>
        </w:rPr>
      </w:pPr>
    </w:p>
    <w:p>
      <w:pPr>
        <w:pStyle w:val="3"/>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3.3 端子定义与接线</w:t>
      </w:r>
    </w:p>
    <w:p>
      <w:pPr>
        <w:pStyle w:val="3"/>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3.3.1 标准接线图</w:t>
      </w:r>
    </w:p>
    <w:p>
      <w:pPr>
        <w:pStyle w:val="3"/>
        <w:ind w:firstLine="630" w:firstLineChars="300"/>
        <w:rPr>
          <w:rFonts w:hint="eastAsia" w:hAnsi="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典型接线如下图3-28所示，请注意2.2kW~75kW机型、90kw~355kW机型在图中双箭头处的接线部分有</w:t>
      </w:r>
      <w:r>
        <w:rPr>
          <w:rFonts w:hint="eastAsia" w:hAnsi="宋体" w:cs="Times New Roman"/>
          <w:kern w:val="0"/>
          <w:sz w:val="21"/>
          <w:szCs w:val="21"/>
          <w:lang w:val="en-US" w:eastAsia="zh-CN" w:bidi="ar-SA"/>
        </w:rPr>
        <w:t>区别</w:t>
      </w:r>
    </w:p>
    <w:p>
      <w:pPr>
        <w:jc w:val="center"/>
        <w:rPr>
          <w:rFonts w:hint="default"/>
          <w:lang w:val="en-US" w:eastAsia="zh-CN"/>
        </w:rPr>
      </w:pPr>
      <w:r>
        <w:drawing>
          <wp:inline distT="0" distB="0" distL="114300" distR="114300">
            <wp:extent cx="3684905" cy="4431030"/>
            <wp:effectExtent l="0" t="0" r="10795" b="7620"/>
            <wp:docPr id="7"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6"/>
                    <pic:cNvPicPr>
                      <a:picLocks noChangeAspect="1"/>
                    </pic:cNvPicPr>
                  </pic:nvPicPr>
                  <pic:blipFill>
                    <a:blip r:embed="rId11"/>
                    <a:stretch>
                      <a:fillRect/>
                    </a:stretch>
                  </pic:blipFill>
                  <pic:spPr>
                    <a:xfrm>
                      <a:off x="0" y="0"/>
                      <a:ext cx="3684905" cy="4431030"/>
                    </a:xfrm>
                    <a:prstGeom prst="rect">
                      <a:avLst/>
                    </a:prstGeom>
                    <a:noFill/>
                    <a:ln>
                      <a:noFill/>
                    </a:ln>
                  </pic:spPr>
                </pic:pic>
              </a:graphicData>
            </a:graphic>
          </wp:inline>
        </w:drawing>
      </w:r>
    </w:p>
    <w:p>
      <w:pPr>
        <w:pStyle w:val="2"/>
        <w:ind w:firstLine="630" w:firstLineChars="300"/>
        <w:rPr>
          <w:rFonts w:hint="eastAsia" w:ascii="宋体" w:hAnsi="宋体" w:eastAsia="宋体" w:cs="宋体"/>
          <w:sz w:val="21"/>
          <w:szCs w:val="21"/>
        </w:rPr>
      </w:pPr>
      <w:r>
        <w:rPr>
          <w:rFonts w:hint="eastAsia" w:ascii="宋体" w:hAnsi="宋体" w:eastAsia="宋体" w:cs="宋体"/>
          <w:sz w:val="21"/>
          <w:szCs w:val="21"/>
        </w:rPr>
        <w:t>注:所有DI/D0和AI/A0端子功能均可以通过参数互联功能自定义，图中所示接线方式和端子功能定义只是一种推荐接线方式和端子定义。</w:t>
      </w:r>
    </w:p>
    <w:p>
      <w:pPr>
        <w:pStyle w:val="2"/>
        <w:rPr>
          <w:rFonts w:hint="eastAsia" w:ascii="宋体" w:hAnsi="宋体"/>
          <w:b w:val="0"/>
          <w:bCs/>
          <w:kern w:val="2"/>
          <w:sz w:val="21"/>
          <w:szCs w:val="21"/>
        </w:rPr>
      </w:pPr>
      <w:r>
        <w:rPr>
          <w:rFonts w:hint="eastAsia" w:ascii="宋体" w:hAnsi="宋体"/>
          <w:b w:val="0"/>
          <w:bCs/>
          <w:kern w:val="2"/>
          <w:sz w:val="21"/>
          <w:szCs w:val="21"/>
        </w:rPr>
        <w:t>3.3.2 主回路端子功能说明</w:t>
      </w:r>
    </w:p>
    <w:p>
      <w:pPr>
        <w:pStyle w:val="2"/>
        <w:ind w:firstLine="420" w:firstLineChars="200"/>
        <w:rPr>
          <w:rFonts w:hint="eastAsia" w:ascii="宋体" w:hAnsi="宋体"/>
          <w:b w:val="0"/>
          <w:bCs/>
          <w:kern w:val="2"/>
          <w:sz w:val="21"/>
          <w:szCs w:val="21"/>
        </w:rPr>
      </w:pPr>
      <w:r>
        <w:rPr>
          <w:rFonts w:hint="eastAsia" w:ascii="宋体" w:hAnsi="宋体"/>
          <w:b w:val="0"/>
          <w:bCs/>
          <w:kern w:val="2"/>
          <w:sz w:val="21"/>
          <w:szCs w:val="21"/>
        </w:rPr>
        <w:t>EC570/510系列变频器采用行业通用端子定义规则，设计有输入三相R/S/T,输出三相 U/V/W，直流正负(+/-)以及制动BR，具体说明见图3-29、图3-30、表3-6。</w:t>
      </w:r>
    </w:p>
    <w:p>
      <w:pPr>
        <w:pStyle w:val="3"/>
        <w:jc w:val="center"/>
        <w:rPr>
          <w:rFonts w:hint="eastAsia" w:ascii="宋体" w:hAnsi="宋体"/>
          <w:b/>
          <w:kern w:val="2"/>
          <w:sz w:val="21"/>
          <w:szCs w:val="21"/>
        </w:rPr>
      </w:pPr>
      <w:r>
        <w:drawing>
          <wp:inline distT="0" distB="0" distL="114300" distR="114300">
            <wp:extent cx="2724785" cy="2872740"/>
            <wp:effectExtent l="0" t="0" r="18415" b="3810"/>
            <wp:docPr id="8"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7"/>
                    <pic:cNvPicPr>
                      <a:picLocks noChangeAspect="1"/>
                    </pic:cNvPicPr>
                  </pic:nvPicPr>
                  <pic:blipFill>
                    <a:blip r:embed="rId12"/>
                    <a:stretch>
                      <a:fillRect/>
                    </a:stretch>
                  </pic:blipFill>
                  <pic:spPr>
                    <a:xfrm>
                      <a:off x="0" y="0"/>
                      <a:ext cx="2724785" cy="2872740"/>
                    </a:xfrm>
                    <a:prstGeom prst="rect">
                      <a:avLst/>
                    </a:prstGeom>
                    <a:noFill/>
                    <a:ln>
                      <a:noFill/>
                    </a:ln>
                  </pic:spPr>
                </pic:pic>
              </a:graphicData>
            </a:graphic>
          </wp:inline>
        </w:drawing>
      </w:r>
    </w:p>
    <w:p>
      <w:pPr>
        <w:rPr>
          <w:rFonts w:hint="eastAsia" w:ascii="宋体" w:hAnsi="宋体"/>
          <w:b w:val="0"/>
          <w:bCs/>
          <w:kern w:val="2"/>
          <w:sz w:val="21"/>
          <w:szCs w:val="21"/>
        </w:rPr>
      </w:pPr>
    </w:p>
    <w:p>
      <w:pPr>
        <w:rPr>
          <w:rFonts w:hint="eastAsia" w:ascii="宋体" w:hAnsi="宋体"/>
          <w:b w:val="0"/>
          <w:bCs/>
          <w:kern w:val="2"/>
          <w:sz w:val="21"/>
          <w:szCs w:val="21"/>
        </w:rPr>
      </w:pPr>
      <w:r>
        <w:rPr>
          <w:rFonts w:hint="eastAsia" w:ascii="宋体" w:hAnsi="宋体"/>
          <w:b w:val="0"/>
          <w:bCs/>
          <w:kern w:val="2"/>
          <w:sz w:val="21"/>
          <w:szCs w:val="21"/>
        </w:rPr>
        <w:t>3.3.3 控制板接线操作说明</w:t>
      </w:r>
    </w:p>
    <w:p>
      <w:pPr>
        <w:ind w:firstLine="420" w:firstLineChars="200"/>
        <w:rPr>
          <w:rFonts w:hint="eastAsia" w:ascii="宋体" w:hAnsi="宋体"/>
          <w:b w:val="0"/>
          <w:bCs/>
          <w:kern w:val="2"/>
          <w:sz w:val="21"/>
          <w:szCs w:val="21"/>
        </w:rPr>
      </w:pPr>
      <w:r>
        <w:rPr>
          <w:rFonts w:hint="eastAsia" w:ascii="宋体" w:hAnsi="宋体"/>
          <w:b w:val="0"/>
          <w:bCs/>
          <w:kern w:val="2"/>
          <w:sz w:val="21"/>
          <w:szCs w:val="21"/>
        </w:rPr>
        <w:t>变频器标配控制板，选配I0扩展板、通讯扩展板、编码器扩展板。请参照图表 3-7对变频器使用的控制电路板进行正确的接线，其他选配件板卡接线及功能说明参见14章内容。</w:t>
      </w:r>
    </w:p>
    <w:p>
      <w:pPr>
        <w:ind w:firstLine="420" w:firstLineChars="200"/>
        <w:rPr>
          <w:rFonts w:hint="eastAsia" w:ascii="宋体" w:hAnsi="宋体"/>
          <w:b w:val="0"/>
          <w:bCs/>
          <w:kern w:val="2"/>
          <w:sz w:val="21"/>
          <w:szCs w:val="21"/>
        </w:rPr>
      </w:pPr>
      <w:r>
        <w:rPr>
          <w:rFonts w:hint="eastAsia" w:ascii="宋体" w:hAnsi="宋体"/>
          <w:b w:val="0"/>
          <w:bCs/>
          <w:kern w:val="2"/>
          <w:sz w:val="21"/>
          <w:szCs w:val="21"/>
        </w:rPr>
        <w:t>注:控制板接线，通讯板扩展板接线，编码器扩展板接线均需要使用金属编织屏蔽线材，并且需要使用接地卡扣将屏蔽层卡在接地附件上。</w:t>
      </w:r>
    </w:p>
    <w:p>
      <w:pPr>
        <w:pStyle w:val="2"/>
        <w:jc w:val="center"/>
      </w:pPr>
      <w:r>
        <w:drawing>
          <wp:inline distT="0" distB="0" distL="114300" distR="114300">
            <wp:extent cx="4253865" cy="4342765"/>
            <wp:effectExtent l="0" t="0" r="13335" b="635"/>
            <wp:docPr id="9"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8"/>
                    <pic:cNvPicPr>
                      <a:picLocks noChangeAspect="1"/>
                    </pic:cNvPicPr>
                  </pic:nvPicPr>
                  <pic:blipFill>
                    <a:blip r:embed="rId13"/>
                    <a:stretch>
                      <a:fillRect/>
                    </a:stretch>
                  </pic:blipFill>
                  <pic:spPr>
                    <a:xfrm>
                      <a:off x="0" y="0"/>
                      <a:ext cx="4253865" cy="4342765"/>
                    </a:xfrm>
                    <a:prstGeom prst="rect">
                      <a:avLst/>
                    </a:prstGeom>
                    <a:noFill/>
                    <a:ln>
                      <a:noFill/>
                    </a:ln>
                  </pic:spPr>
                </pic:pic>
              </a:graphicData>
            </a:graphic>
          </wp:inline>
        </w:drawing>
      </w:r>
    </w:p>
    <w:p>
      <w:pPr>
        <w:pStyle w:val="3"/>
        <w:rPr>
          <w:rFonts w:hint="eastAsia"/>
        </w:rPr>
      </w:pPr>
      <w:r>
        <w:rPr>
          <w:rFonts w:hint="eastAsia" w:ascii="仿宋" w:hAnsi="仿宋" w:eastAsia="仿宋" w:cs="仿宋"/>
          <w:b/>
          <w:sz w:val="21"/>
          <w:szCs w:val="21"/>
        </w:rPr>
        <w:t>附加说明</w:t>
      </w:r>
      <w:r>
        <w:rPr>
          <w:rFonts w:hint="eastAsia" w:ascii="仿宋" w:hAnsi="仿宋" w:eastAsia="仿宋" w:cs="仿宋"/>
          <w:b/>
          <w:sz w:val="21"/>
          <w:szCs w:val="21"/>
          <w:lang w:eastAsia="zh-CN"/>
        </w:rPr>
        <w:t>：</w:t>
      </w:r>
      <w:r>
        <w:rPr>
          <w:rFonts w:hint="eastAsia" w:ascii="仿宋" w:hAnsi="仿宋" w:eastAsia="仿宋" w:cs="仿宋"/>
          <w:color w:val="0000FF"/>
          <w:sz w:val="21"/>
          <w:szCs w:val="21"/>
          <w:highlight w:val="yellow"/>
          <w:lang w:eastAsia="zh-CN"/>
        </w:rPr>
        <w:t>烧结机系统关键备件，一旦出现问题将会造成较大设备故障。</w:t>
      </w:r>
    </w:p>
    <w:p/>
    <w:p>
      <w:pPr>
        <w:pStyle w:val="2"/>
      </w:pPr>
    </w:p>
    <w:p>
      <w:pPr>
        <w:pStyle w:val="2"/>
      </w:pPr>
    </w:p>
    <w:p>
      <w:pPr>
        <w:pStyle w:val="3"/>
      </w:pPr>
    </w:p>
    <w:p>
      <w:pPr>
        <w:pStyle w:val="3"/>
        <w:rPr>
          <w:rFonts w:hint="eastAsia"/>
        </w:rPr>
      </w:pPr>
    </w:p>
    <w:p>
      <w:pPr>
        <w:widowControl w:val="0"/>
        <w:tabs>
          <w:tab w:val="left" w:pos="0"/>
          <w:tab w:val="left" w:pos="900"/>
          <w:tab w:val="left" w:pos="1080"/>
        </w:tabs>
        <w:spacing w:line="360" w:lineRule="auto"/>
        <w:jc w:val="both"/>
        <w:rPr>
          <w:rFonts w:ascii="宋体"/>
          <w:b/>
          <w:kern w:val="2"/>
          <w:sz w:val="21"/>
          <w:szCs w:val="21"/>
        </w:rPr>
      </w:pPr>
      <w:r>
        <w:rPr>
          <w:rFonts w:hint="eastAsia" w:ascii="宋体" w:hAnsi="宋体"/>
          <w:b/>
          <w:kern w:val="2"/>
          <w:sz w:val="21"/>
          <w:szCs w:val="21"/>
        </w:rPr>
        <w:t>附件</w:t>
      </w:r>
      <w:r>
        <w:rPr>
          <w:rFonts w:hint="eastAsia" w:ascii="宋体" w:hAnsi="宋体"/>
          <w:b/>
          <w:kern w:val="2"/>
          <w:sz w:val="21"/>
          <w:szCs w:val="21"/>
          <w:lang w:eastAsia="zh-CN"/>
        </w:rPr>
        <w:t>四</w:t>
      </w:r>
      <w:r>
        <w:rPr>
          <w:rFonts w:ascii="宋体" w:hAnsi="宋体"/>
          <w:b/>
          <w:kern w:val="2"/>
          <w:sz w:val="21"/>
          <w:szCs w:val="21"/>
        </w:rPr>
        <w:t xml:space="preserve"> </w:t>
      </w:r>
      <w:r>
        <w:rPr>
          <w:rFonts w:hint="eastAsia" w:ascii="宋体" w:hAnsi="宋体"/>
          <w:b/>
          <w:kern w:val="2"/>
          <w:sz w:val="21"/>
          <w:szCs w:val="21"/>
        </w:rPr>
        <w:t>提供资料</w:t>
      </w:r>
    </w:p>
    <w:p>
      <w:pPr>
        <w:widowControl w:val="0"/>
        <w:spacing w:line="360" w:lineRule="auto"/>
        <w:ind w:firstLine="210" w:firstLineChars="100"/>
        <w:jc w:val="both"/>
        <w:rPr>
          <w:rFonts w:hint="eastAsia" w:ascii="宋体" w:hAnsi="宋体" w:eastAsia="宋体"/>
          <w:color w:val="000000"/>
          <w:kern w:val="2"/>
          <w:sz w:val="21"/>
          <w:szCs w:val="21"/>
          <w:lang w:val="en-US" w:eastAsia="zh-CN"/>
        </w:rPr>
      </w:pPr>
      <w:r>
        <w:rPr>
          <w:rFonts w:hint="eastAsia" w:ascii="宋体" w:hAnsi="宋体"/>
          <w:color w:val="000000"/>
          <w:kern w:val="2"/>
          <w:sz w:val="21"/>
          <w:szCs w:val="21"/>
          <w:lang w:val="en-US" w:eastAsia="zh-CN"/>
        </w:rPr>
        <w:t>乙方需提供中文说明书、合格证</w:t>
      </w:r>
    </w:p>
    <w:p>
      <w:pPr>
        <w:widowControl w:val="0"/>
        <w:spacing w:line="360" w:lineRule="auto"/>
        <w:jc w:val="both"/>
        <w:rPr>
          <w:rFonts w:ascii="宋体"/>
          <w:b/>
          <w:kern w:val="2"/>
          <w:sz w:val="21"/>
          <w:szCs w:val="21"/>
        </w:rPr>
      </w:pPr>
      <w:r>
        <w:rPr>
          <w:rFonts w:hint="eastAsia" w:ascii="宋体" w:hAnsi="宋体"/>
          <w:b/>
          <w:kern w:val="2"/>
          <w:sz w:val="21"/>
          <w:szCs w:val="21"/>
        </w:rPr>
        <w:t>附件</w:t>
      </w:r>
      <w:r>
        <w:rPr>
          <w:rFonts w:hint="eastAsia" w:ascii="宋体" w:hAnsi="宋体"/>
          <w:b/>
          <w:kern w:val="2"/>
          <w:sz w:val="21"/>
          <w:szCs w:val="21"/>
          <w:lang w:eastAsia="zh-CN"/>
        </w:rPr>
        <w:t>五</w:t>
      </w:r>
      <w:r>
        <w:rPr>
          <w:rFonts w:ascii="宋体" w:hAnsi="宋体"/>
          <w:b/>
          <w:kern w:val="2"/>
          <w:sz w:val="21"/>
          <w:szCs w:val="21"/>
        </w:rPr>
        <w:t xml:space="preserve"> </w:t>
      </w:r>
      <w:r>
        <w:rPr>
          <w:rFonts w:hint="eastAsia" w:ascii="宋体" w:hAnsi="宋体"/>
          <w:b/>
          <w:kern w:val="2"/>
          <w:sz w:val="21"/>
          <w:szCs w:val="21"/>
        </w:rPr>
        <w:t>质量保证及售后服务</w:t>
      </w:r>
    </w:p>
    <w:p>
      <w:pPr>
        <w:widowControl w:val="0"/>
        <w:spacing w:line="360" w:lineRule="auto"/>
        <w:ind w:left="180"/>
        <w:jc w:val="both"/>
        <w:rPr>
          <w:rFonts w:ascii="宋体"/>
          <w:kern w:val="2"/>
          <w:sz w:val="21"/>
          <w:szCs w:val="21"/>
        </w:rPr>
      </w:pPr>
      <w:r>
        <w:rPr>
          <w:rFonts w:hint="eastAsia" w:ascii="宋体" w:hAnsi="宋体"/>
          <w:kern w:val="2"/>
          <w:sz w:val="21"/>
          <w:szCs w:val="21"/>
          <w:lang w:val="en-US" w:eastAsia="zh-CN"/>
        </w:rPr>
        <w:t>5</w:t>
      </w:r>
      <w:r>
        <w:rPr>
          <w:rFonts w:ascii="宋体" w:hAnsi="宋体"/>
          <w:kern w:val="2"/>
          <w:sz w:val="21"/>
          <w:szCs w:val="21"/>
        </w:rPr>
        <w:t>.1</w:t>
      </w:r>
      <w:r>
        <w:rPr>
          <w:rFonts w:hint="eastAsia" w:ascii="宋体" w:hAnsi="宋体"/>
          <w:kern w:val="2"/>
          <w:sz w:val="21"/>
          <w:szCs w:val="21"/>
        </w:rPr>
        <w:t>合同设备的保证期为投运现场使用之日起</w:t>
      </w:r>
      <w:r>
        <w:rPr>
          <w:rFonts w:ascii="宋体" w:hAnsi="宋体"/>
          <w:kern w:val="2"/>
          <w:sz w:val="21"/>
          <w:szCs w:val="21"/>
        </w:rPr>
        <w:t>12</w:t>
      </w:r>
      <w:r>
        <w:rPr>
          <w:rFonts w:hint="eastAsia" w:ascii="宋体" w:hAnsi="宋体"/>
          <w:kern w:val="2"/>
          <w:sz w:val="21"/>
          <w:szCs w:val="21"/>
        </w:rPr>
        <w:t>个月。</w:t>
      </w:r>
    </w:p>
    <w:p>
      <w:pPr>
        <w:widowControl w:val="0"/>
        <w:spacing w:line="360" w:lineRule="auto"/>
        <w:ind w:left="180"/>
        <w:jc w:val="both"/>
        <w:rPr>
          <w:rFonts w:hint="eastAsia" w:ascii="宋体" w:hAnsi="宋体"/>
          <w:kern w:val="2"/>
          <w:sz w:val="21"/>
          <w:szCs w:val="21"/>
        </w:rPr>
      </w:pPr>
      <w:r>
        <w:rPr>
          <w:rFonts w:hint="eastAsia" w:ascii="宋体" w:hAnsi="宋体"/>
          <w:kern w:val="2"/>
          <w:sz w:val="21"/>
          <w:szCs w:val="21"/>
          <w:lang w:val="en-US" w:eastAsia="zh-CN"/>
        </w:rPr>
        <w:t>5</w:t>
      </w:r>
      <w:r>
        <w:rPr>
          <w:rFonts w:ascii="宋体" w:hAnsi="宋体"/>
          <w:kern w:val="2"/>
          <w:sz w:val="21"/>
          <w:szCs w:val="21"/>
        </w:rPr>
        <w:t>.2</w:t>
      </w:r>
      <w:r>
        <w:rPr>
          <w:rFonts w:hint="eastAsia" w:ascii="宋体" w:hAnsi="宋体"/>
          <w:kern w:val="2"/>
          <w:sz w:val="21"/>
          <w:szCs w:val="21"/>
        </w:rPr>
        <w:t>在质保期内乙方免费处理所有故障，更换零部件，保证系统正常运行。</w:t>
      </w:r>
    </w:p>
    <w:p>
      <w:pPr>
        <w:widowControl w:val="0"/>
        <w:spacing w:line="360" w:lineRule="auto"/>
        <w:ind w:left="180"/>
        <w:jc w:val="both"/>
        <w:rPr>
          <w:rFonts w:hint="eastAsia" w:ascii="宋体" w:hAnsi="宋体"/>
          <w:kern w:val="2"/>
          <w:sz w:val="21"/>
          <w:szCs w:val="21"/>
        </w:rPr>
      </w:pPr>
      <w:r>
        <w:rPr>
          <w:rFonts w:hint="eastAsia" w:ascii="宋体" w:hAnsi="宋体"/>
          <w:kern w:val="2"/>
          <w:sz w:val="21"/>
          <w:szCs w:val="21"/>
        </w:rPr>
        <w:t>5.</w:t>
      </w:r>
      <w:r>
        <w:rPr>
          <w:rFonts w:hint="eastAsia" w:ascii="宋体" w:hAnsi="宋体"/>
          <w:kern w:val="2"/>
          <w:sz w:val="21"/>
          <w:szCs w:val="21"/>
          <w:lang w:val="en-US" w:eastAsia="zh-CN"/>
        </w:rPr>
        <w:t>3</w:t>
      </w:r>
      <w:r>
        <w:rPr>
          <w:rFonts w:hint="eastAsia" w:ascii="宋体" w:hAnsi="宋体"/>
          <w:kern w:val="2"/>
          <w:sz w:val="21"/>
          <w:szCs w:val="21"/>
        </w:rPr>
        <w:t>联系人电子邮箱：</w:t>
      </w:r>
      <w:r>
        <w:rPr>
          <w:rFonts w:hint="eastAsia" w:ascii="宋体" w:hAnsi="宋体"/>
          <w:kern w:val="2"/>
          <w:sz w:val="21"/>
          <w:szCs w:val="21"/>
          <w:lang w:val="en-US" w:eastAsia="zh-CN"/>
        </w:rPr>
        <w:t>mashenglongtaizi</w:t>
      </w:r>
      <w:r>
        <w:rPr>
          <w:rFonts w:hint="eastAsia" w:ascii="宋体" w:hAnsi="宋体"/>
          <w:kern w:val="2"/>
          <w:sz w:val="21"/>
          <w:szCs w:val="21"/>
        </w:rPr>
        <w:t xml:space="preserve">@jiugang.com     </w:t>
      </w:r>
    </w:p>
    <w:p>
      <w:pPr>
        <w:widowControl w:val="0"/>
        <w:spacing w:line="360" w:lineRule="auto"/>
        <w:ind w:left="180" w:firstLine="420" w:firstLineChars="200"/>
        <w:jc w:val="both"/>
        <w:rPr>
          <w:rFonts w:hint="default" w:ascii="宋体" w:hAnsi="宋体" w:eastAsia="宋体"/>
          <w:kern w:val="2"/>
          <w:sz w:val="21"/>
          <w:szCs w:val="21"/>
          <w:lang w:val="en-US" w:eastAsia="zh-CN"/>
        </w:rPr>
      </w:pPr>
      <w:r>
        <w:rPr>
          <w:rFonts w:hint="eastAsia" w:ascii="宋体" w:hAnsi="宋体"/>
          <w:kern w:val="2"/>
          <w:sz w:val="21"/>
          <w:szCs w:val="21"/>
        </w:rPr>
        <w:t>甲方电话：</w:t>
      </w:r>
      <w:r>
        <w:rPr>
          <w:rFonts w:hint="eastAsia" w:ascii="宋体" w:hAnsi="宋体"/>
          <w:kern w:val="2"/>
          <w:sz w:val="21"/>
          <w:szCs w:val="21"/>
          <w:lang w:eastAsia="zh-CN"/>
        </w:rPr>
        <w:t>马胜龙</w:t>
      </w:r>
      <w:r>
        <w:rPr>
          <w:rFonts w:hint="eastAsia" w:ascii="宋体" w:hAnsi="宋体"/>
          <w:kern w:val="2"/>
          <w:sz w:val="21"/>
          <w:szCs w:val="21"/>
        </w:rPr>
        <w:t xml:space="preserve">   15</w:t>
      </w:r>
      <w:r>
        <w:rPr>
          <w:rFonts w:hint="eastAsia" w:ascii="宋体" w:hAnsi="宋体"/>
          <w:kern w:val="2"/>
          <w:sz w:val="21"/>
          <w:szCs w:val="21"/>
          <w:lang w:val="en-US" w:eastAsia="zh-CN"/>
        </w:rPr>
        <w:t>593290217</w:t>
      </w:r>
    </w:p>
    <w:p>
      <w:pPr>
        <w:pStyle w:val="2"/>
        <w:rPr>
          <w:rFonts w:hint="eastAsia"/>
        </w:rPr>
      </w:pPr>
      <w:bookmarkStart w:id="0" w:name="_GoBack"/>
      <w:bookmarkEnd w:id="0"/>
    </w:p>
    <w:sectPr>
      <w:footerReference r:id="rId3" w:type="default"/>
      <w:pgSz w:w="11906" w:h="16838"/>
      <w:pgMar w:top="567" w:right="510" w:bottom="567" w:left="510" w:header="851" w:footer="992" w:gutter="0"/>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w:rPr>
        <w:rFonts w:hint="eastAsia"/>
      </w:rPr>
      <w:t>第</w:t>
    </w:r>
    <w:r>
      <w:fldChar w:fldCharType="begin"/>
    </w:r>
    <w:r>
      <w:instrText xml:space="preserve">PAGE   \* MERGEFORMAT</w:instrText>
    </w:r>
    <w:r>
      <w:fldChar w:fldCharType="separate"/>
    </w:r>
    <w:r>
      <w:rPr>
        <w:lang w:val="zh-CN"/>
      </w:rPr>
      <w:t>5</w:t>
    </w:r>
    <w:r>
      <w:fldChar w:fldCharType="end"/>
    </w:r>
    <w:r>
      <w:rPr>
        <w:rFonts w:hint="eastAsia"/>
      </w:rPr>
      <w:t>页共</w:t>
    </w:r>
    <w:r>
      <w:t>5</w:t>
    </w:r>
    <w:r>
      <w:rPr>
        <w:rFonts w:hint="eastAsia"/>
      </w:rPr>
      <w:t>页</w:t>
    </w:r>
  </w:p>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E79D9"/>
    <w:multiLevelType w:val="multilevel"/>
    <w:tmpl w:val="0EEE79D9"/>
    <w:lvl w:ilvl="0" w:tentative="0">
      <w:start w:val="1"/>
      <w:numFmt w:val="decimal"/>
      <w:lvlText w:val="1.%1"/>
      <w:lvlJc w:val="left"/>
      <w:pPr>
        <w:tabs>
          <w:tab w:val="left" w:pos="0"/>
        </w:tabs>
      </w:pPr>
      <w:rPr>
        <w:rFonts w:hint="default" w:cs="Times New Roman"/>
      </w:rPr>
    </w:lvl>
    <w:lvl w:ilvl="1" w:tentative="0">
      <w:start w:val="1"/>
      <w:numFmt w:val="decimal"/>
      <w:lvlText w:val="%2、"/>
      <w:lvlJc w:val="left"/>
      <w:pPr>
        <w:tabs>
          <w:tab w:val="left" w:pos="1260"/>
        </w:tabs>
        <w:ind w:left="1260" w:hanging="360"/>
      </w:pPr>
      <w:rPr>
        <w:rFonts w:hint="default"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4ZmFlNzdmYzVkNmU1ODI5ZmY0NDYyNmI1ZjdlZWUifQ=="/>
  </w:docVars>
  <w:rsids>
    <w:rsidRoot w:val="0033053B"/>
    <w:rsid w:val="00061431"/>
    <w:rsid w:val="00091654"/>
    <w:rsid w:val="000959B8"/>
    <w:rsid w:val="000B17B0"/>
    <w:rsid w:val="000B36FE"/>
    <w:rsid w:val="000C24CF"/>
    <w:rsid w:val="000C437A"/>
    <w:rsid w:val="000D6627"/>
    <w:rsid w:val="001119BF"/>
    <w:rsid w:val="0012561D"/>
    <w:rsid w:val="00137D1F"/>
    <w:rsid w:val="001546A8"/>
    <w:rsid w:val="001615E4"/>
    <w:rsid w:val="00175C18"/>
    <w:rsid w:val="00186E85"/>
    <w:rsid w:val="00190ED9"/>
    <w:rsid w:val="001F7EB3"/>
    <w:rsid w:val="00203425"/>
    <w:rsid w:val="00207C77"/>
    <w:rsid w:val="0021414A"/>
    <w:rsid w:val="0025319A"/>
    <w:rsid w:val="00257D83"/>
    <w:rsid w:val="0026652C"/>
    <w:rsid w:val="00270C34"/>
    <w:rsid w:val="00276A80"/>
    <w:rsid w:val="002841C1"/>
    <w:rsid w:val="0029303B"/>
    <w:rsid w:val="002963F8"/>
    <w:rsid w:val="002B51F8"/>
    <w:rsid w:val="003061F2"/>
    <w:rsid w:val="0033053B"/>
    <w:rsid w:val="00333CA9"/>
    <w:rsid w:val="00334CCC"/>
    <w:rsid w:val="003608A5"/>
    <w:rsid w:val="00373790"/>
    <w:rsid w:val="00374E0A"/>
    <w:rsid w:val="003A1D70"/>
    <w:rsid w:val="003C1AB9"/>
    <w:rsid w:val="00402C1F"/>
    <w:rsid w:val="0042695D"/>
    <w:rsid w:val="004670BA"/>
    <w:rsid w:val="004734E6"/>
    <w:rsid w:val="004D5F9B"/>
    <w:rsid w:val="004F1381"/>
    <w:rsid w:val="004F52F6"/>
    <w:rsid w:val="005122B7"/>
    <w:rsid w:val="0052658D"/>
    <w:rsid w:val="00536FD9"/>
    <w:rsid w:val="00541B65"/>
    <w:rsid w:val="00551F0C"/>
    <w:rsid w:val="00562A1D"/>
    <w:rsid w:val="005639ED"/>
    <w:rsid w:val="005706D9"/>
    <w:rsid w:val="00582D30"/>
    <w:rsid w:val="005C33A7"/>
    <w:rsid w:val="005D378D"/>
    <w:rsid w:val="00620E80"/>
    <w:rsid w:val="00633454"/>
    <w:rsid w:val="00661CA7"/>
    <w:rsid w:val="00684A49"/>
    <w:rsid w:val="00687753"/>
    <w:rsid w:val="00692261"/>
    <w:rsid w:val="006A1C00"/>
    <w:rsid w:val="006F3E54"/>
    <w:rsid w:val="00717954"/>
    <w:rsid w:val="007435FC"/>
    <w:rsid w:val="007457A9"/>
    <w:rsid w:val="00750896"/>
    <w:rsid w:val="00750E2F"/>
    <w:rsid w:val="00785A44"/>
    <w:rsid w:val="007929BD"/>
    <w:rsid w:val="007F52A1"/>
    <w:rsid w:val="008077EC"/>
    <w:rsid w:val="00816058"/>
    <w:rsid w:val="00831680"/>
    <w:rsid w:val="00891E5D"/>
    <w:rsid w:val="008969B5"/>
    <w:rsid w:val="008B3723"/>
    <w:rsid w:val="008C4F9E"/>
    <w:rsid w:val="008F0C3D"/>
    <w:rsid w:val="009022EA"/>
    <w:rsid w:val="009149C9"/>
    <w:rsid w:val="00925BE7"/>
    <w:rsid w:val="00947F03"/>
    <w:rsid w:val="009542A5"/>
    <w:rsid w:val="009577E6"/>
    <w:rsid w:val="0098284F"/>
    <w:rsid w:val="009922CD"/>
    <w:rsid w:val="009A3817"/>
    <w:rsid w:val="009B3DEB"/>
    <w:rsid w:val="009C2F93"/>
    <w:rsid w:val="009D0005"/>
    <w:rsid w:val="009D0F14"/>
    <w:rsid w:val="009E2F47"/>
    <w:rsid w:val="00A027D6"/>
    <w:rsid w:val="00A05DD7"/>
    <w:rsid w:val="00A11960"/>
    <w:rsid w:val="00A24F49"/>
    <w:rsid w:val="00A40402"/>
    <w:rsid w:val="00A61A2C"/>
    <w:rsid w:val="00A755E0"/>
    <w:rsid w:val="00A91FD7"/>
    <w:rsid w:val="00AB2F13"/>
    <w:rsid w:val="00AC467B"/>
    <w:rsid w:val="00AD4907"/>
    <w:rsid w:val="00AD7D75"/>
    <w:rsid w:val="00B42150"/>
    <w:rsid w:val="00B451C4"/>
    <w:rsid w:val="00B511C6"/>
    <w:rsid w:val="00B56E56"/>
    <w:rsid w:val="00B728E2"/>
    <w:rsid w:val="00B918EE"/>
    <w:rsid w:val="00BC3E35"/>
    <w:rsid w:val="00C0281B"/>
    <w:rsid w:val="00C374F1"/>
    <w:rsid w:val="00C4668C"/>
    <w:rsid w:val="00C76546"/>
    <w:rsid w:val="00C8163E"/>
    <w:rsid w:val="00C83F95"/>
    <w:rsid w:val="00CA1638"/>
    <w:rsid w:val="00CA70A5"/>
    <w:rsid w:val="00CE1F31"/>
    <w:rsid w:val="00CF5EA4"/>
    <w:rsid w:val="00CF7707"/>
    <w:rsid w:val="00D0510C"/>
    <w:rsid w:val="00D14041"/>
    <w:rsid w:val="00D2746E"/>
    <w:rsid w:val="00D33F92"/>
    <w:rsid w:val="00D509F8"/>
    <w:rsid w:val="00D7059B"/>
    <w:rsid w:val="00D8532F"/>
    <w:rsid w:val="00D8649F"/>
    <w:rsid w:val="00DB3AD3"/>
    <w:rsid w:val="00DC6D56"/>
    <w:rsid w:val="00DF5CE6"/>
    <w:rsid w:val="00E2124B"/>
    <w:rsid w:val="00E22DC6"/>
    <w:rsid w:val="00E27326"/>
    <w:rsid w:val="00E411B3"/>
    <w:rsid w:val="00E43687"/>
    <w:rsid w:val="00E46986"/>
    <w:rsid w:val="00E6039F"/>
    <w:rsid w:val="00E64137"/>
    <w:rsid w:val="00E67EE6"/>
    <w:rsid w:val="00E96AD9"/>
    <w:rsid w:val="00E9770C"/>
    <w:rsid w:val="00ED7856"/>
    <w:rsid w:val="00EF4FFD"/>
    <w:rsid w:val="00F138F6"/>
    <w:rsid w:val="00F143AB"/>
    <w:rsid w:val="00F14835"/>
    <w:rsid w:val="00F30148"/>
    <w:rsid w:val="00F47B83"/>
    <w:rsid w:val="00F81744"/>
    <w:rsid w:val="00FB04EE"/>
    <w:rsid w:val="00FB2FA4"/>
    <w:rsid w:val="01B87A24"/>
    <w:rsid w:val="05BA391E"/>
    <w:rsid w:val="07B77739"/>
    <w:rsid w:val="08074942"/>
    <w:rsid w:val="081867BE"/>
    <w:rsid w:val="08230C2D"/>
    <w:rsid w:val="09560BE1"/>
    <w:rsid w:val="0C637867"/>
    <w:rsid w:val="0E191991"/>
    <w:rsid w:val="0F5A6E2D"/>
    <w:rsid w:val="175D7E17"/>
    <w:rsid w:val="18933DCC"/>
    <w:rsid w:val="1B807332"/>
    <w:rsid w:val="1D046BF5"/>
    <w:rsid w:val="1D3D492D"/>
    <w:rsid w:val="1E750E4D"/>
    <w:rsid w:val="22EC52E6"/>
    <w:rsid w:val="286B23BD"/>
    <w:rsid w:val="2AD63A7B"/>
    <w:rsid w:val="2CF95B9C"/>
    <w:rsid w:val="35841DBD"/>
    <w:rsid w:val="3A191B3E"/>
    <w:rsid w:val="3CF650D4"/>
    <w:rsid w:val="45E523FA"/>
    <w:rsid w:val="46106C60"/>
    <w:rsid w:val="484C7C6A"/>
    <w:rsid w:val="4B6203D0"/>
    <w:rsid w:val="4B914094"/>
    <w:rsid w:val="4BE24FAE"/>
    <w:rsid w:val="4D941577"/>
    <w:rsid w:val="4F9C6E1E"/>
    <w:rsid w:val="4FA41708"/>
    <w:rsid w:val="528C16AD"/>
    <w:rsid w:val="531858FE"/>
    <w:rsid w:val="580A6C91"/>
    <w:rsid w:val="5AF735A9"/>
    <w:rsid w:val="5BB64768"/>
    <w:rsid w:val="5C560D17"/>
    <w:rsid w:val="5F2A28A4"/>
    <w:rsid w:val="625466F6"/>
    <w:rsid w:val="627109D4"/>
    <w:rsid w:val="62984B5E"/>
    <w:rsid w:val="641D434E"/>
    <w:rsid w:val="65850947"/>
    <w:rsid w:val="661D686A"/>
    <w:rsid w:val="683622B6"/>
    <w:rsid w:val="686E0B71"/>
    <w:rsid w:val="68FB32C9"/>
    <w:rsid w:val="6F1E7F4E"/>
    <w:rsid w:val="6FF10E8C"/>
    <w:rsid w:val="707B5F2D"/>
    <w:rsid w:val="7121515D"/>
    <w:rsid w:val="733F7947"/>
    <w:rsid w:val="744E5A89"/>
    <w:rsid w:val="75002747"/>
    <w:rsid w:val="75E1329E"/>
    <w:rsid w:val="79A241F0"/>
    <w:rsid w:val="79D61A3F"/>
    <w:rsid w:val="7B3F756E"/>
    <w:rsid w:val="7BEA51D3"/>
    <w:rsid w:val="7C436420"/>
    <w:rsid w:val="7D615A29"/>
    <w:rsid w:val="7E2A4D7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sz w:val="24"/>
      <w:szCs w:val="24"/>
      <w:lang w:val="en-US" w:eastAsia="zh-CN" w:bidi="ar-SA"/>
    </w:rPr>
  </w:style>
  <w:style w:type="paragraph" w:styleId="4">
    <w:name w:val="heading 1"/>
    <w:basedOn w:val="1"/>
    <w:next w:val="1"/>
    <w:link w:val="25"/>
    <w:qFormat/>
    <w:uiPriority w:val="9"/>
    <w:pPr>
      <w:keepNext/>
      <w:spacing w:before="240" w:after="60"/>
      <w:outlineLvl w:val="0"/>
    </w:pPr>
    <w:rPr>
      <w:rFonts w:ascii="Cambria" w:hAnsi="Cambria"/>
      <w:b/>
      <w:bCs/>
      <w:kern w:val="32"/>
      <w:sz w:val="32"/>
      <w:szCs w:val="32"/>
    </w:rPr>
  </w:style>
  <w:style w:type="paragraph" w:styleId="5">
    <w:name w:val="heading 2"/>
    <w:basedOn w:val="1"/>
    <w:next w:val="1"/>
    <w:link w:val="26"/>
    <w:unhideWhenUsed/>
    <w:qFormat/>
    <w:uiPriority w:val="9"/>
    <w:pPr>
      <w:keepNext/>
      <w:spacing w:before="240" w:after="60"/>
      <w:outlineLvl w:val="1"/>
    </w:pPr>
    <w:rPr>
      <w:rFonts w:ascii="Cambria" w:hAnsi="Cambria"/>
      <w:b/>
      <w:bCs/>
      <w:i/>
      <w:iCs/>
      <w:sz w:val="28"/>
      <w:szCs w:val="28"/>
    </w:rPr>
  </w:style>
  <w:style w:type="paragraph" w:styleId="6">
    <w:name w:val="heading 3"/>
    <w:basedOn w:val="1"/>
    <w:next w:val="1"/>
    <w:link w:val="27"/>
    <w:unhideWhenUsed/>
    <w:qFormat/>
    <w:uiPriority w:val="9"/>
    <w:pPr>
      <w:keepNext/>
      <w:spacing w:before="240" w:after="60"/>
      <w:outlineLvl w:val="2"/>
    </w:pPr>
    <w:rPr>
      <w:rFonts w:ascii="Cambria" w:hAnsi="Cambria"/>
      <w:b/>
      <w:bCs/>
      <w:sz w:val="26"/>
      <w:szCs w:val="26"/>
    </w:rPr>
  </w:style>
  <w:style w:type="paragraph" w:styleId="7">
    <w:name w:val="heading 4"/>
    <w:basedOn w:val="1"/>
    <w:next w:val="1"/>
    <w:link w:val="28"/>
    <w:unhideWhenUsed/>
    <w:qFormat/>
    <w:uiPriority w:val="9"/>
    <w:pPr>
      <w:keepNext/>
      <w:spacing w:before="240" w:after="60"/>
      <w:outlineLvl w:val="3"/>
    </w:pPr>
    <w:rPr>
      <w:b/>
      <w:bCs/>
      <w:sz w:val="28"/>
      <w:szCs w:val="28"/>
    </w:rPr>
  </w:style>
  <w:style w:type="paragraph" w:styleId="8">
    <w:name w:val="heading 5"/>
    <w:basedOn w:val="1"/>
    <w:next w:val="1"/>
    <w:link w:val="29"/>
    <w:unhideWhenUsed/>
    <w:qFormat/>
    <w:uiPriority w:val="9"/>
    <w:pPr>
      <w:spacing w:before="240" w:after="60"/>
      <w:outlineLvl w:val="4"/>
    </w:pPr>
    <w:rPr>
      <w:b/>
      <w:bCs/>
      <w:i/>
      <w:iCs/>
      <w:sz w:val="26"/>
      <w:szCs w:val="26"/>
    </w:rPr>
  </w:style>
  <w:style w:type="paragraph" w:styleId="9">
    <w:name w:val="heading 6"/>
    <w:basedOn w:val="1"/>
    <w:next w:val="1"/>
    <w:link w:val="30"/>
    <w:unhideWhenUsed/>
    <w:qFormat/>
    <w:uiPriority w:val="9"/>
    <w:pPr>
      <w:spacing w:before="240" w:after="60"/>
      <w:outlineLvl w:val="5"/>
    </w:pPr>
    <w:rPr>
      <w:b/>
      <w:bCs/>
      <w:sz w:val="22"/>
      <w:szCs w:val="22"/>
    </w:rPr>
  </w:style>
  <w:style w:type="paragraph" w:styleId="10">
    <w:name w:val="heading 7"/>
    <w:basedOn w:val="1"/>
    <w:next w:val="1"/>
    <w:link w:val="31"/>
    <w:unhideWhenUsed/>
    <w:qFormat/>
    <w:uiPriority w:val="9"/>
    <w:pPr>
      <w:spacing w:before="240" w:after="60"/>
      <w:outlineLvl w:val="6"/>
    </w:pPr>
  </w:style>
  <w:style w:type="paragraph" w:styleId="11">
    <w:name w:val="heading 8"/>
    <w:basedOn w:val="1"/>
    <w:next w:val="1"/>
    <w:link w:val="32"/>
    <w:unhideWhenUsed/>
    <w:qFormat/>
    <w:uiPriority w:val="9"/>
    <w:pPr>
      <w:spacing w:before="240" w:after="60"/>
      <w:outlineLvl w:val="7"/>
    </w:pPr>
    <w:rPr>
      <w:i/>
      <w:iCs/>
    </w:rPr>
  </w:style>
  <w:style w:type="paragraph" w:styleId="12">
    <w:name w:val="heading 9"/>
    <w:basedOn w:val="1"/>
    <w:next w:val="1"/>
    <w:link w:val="33"/>
    <w:unhideWhenUsed/>
    <w:qFormat/>
    <w:uiPriority w:val="9"/>
    <w:pPr>
      <w:spacing w:before="240" w:after="60"/>
      <w:outlineLvl w:val="8"/>
    </w:pPr>
    <w:rPr>
      <w:rFonts w:ascii="Cambria" w:hAnsi="Cambria"/>
      <w:sz w:val="22"/>
      <w:szCs w:val="22"/>
    </w:rPr>
  </w:style>
  <w:style w:type="character" w:default="1" w:styleId="20">
    <w:name w:val="Default Paragraph Font"/>
    <w:unhideWhenUsed/>
    <w:uiPriority w:val="1"/>
  </w:style>
  <w:style w:type="table" w:default="1" w:styleId="19">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kern w:val="0"/>
      <w:sz w:val="18"/>
    </w:rPr>
  </w:style>
  <w:style w:type="paragraph" w:customStyle="1" w:styleId="3">
    <w:name w:val="Default"/>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3">
    <w:name w:val="Plain Text"/>
    <w:basedOn w:val="1"/>
    <w:link w:val="34"/>
    <w:uiPriority w:val="99"/>
    <w:pPr>
      <w:jc w:val="both"/>
    </w:pPr>
    <w:rPr>
      <w:rFonts w:ascii="宋体" w:hAnsi="Courier New"/>
      <w:kern w:val="2"/>
      <w:sz w:val="21"/>
    </w:rPr>
  </w:style>
  <w:style w:type="paragraph" w:styleId="14">
    <w:name w:val="Balloon Text"/>
    <w:basedOn w:val="1"/>
    <w:link w:val="35"/>
    <w:unhideWhenUsed/>
    <w:uiPriority w:val="99"/>
    <w:rPr>
      <w:sz w:val="18"/>
      <w:szCs w:val="18"/>
    </w:rPr>
  </w:style>
  <w:style w:type="paragraph" w:styleId="15">
    <w:name w:val="footer"/>
    <w:basedOn w:val="1"/>
    <w:link w:val="36"/>
    <w:unhideWhenUsed/>
    <w:uiPriority w:val="99"/>
    <w:pPr>
      <w:tabs>
        <w:tab w:val="center" w:pos="4153"/>
        <w:tab w:val="right" w:pos="8306"/>
      </w:tabs>
      <w:snapToGrid w:val="0"/>
    </w:pPr>
    <w:rPr>
      <w:kern w:val="2"/>
      <w:sz w:val="18"/>
      <w:szCs w:val="18"/>
    </w:rPr>
  </w:style>
  <w:style w:type="paragraph" w:styleId="16">
    <w:name w:val="header"/>
    <w:basedOn w:val="1"/>
    <w:link w:val="37"/>
    <w:unhideWhenUsed/>
    <w:uiPriority w:val="99"/>
    <w:pPr>
      <w:pBdr>
        <w:bottom w:val="single" w:color="auto" w:sz="6" w:space="1"/>
      </w:pBdr>
      <w:tabs>
        <w:tab w:val="center" w:pos="4153"/>
        <w:tab w:val="right" w:pos="8306"/>
      </w:tabs>
      <w:snapToGrid w:val="0"/>
      <w:jc w:val="center"/>
    </w:pPr>
    <w:rPr>
      <w:kern w:val="2"/>
      <w:sz w:val="18"/>
      <w:szCs w:val="18"/>
    </w:rPr>
  </w:style>
  <w:style w:type="paragraph" w:styleId="17">
    <w:name w:val="Subtitle"/>
    <w:basedOn w:val="1"/>
    <w:next w:val="1"/>
    <w:link w:val="38"/>
    <w:qFormat/>
    <w:uiPriority w:val="11"/>
    <w:pPr>
      <w:spacing w:after="60"/>
      <w:jc w:val="center"/>
      <w:outlineLvl w:val="1"/>
    </w:pPr>
    <w:rPr>
      <w:rFonts w:ascii="Cambria" w:hAnsi="Cambria"/>
    </w:rPr>
  </w:style>
  <w:style w:type="paragraph" w:styleId="18">
    <w:name w:val="Title"/>
    <w:basedOn w:val="1"/>
    <w:next w:val="1"/>
    <w:link w:val="39"/>
    <w:qFormat/>
    <w:uiPriority w:val="10"/>
    <w:pPr>
      <w:spacing w:before="240" w:after="60"/>
      <w:jc w:val="center"/>
      <w:outlineLvl w:val="0"/>
    </w:pPr>
    <w:rPr>
      <w:rFonts w:ascii="Cambria" w:hAnsi="Cambria"/>
      <w:b/>
      <w:bCs/>
      <w:kern w:val="28"/>
      <w:sz w:val="32"/>
      <w:szCs w:val="32"/>
    </w:rPr>
  </w:style>
  <w:style w:type="character" w:styleId="21">
    <w:name w:val="Strong"/>
    <w:basedOn w:val="20"/>
    <w:qFormat/>
    <w:uiPriority w:val="22"/>
    <w:rPr>
      <w:rFonts w:cs="Times New Roman"/>
      <w:b/>
      <w:bCs/>
    </w:rPr>
  </w:style>
  <w:style w:type="character" w:styleId="22">
    <w:name w:val="FollowedHyperlink"/>
    <w:basedOn w:val="20"/>
    <w:unhideWhenUsed/>
    <w:uiPriority w:val="99"/>
    <w:rPr>
      <w:color w:val="666666"/>
      <w:u w:val="none"/>
    </w:rPr>
  </w:style>
  <w:style w:type="character" w:styleId="23">
    <w:name w:val="Emphasis"/>
    <w:basedOn w:val="20"/>
    <w:qFormat/>
    <w:uiPriority w:val="20"/>
    <w:rPr>
      <w:rFonts w:ascii="Calibri" w:hAnsi="Calibri" w:cs="Times New Roman"/>
      <w:b/>
      <w:i/>
      <w:iCs/>
    </w:rPr>
  </w:style>
  <w:style w:type="character" w:styleId="24">
    <w:name w:val="Hyperlink"/>
    <w:basedOn w:val="20"/>
    <w:unhideWhenUsed/>
    <w:uiPriority w:val="99"/>
    <w:rPr>
      <w:rFonts w:cs="Times New Roman"/>
      <w:color w:val="0000FF"/>
      <w:u w:val="single"/>
    </w:rPr>
  </w:style>
  <w:style w:type="character" w:customStyle="1" w:styleId="25">
    <w:name w:val=" Char Char13"/>
    <w:basedOn w:val="20"/>
    <w:link w:val="4"/>
    <w:locked/>
    <w:uiPriority w:val="9"/>
    <w:rPr>
      <w:rFonts w:ascii="Cambria" w:hAnsi="Cambria" w:eastAsia="宋体" w:cs="Times New Roman"/>
      <w:b/>
      <w:bCs/>
      <w:kern w:val="32"/>
      <w:sz w:val="32"/>
      <w:szCs w:val="32"/>
    </w:rPr>
  </w:style>
  <w:style w:type="character" w:customStyle="1" w:styleId="26">
    <w:name w:val=" Char Char12"/>
    <w:basedOn w:val="20"/>
    <w:link w:val="5"/>
    <w:semiHidden/>
    <w:locked/>
    <w:uiPriority w:val="9"/>
    <w:rPr>
      <w:rFonts w:ascii="Cambria" w:hAnsi="Cambria" w:eastAsia="宋体" w:cs="Times New Roman"/>
      <w:b/>
      <w:bCs/>
      <w:i/>
      <w:iCs/>
      <w:sz w:val="28"/>
      <w:szCs w:val="28"/>
    </w:rPr>
  </w:style>
  <w:style w:type="character" w:customStyle="1" w:styleId="27">
    <w:name w:val=" Char Char11"/>
    <w:basedOn w:val="20"/>
    <w:link w:val="6"/>
    <w:semiHidden/>
    <w:locked/>
    <w:uiPriority w:val="9"/>
    <w:rPr>
      <w:rFonts w:ascii="Cambria" w:hAnsi="Cambria" w:eastAsia="宋体" w:cs="Times New Roman"/>
      <w:b/>
      <w:bCs/>
      <w:sz w:val="26"/>
      <w:szCs w:val="26"/>
    </w:rPr>
  </w:style>
  <w:style w:type="character" w:customStyle="1" w:styleId="28">
    <w:name w:val=" Char Char10"/>
    <w:basedOn w:val="20"/>
    <w:link w:val="7"/>
    <w:semiHidden/>
    <w:locked/>
    <w:uiPriority w:val="9"/>
    <w:rPr>
      <w:rFonts w:cs="Times New Roman"/>
      <w:b/>
      <w:bCs/>
      <w:sz w:val="28"/>
      <w:szCs w:val="28"/>
    </w:rPr>
  </w:style>
  <w:style w:type="character" w:customStyle="1" w:styleId="29">
    <w:name w:val=" Char Char9"/>
    <w:basedOn w:val="20"/>
    <w:link w:val="8"/>
    <w:semiHidden/>
    <w:locked/>
    <w:uiPriority w:val="9"/>
    <w:rPr>
      <w:rFonts w:cs="Times New Roman"/>
      <w:b/>
      <w:bCs/>
      <w:i/>
      <w:iCs/>
      <w:sz w:val="26"/>
      <w:szCs w:val="26"/>
    </w:rPr>
  </w:style>
  <w:style w:type="character" w:customStyle="1" w:styleId="30">
    <w:name w:val=" Char Char8"/>
    <w:basedOn w:val="20"/>
    <w:link w:val="9"/>
    <w:semiHidden/>
    <w:locked/>
    <w:uiPriority w:val="9"/>
    <w:rPr>
      <w:rFonts w:cs="Times New Roman"/>
      <w:b/>
      <w:bCs/>
    </w:rPr>
  </w:style>
  <w:style w:type="character" w:customStyle="1" w:styleId="31">
    <w:name w:val=" Char Char7"/>
    <w:basedOn w:val="20"/>
    <w:link w:val="10"/>
    <w:semiHidden/>
    <w:locked/>
    <w:uiPriority w:val="9"/>
    <w:rPr>
      <w:rFonts w:cs="Times New Roman"/>
      <w:sz w:val="24"/>
      <w:szCs w:val="24"/>
    </w:rPr>
  </w:style>
  <w:style w:type="character" w:customStyle="1" w:styleId="32">
    <w:name w:val=" Char Char6"/>
    <w:basedOn w:val="20"/>
    <w:link w:val="11"/>
    <w:semiHidden/>
    <w:locked/>
    <w:uiPriority w:val="9"/>
    <w:rPr>
      <w:rFonts w:cs="Times New Roman"/>
      <w:i/>
      <w:iCs/>
      <w:sz w:val="24"/>
      <w:szCs w:val="24"/>
    </w:rPr>
  </w:style>
  <w:style w:type="character" w:customStyle="1" w:styleId="33">
    <w:name w:val=" Char Char5"/>
    <w:basedOn w:val="20"/>
    <w:link w:val="12"/>
    <w:semiHidden/>
    <w:qFormat/>
    <w:locked/>
    <w:uiPriority w:val="9"/>
    <w:rPr>
      <w:rFonts w:ascii="Cambria" w:hAnsi="Cambria" w:eastAsia="宋体" w:cs="Times New Roman"/>
    </w:rPr>
  </w:style>
  <w:style w:type="character" w:customStyle="1" w:styleId="34">
    <w:name w:val="普通文字 Char2"/>
    <w:basedOn w:val="20"/>
    <w:link w:val="13"/>
    <w:locked/>
    <w:uiPriority w:val="0"/>
    <w:rPr>
      <w:rFonts w:ascii="宋体" w:hAnsi="Courier New" w:eastAsia="宋体" w:cs="Times New Roman"/>
      <w:sz w:val="20"/>
      <w:szCs w:val="20"/>
    </w:rPr>
  </w:style>
  <w:style w:type="character" w:customStyle="1" w:styleId="35">
    <w:name w:val=" Char Char2"/>
    <w:basedOn w:val="20"/>
    <w:link w:val="14"/>
    <w:semiHidden/>
    <w:locked/>
    <w:uiPriority w:val="99"/>
    <w:rPr>
      <w:rFonts w:ascii="Times New Roman" w:hAnsi="Times New Roman" w:eastAsia="宋体" w:cs="Times New Roman"/>
      <w:kern w:val="0"/>
      <w:sz w:val="18"/>
      <w:szCs w:val="18"/>
    </w:rPr>
  </w:style>
  <w:style w:type="character" w:customStyle="1" w:styleId="36">
    <w:name w:val=" Char Char3"/>
    <w:basedOn w:val="20"/>
    <w:link w:val="15"/>
    <w:locked/>
    <w:uiPriority w:val="99"/>
    <w:rPr>
      <w:rFonts w:cs="Times New Roman"/>
      <w:sz w:val="18"/>
      <w:szCs w:val="18"/>
    </w:rPr>
  </w:style>
  <w:style w:type="character" w:customStyle="1" w:styleId="37">
    <w:name w:val=" Char Char4"/>
    <w:basedOn w:val="20"/>
    <w:link w:val="16"/>
    <w:qFormat/>
    <w:locked/>
    <w:uiPriority w:val="99"/>
    <w:rPr>
      <w:rFonts w:cs="Times New Roman"/>
      <w:sz w:val="18"/>
      <w:szCs w:val="18"/>
    </w:rPr>
  </w:style>
  <w:style w:type="character" w:customStyle="1" w:styleId="38">
    <w:name w:val=" Char Char"/>
    <w:basedOn w:val="20"/>
    <w:link w:val="17"/>
    <w:locked/>
    <w:uiPriority w:val="11"/>
    <w:rPr>
      <w:rFonts w:ascii="Cambria" w:hAnsi="Cambria" w:eastAsia="宋体" w:cs="Times New Roman"/>
      <w:sz w:val="24"/>
      <w:szCs w:val="24"/>
    </w:rPr>
  </w:style>
  <w:style w:type="character" w:customStyle="1" w:styleId="39">
    <w:name w:val=" Char Char1"/>
    <w:basedOn w:val="20"/>
    <w:link w:val="18"/>
    <w:locked/>
    <w:uiPriority w:val="10"/>
    <w:rPr>
      <w:rFonts w:ascii="Cambria" w:hAnsi="Cambria" w:eastAsia="宋体" w:cs="Times New Roman"/>
      <w:b/>
      <w:bCs/>
      <w:kern w:val="28"/>
      <w:sz w:val="32"/>
      <w:szCs w:val="32"/>
    </w:rPr>
  </w:style>
  <w:style w:type="character" w:customStyle="1" w:styleId="40">
    <w:name w:val="Quote Char"/>
    <w:basedOn w:val="20"/>
    <w:link w:val="41"/>
    <w:locked/>
    <w:uiPriority w:val="29"/>
    <w:rPr>
      <w:rFonts w:cs="Times New Roman"/>
      <w:i/>
      <w:sz w:val="24"/>
      <w:szCs w:val="24"/>
    </w:rPr>
  </w:style>
  <w:style w:type="paragraph" w:customStyle="1" w:styleId="41">
    <w:name w:val="Quote"/>
    <w:basedOn w:val="1"/>
    <w:next w:val="1"/>
    <w:link w:val="40"/>
    <w:qFormat/>
    <w:uiPriority w:val="29"/>
    <w:rPr>
      <w:i/>
    </w:rPr>
  </w:style>
  <w:style w:type="character" w:customStyle="1" w:styleId="42">
    <w:name w:val="Intense Emphasis"/>
    <w:basedOn w:val="20"/>
    <w:qFormat/>
    <w:uiPriority w:val="21"/>
    <w:rPr>
      <w:rFonts w:cs="Times New Roman"/>
      <w:b/>
      <w:i/>
      <w:sz w:val="24"/>
      <w:szCs w:val="24"/>
      <w:u w:val="single"/>
    </w:rPr>
  </w:style>
  <w:style w:type="character" w:customStyle="1" w:styleId="43">
    <w:name w:val="Book Title"/>
    <w:basedOn w:val="20"/>
    <w:qFormat/>
    <w:uiPriority w:val="33"/>
    <w:rPr>
      <w:rFonts w:ascii="Cambria" w:hAnsi="Cambria" w:eastAsia="宋体" w:cs="Times New Roman"/>
      <w:b/>
      <w:i/>
      <w:sz w:val="24"/>
      <w:szCs w:val="24"/>
    </w:rPr>
  </w:style>
  <w:style w:type="character" w:customStyle="1" w:styleId="44">
    <w:name w:val="Intense Quote Char"/>
    <w:basedOn w:val="20"/>
    <w:link w:val="45"/>
    <w:locked/>
    <w:uiPriority w:val="30"/>
    <w:rPr>
      <w:rFonts w:cs="Times New Roman"/>
      <w:b/>
      <w:i/>
      <w:sz w:val="24"/>
    </w:rPr>
  </w:style>
  <w:style w:type="paragraph" w:customStyle="1" w:styleId="45">
    <w:name w:val="Intense Quote"/>
    <w:basedOn w:val="1"/>
    <w:next w:val="1"/>
    <w:link w:val="44"/>
    <w:qFormat/>
    <w:uiPriority w:val="30"/>
    <w:pPr>
      <w:ind w:left="720" w:right="720"/>
    </w:pPr>
    <w:rPr>
      <w:b/>
      <w:i/>
      <w:szCs w:val="22"/>
    </w:rPr>
  </w:style>
  <w:style w:type="character" w:customStyle="1" w:styleId="46">
    <w:name w:val="Subtle Reference"/>
    <w:basedOn w:val="20"/>
    <w:qFormat/>
    <w:uiPriority w:val="31"/>
    <w:rPr>
      <w:rFonts w:cs="Times New Roman"/>
      <w:sz w:val="24"/>
      <w:szCs w:val="24"/>
      <w:u w:val="single"/>
    </w:rPr>
  </w:style>
  <w:style w:type="character" w:customStyle="1" w:styleId="47">
    <w:name w:val="Subtle Emphasis"/>
    <w:basedOn w:val="20"/>
    <w:qFormat/>
    <w:uiPriority w:val="19"/>
    <w:rPr>
      <w:i/>
      <w:color w:val="5A5A5A"/>
    </w:rPr>
  </w:style>
  <w:style w:type="character" w:customStyle="1" w:styleId="48">
    <w:name w:val="Intense Reference"/>
    <w:basedOn w:val="20"/>
    <w:qFormat/>
    <w:uiPriority w:val="32"/>
    <w:rPr>
      <w:rFonts w:cs="Times New Roman"/>
      <w:b/>
      <w:sz w:val="24"/>
      <w:u w:val="single"/>
    </w:rPr>
  </w:style>
  <w:style w:type="character" w:customStyle="1" w:styleId="49">
    <w:name w:val="Plain Text Char"/>
    <w:basedOn w:val="20"/>
    <w:semiHidden/>
    <w:uiPriority w:val="99"/>
    <w:rPr>
      <w:rFonts w:ascii="宋体" w:hAnsi="Courier New" w:cs="Courier New"/>
      <w:sz w:val="21"/>
      <w:szCs w:val="21"/>
    </w:rPr>
  </w:style>
  <w:style w:type="paragraph" w:customStyle="1" w:styleId="50">
    <w:name w:val="Char"/>
    <w:basedOn w:val="1"/>
    <w:uiPriority w:val="0"/>
    <w:pPr>
      <w:spacing w:after="160" w:line="240" w:lineRule="exact"/>
    </w:pPr>
    <w:rPr>
      <w:rFonts w:ascii="Verdana" w:hAnsi="Verdana"/>
      <w:sz w:val="20"/>
      <w:lang w:eastAsia="en-US"/>
    </w:rPr>
  </w:style>
  <w:style w:type="paragraph" w:customStyle="1" w:styleId="51">
    <w:name w:val="No Spacing"/>
    <w:basedOn w:val="1"/>
    <w:qFormat/>
    <w:uiPriority w:val="1"/>
    <w:rPr>
      <w:szCs w:val="32"/>
    </w:rPr>
  </w:style>
  <w:style w:type="paragraph" w:customStyle="1" w:styleId="52">
    <w:name w:val="TOC Heading"/>
    <w:basedOn w:val="4"/>
    <w:next w:val="1"/>
    <w:unhideWhenUsed/>
    <w:qFormat/>
    <w:uiPriority w:val="39"/>
    <w:pPr>
      <w:outlineLvl w:val="9"/>
    </w:pPr>
  </w:style>
  <w:style w:type="paragraph" w:customStyle="1" w:styleId="53">
    <w:name w:val="Char1"/>
    <w:basedOn w:val="1"/>
    <w:qFormat/>
    <w:uiPriority w:val="0"/>
    <w:pPr>
      <w:spacing w:after="160" w:line="240" w:lineRule="exact"/>
    </w:pPr>
    <w:rPr>
      <w:rFonts w:ascii="Verdana" w:hAnsi="Verdana"/>
      <w:sz w:val="20"/>
      <w:szCs w:val="20"/>
      <w:lang w:eastAsia="en-US"/>
    </w:rPr>
  </w:style>
  <w:style w:type="paragraph" w:customStyle="1" w:styleId="5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1885</Words>
  <Characters>2177</Characters>
  <Lines>12</Lines>
  <Paragraphs>3</Paragraphs>
  <TotalTime>0</TotalTime>
  <ScaleCrop>false</ScaleCrop>
  <LinksUpToDate>false</LinksUpToDate>
  <CharactersWithSpaces>2327</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2015-05-22T09:45:00Z</dcterms:created>
  <dc:creator>SunRongnian</dc:creator>
  <cp:lastModifiedBy>沈宁</cp:lastModifiedBy>
  <dcterms:modified xsi:type="dcterms:W3CDTF">2024-12-22T01:55:44Z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DE1E8F4C370F4450A95885FDB6F000C6_13</vt:lpwstr>
  </property>
</Properties>
</file>