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rPr>
          <w:rFonts w:hint="eastAsia" w:ascii="宋体"/>
          <w:b/>
          <w:sz w:val="44"/>
          <w:szCs w:val="44"/>
        </w:rPr>
      </w:pPr>
    </w:p>
    <w:p>
      <w:pPr>
        <w:autoSpaceDE w:val="0"/>
        <w:autoSpaceDN w:val="0"/>
        <w:spacing w:line="360" w:lineRule="auto"/>
        <w:ind w:left="840" w:leftChars="350"/>
        <w:rPr>
          <w:rFonts w:asci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新烧变频器\EC570-4BXX-013A 5.5kW AC380V 13A</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（70386879）</w:t>
      </w:r>
    </w:p>
    <w:p>
      <w:pPr>
        <w:snapToGrid w:val="0"/>
        <w:spacing w:line="360" w:lineRule="auto"/>
        <w:ind w:right="-447"/>
        <w:jc w:val="center"/>
        <w:rPr>
          <w:rFonts w:hint="default" w:ascii="仿宋" w:hAnsi="仿宋" w:eastAsia="仿宋" w:cs="仿宋"/>
          <w:b/>
          <w:sz w:val="36"/>
          <w:szCs w:val="48"/>
          <w:highlight w:val="yellow"/>
          <w:lang w:val="en-US" w:eastAsia="zh-CN"/>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
    <w:p/>
    <w:p/>
    <w:p/>
    <w:p/>
    <w:p/>
    <w:p/>
    <w:p/>
    <w:p/>
    <w:p/>
    <w:p/>
    <w:p/>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rPr>
          <w:rFonts w:ascii="宋体"/>
          <w:b/>
          <w:sz w:val="32"/>
          <w:szCs w:val="32"/>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变频器\EC570-4BXX-013A 5.5kW AC380V 13A</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tabs>
          <w:tab w:val="left" w:pos="360"/>
        </w:tabs>
        <w:ind w:firstLine="481" w:firstLineChars="228"/>
        <w:jc w:val="both"/>
        <w:rPr>
          <w:rFonts w:hint="eastAsia" w:ascii="宋体" w:hAnsi="宋体"/>
          <w:sz w:val="21"/>
          <w:szCs w:val="21"/>
        </w:rPr>
      </w:pPr>
      <w:r>
        <w:rPr>
          <w:rFonts w:hint="eastAsia" w:ascii="仿宋" w:hAnsi="仿宋" w:eastAsia="仿宋" w:cs="仿宋"/>
          <w:b/>
          <w:color w:val="0000FF"/>
          <w:sz w:val="21"/>
          <w:szCs w:val="21"/>
          <w:highlight w:val="yellow"/>
          <w:lang w:val="en-US" w:eastAsia="zh-CN"/>
        </w:rPr>
        <w:t>乙方在投标前，必须与甲方充分技术交流后并签订标签技术协议，方可参标。</w:t>
      </w:r>
      <w:r>
        <w:rPr>
          <w:rFonts w:hint="eastAsia" w:ascii="宋体" w:hAnsi="宋体"/>
          <w:sz w:val="21"/>
          <w:szCs w:val="21"/>
        </w:rPr>
        <w:t>。</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64"/>
        <w:gridCol w:w="53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3"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55"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E-CONVERT中冶南方变频器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55" w:type="dxa"/>
            <w:noWrap w:val="0"/>
            <w:vAlign w:val="center"/>
          </w:tcPr>
          <w:p>
            <w:pPr>
              <w:widowControl w:val="0"/>
              <w:spacing w:line="360" w:lineRule="auto"/>
              <w:jc w:val="center"/>
              <w:rPr>
                <w:rFonts w:hint="eastAsia" w:ascii="宋体" w:hAnsi="宋体"/>
                <w:kern w:val="2"/>
                <w:sz w:val="21"/>
                <w:szCs w:val="21"/>
                <w:lang w:eastAsia="zh-CN"/>
              </w:rPr>
            </w:pPr>
            <w:r>
              <w:rPr>
                <w:rFonts w:hint="default" w:ascii="宋体" w:hAnsi="宋体"/>
                <w:kern w:val="2"/>
                <w:sz w:val="21"/>
                <w:szCs w:val="21"/>
                <w:lang w:val="en-US" w:eastAsia="zh-CN"/>
              </w:rPr>
              <w:t>EC570-4BXX-013A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输入电压</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3AC380V(±20%)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频率</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50Hz/60Hz，波动范围：±5%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32" w:hRule="exact"/>
          <w:tblHeader/>
          <w:jc w:val="center"/>
        </w:trPr>
        <w:tc>
          <w:tcPr>
            <w:tcW w:w="2864" w:type="dxa"/>
            <w:noWrap w:val="0"/>
            <w:vAlign w:val="center"/>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输出电压</w:t>
            </w:r>
          </w:p>
        </w:tc>
        <w:tc>
          <w:tcPr>
            <w:tcW w:w="5355"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3AC 0~Usupply</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12" w:hRule="exact"/>
          <w:tblHeader/>
          <w:jc w:val="center"/>
        </w:trPr>
        <w:tc>
          <w:tcPr>
            <w:tcW w:w="2864" w:type="dxa"/>
            <w:noWrap w:val="0"/>
            <w:vAlign w:val="top"/>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最大输出频率</w:t>
            </w:r>
          </w:p>
        </w:tc>
        <w:tc>
          <w:tcPr>
            <w:tcW w:w="5355"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500Hz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80"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安规</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CE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707"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◆使用环境</w:t>
            </w:r>
          </w:p>
        </w:tc>
        <w:tc>
          <w:tcPr>
            <w:tcW w:w="5355" w:type="dxa"/>
            <w:noWrap w:val="0"/>
            <w:vAlign w:val="top"/>
          </w:tcPr>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运行环境温度：-10℃~+50℃，40℃以上需降额使用，环境温度每升高1℃降额1%</w:t>
            </w:r>
          </w:p>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相对湿度：5%~95%，无凝霜、无凝珠</w:t>
            </w:r>
          </w:p>
          <w:p>
            <w:pPr>
              <w:widowControl w:val="0"/>
              <w:numPr>
                <w:ilvl w:val="0"/>
                <w:numId w:val="0"/>
              </w:numPr>
              <w:spacing w:line="360" w:lineRule="auto"/>
              <w:jc w:val="center"/>
              <w:rPr>
                <w:rFonts w:hint="default"/>
                <w:sz w:val="21"/>
                <w:szCs w:val="21"/>
                <w:lang w:val="en-US" w:eastAsia="zh-CN"/>
              </w:rPr>
            </w:pPr>
            <w:r>
              <w:rPr>
                <w:rFonts w:hint="eastAsia"/>
                <w:sz w:val="21"/>
                <w:szCs w:val="21"/>
                <w:lang w:val="en-US" w:eastAsia="zh-CN"/>
              </w:rPr>
              <w:t>海拔高度：0~3000米，1000米以上需降额使用，海拔每升高100m降额1%</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809"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eastAsia="宋体"/>
                <w:kern w:val="2"/>
                <w:sz w:val="21"/>
                <w:szCs w:val="21"/>
                <w:lang w:eastAsia="zh-CN"/>
              </w:rPr>
              <w:t>防护等级</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IP20</w:t>
            </w:r>
          </w:p>
        </w:tc>
      </w:tr>
    </w:tbl>
    <w:p>
      <w:pPr>
        <w:spacing w:line="360" w:lineRule="auto"/>
        <w:rPr>
          <w:rFonts w:hint="eastAsia" w:ascii="宋体" w:hAnsi="宋体"/>
          <w:b/>
          <w:spacing w:val="-4"/>
          <w:kern w:val="28"/>
          <w:sz w:val="21"/>
          <w:szCs w:val="21"/>
        </w:rPr>
      </w:pPr>
    </w:p>
    <w:p>
      <w:pPr>
        <w:pStyle w:val="3"/>
        <w:rPr>
          <w:rFonts w:hint="eastAsia" w:ascii="宋体" w:hAnsi="宋体"/>
          <w:b/>
          <w:spacing w:val="-4"/>
          <w:kern w:val="28"/>
          <w:sz w:val="21"/>
          <w:szCs w:val="21"/>
        </w:rPr>
      </w:pPr>
    </w:p>
    <w:p>
      <w:pPr>
        <w:pStyle w:val="2"/>
        <w:rPr>
          <w:rFonts w:hint="eastAsia"/>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spacing w:line="360" w:lineRule="auto"/>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 安装环境与流程</w:t>
      </w:r>
    </w:p>
    <w:p>
      <w:pPr>
        <w:pStyle w:val="2"/>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3.1.1 变频器在长期存放后的使用</w:t>
      </w:r>
    </w:p>
    <w:p>
      <w:pPr>
        <w:pStyle w:val="2"/>
        <w:ind w:firstLine="630" w:firstLineChars="300"/>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如果变频器的存放时间超过1年后进行安装，您必须对其中的电容器重新进行处理。</w:t>
      </w:r>
    </w:p>
    <w:p>
      <w:pPr>
        <w:pStyle w:val="3"/>
        <w:jc w:val="center"/>
      </w:pPr>
      <w:r>
        <w:drawing>
          <wp:inline distT="0" distB="0" distL="114300" distR="114300">
            <wp:extent cx="4856480" cy="4872990"/>
            <wp:effectExtent l="0" t="0" r="1270" b="381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4856480" cy="4872990"/>
                    </a:xfrm>
                    <a:prstGeom prst="rect">
                      <a:avLst/>
                    </a:prstGeom>
                    <a:noFill/>
                    <a:ln>
                      <a:noFill/>
                    </a:ln>
                  </pic:spPr>
                </pic:pic>
              </a:graphicData>
            </a:graphic>
          </wp:inline>
        </w:drawing>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3.1.2 安装环境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1)环境温度:周围环境温度对变频器寿命有很大影响，不允许变频器的运行环境温度超过允许温度范围(-10℃-50℃)。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2)将变频器装于阻燃物体的表面，并用螺丝垂直安装在安装支座上，需参照3.1.3章节要求预留足够空间散热。变频器工作时易产生大量热量。</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3)请安装在不易振动的地方。振动应不大于0.6G。特别注意远离冲床等设备。</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4)避免装于阳光直射、潮湿、有水珠的地方。</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5)避免装于空气中有腐蚀性、易燃性、易爆性气体的场所</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6)避免装在有油污、粉尘的场所。</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 安装空间</w:t>
      </w:r>
    </w:p>
    <w:p>
      <w:pPr>
        <w:pStyle w:val="2"/>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为保证变频器能够正常的运行，需要在安装前预留足够的空间以保证正常的散热需求。单机安装，请参照图 3-2、3-3 和表3-1、3-2对变频器四周空间进行预留。</w:t>
      </w:r>
    </w:p>
    <w:p>
      <w:pPr>
        <w:pStyle w:val="2"/>
        <w:jc w:val="center"/>
      </w:pPr>
      <w:r>
        <w:drawing>
          <wp:inline distT="0" distB="0" distL="114300" distR="114300">
            <wp:extent cx="4010025" cy="3580765"/>
            <wp:effectExtent l="0" t="0" r="9525" b="63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6"/>
                    <a:stretch>
                      <a:fillRect/>
                    </a:stretch>
                  </pic:blipFill>
                  <pic:spPr>
                    <a:xfrm>
                      <a:off x="0" y="0"/>
                      <a:ext cx="4010025" cy="3580765"/>
                    </a:xfrm>
                    <a:prstGeom prst="rect">
                      <a:avLst/>
                    </a:prstGeom>
                    <a:noFill/>
                    <a:ln>
                      <a:noFill/>
                    </a:ln>
                  </pic:spPr>
                </pic:pic>
              </a:graphicData>
            </a:graphic>
          </wp:inline>
        </w:drawing>
      </w:r>
    </w:p>
    <w:p>
      <w:pPr>
        <w:pStyle w:val="3"/>
        <w:rPr>
          <w:rFonts w:hint="default" w:eastAsia="宋体"/>
          <w:sz w:val="21"/>
          <w:szCs w:val="21"/>
          <w:lang w:val="en-US" w:eastAsia="zh-CN"/>
        </w:rPr>
      </w:pPr>
      <w:r>
        <w:rPr>
          <w:rFonts w:hint="eastAsia"/>
          <w:sz w:val="21"/>
          <w:szCs w:val="21"/>
          <w:lang w:val="en-US" w:eastAsia="zh-CN"/>
        </w:rPr>
        <w:t>3.2安装方法</w:t>
      </w:r>
    </w:p>
    <w:p>
      <w:pPr>
        <w:pStyle w:val="3"/>
        <w:rPr>
          <w:rFonts w:hint="eastAsia"/>
          <w:sz w:val="21"/>
          <w:szCs w:val="21"/>
          <w:lang w:val="en-US" w:eastAsia="zh-CN"/>
        </w:rPr>
      </w:pPr>
      <w:r>
        <w:rPr>
          <w:rFonts w:hint="eastAsia"/>
          <w:sz w:val="21"/>
          <w:szCs w:val="21"/>
          <w:lang w:val="en-US" w:eastAsia="zh-CN"/>
        </w:rPr>
        <w:t>3.2.1 壁挂式安装</w:t>
      </w:r>
    </w:p>
    <w:p>
      <w:pPr>
        <w:pStyle w:val="3"/>
        <w:ind w:firstLine="630" w:firstLineChars="300"/>
        <w:rPr>
          <w:rFonts w:hint="eastAsia"/>
          <w:sz w:val="21"/>
          <w:szCs w:val="21"/>
          <w:lang w:val="en-US" w:eastAsia="zh-CN"/>
        </w:rPr>
      </w:pPr>
      <w:r>
        <w:rPr>
          <w:rFonts w:hint="eastAsia"/>
          <w:sz w:val="21"/>
          <w:szCs w:val="21"/>
          <w:lang w:val="en-US" w:eastAsia="zh-CN"/>
        </w:rPr>
        <w:t>1)为保证变频器的正常运行，需要对变频器进行可靠地固定，请按照表 3-4和图3-6预先打好安装固定孔，并按照表3-4使用指定紧固件。</w:t>
      </w:r>
    </w:p>
    <w:p>
      <w:pPr>
        <w:jc w:val="center"/>
      </w:pPr>
      <w:r>
        <w:drawing>
          <wp:inline distT="0" distB="0" distL="114300" distR="114300">
            <wp:extent cx="4829810" cy="2092325"/>
            <wp:effectExtent l="0" t="0" r="8890" b="3175"/>
            <wp:docPr id="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pic:cNvPicPr>
                      <a:picLocks noChangeAspect="1"/>
                    </pic:cNvPicPr>
                  </pic:nvPicPr>
                  <pic:blipFill>
                    <a:blip r:embed="rId7"/>
                    <a:stretch>
                      <a:fillRect/>
                    </a:stretch>
                  </pic:blipFill>
                  <pic:spPr>
                    <a:xfrm>
                      <a:off x="0" y="0"/>
                      <a:ext cx="4829810" cy="2092325"/>
                    </a:xfrm>
                    <a:prstGeom prst="rect">
                      <a:avLst/>
                    </a:prstGeom>
                    <a:noFill/>
                    <a:ln>
                      <a:noFill/>
                    </a:ln>
                  </pic:spPr>
                </pic:pic>
              </a:graphicData>
            </a:graphic>
          </wp:inline>
        </w:drawing>
      </w:r>
    </w:p>
    <w:p>
      <w:pPr>
        <w:pStyle w:val="2"/>
        <w:jc w:val="center"/>
      </w:pPr>
      <w:r>
        <w:drawing>
          <wp:inline distT="0" distB="0" distL="114300" distR="114300">
            <wp:extent cx="1782445" cy="2461895"/>
            <wp:effectExtent l="0" t="0" r="8255" b="14605"/>
            <wp:docPr id="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pic:cNvPicPr>
                      <a:picLocks noChangeAspect="1"/>
                    </pic:cNvPicPr>
                  </pic:nvPicPr>
                  <pic:blipFill>
                    <a:blip r:embed="rId8"/>
                    <a:stretch>
                      <a:fillRect/>
                    </a:stretch>
                  </pic:blipFill>
                  <pic:spPr>
                    <a:xfrm>
                      <a:off x="0" y="0"/>
                      <a:ext cx="1782445" cy="2461895"/>
                    </a:xfrm>
                    <a:prstGeom prst="rect">
                      <a:avLst/>
                    </a:prstGeom>
                    <a:noFill/>
                    <a:ln>
                      <a:noFill/>
                    </a:ln>
                  </pic:spPr>
                </pic:pic>
              </a:graphicData>
            </a:graphic>
          </wp:inline>
        </w:drawing>
      </w:r>
    </w:p>
    <w:p>
      <w:pPr>
        <w:pStyle w:val="3"/>
        <w:numPr>
          <w:ilvl w:val="0"/>
          <w:numId w:val="0"/>
        </w:numPr>
        <w:ind w:firstLine="420" w:firstLineChars="200"/>
        <w:rPr>
          <w:rFonts w:hint="eastAsia"/>
          <w:sz w:val="21"/>
          <w:szCs w:val="21"/>
          <w:lang w:val="en-US" w:eastAsia="zh-CN"/>
        </w:rPr>
      </w:pPr>
      <w:r>
        <w:rPr>
          <w:rFonts w:hint="eastAsia"/>
          <w:sz w:val="21"/>
          <w:szCs w:val="21"/>
          <w:lang w:val="en-US" w:eastAsia="zh-CN"/>
        </w:rPr>
        <w:t>2）对于BC尺寸机型可直接用手支撑抬起机身并使其背面安装孔对准机柜安装孔位，然后按照表 3-4使用对应规格的紧固件拧紫固定变频器:对于DH尺寸机型可利用变频器顶部吊装孔进行吊装使其背面安装孔对准机柜安装孔位，然后按照表3-4使用对应规格的紧固件拧紧固定变频器。</w:t>
      </w:r>
    </w:p>
    <w:p>
      <w:pPr>
        <w:numPr>
          <w:ilvl w:val="0"/>
          <w:numId w:val="0"/>
        </w:numPr>
        <w:jc w:val="center"/>
      </w:pPr>
      <w:r>
        <w:drawing>
          <wp:inline distT="0" distB="0" distL="114300" distR="114300">
            <wp:extent cx="3867150" cy="3305175"/>
            <wp:effectExtent l="0" t="0" r="0" b="9525"/>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9"/>
                    <a:stretch>
                      <a:fillRect/>
                    </a:stretch>
                  </pic:blipFill>
                  <pic:spPr>
                    <a:xfrm>
                      <a:off x="0" y="0"/>
                      <a:ext cx="3867150" cy="3305175"/>
                    </a:xfrm>
                    <a:prstGeom prst="rect">
                      <a:avLst/>
                    </a:prstGeom>
                    <a:noFill/>
                    <a:ln>
                      <a:noFill/>
                    </a:ln>
                  </pic:spPr>
                </pic:pic>
              </a:graphicData>
            </a:graphic>
          </wp:inline>
        </w:drawing>
      </w:r>
    </w:p>
    <w:p>
      <w:pPr>
        <w:pStyle w:val="2"/>
        <w:jc w:val="center"/>
      </w:pPr>
      <w:r>
        <w:drawing>
          <wp:inline distT="0" distB="0" distL="114300" distR="114300">
            <wp:extent cx="5076825" cy="5143500"/>
            <wp:effectExtent l="0" t="0" r="9525" b="0"/>
            <wp:docPr id="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5"/>
                    <pic:cNvPicPr>
                      <a:picLocks noChangeAspect="1"/>
                    </pic:cNvPicPr>
                  </pic:nvPicPr>
                  <pic:blipFill>
                    <a:blip r:embed="rId10"/>
                    <a:stretch>
                      <a:fillRect/>
                    </a:stretch>
                  </pic:blipFill>
                  <pic:spPr>
                    <a:xfrm>
                      <a:off x="0" y="0"/>
                      <a:ext cx="5076825" cy="5143500"/>
                    </a:xfrm>
                    <a:prstGeom prst="rect">
                      <a:avLst/>
                    </a:prstGeom>
                    <a:noFill/>
                    <a:ln>
                      <a:noFill/>
                    </a:ln>
                  </pic:spPr>
                </pic:pic>
              </a:graphicData>
            </a:graphic>
          </wp:inline>
        </w:drawing>
      </w:r>
    </w:p>
    <w:p>
      <w:pPr>
        <w:pStyle w:val="3"/>
      </w:pPr>
    </w:p>
    <w:p>
      <w:pPr>
        <w:rPr>
          <w:rFonts w:hint="eastAsia"/>
          <w:lang w:val="en-US" w:eastAsia="zh-CN"/>
        </w:rPr>
      </w:pP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 端子定义与接线</w:t>
      </w: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3.3.1 标准接线图</w:t>
      </w:r>
    </w:p>
    <w:p>
      <w:pPr>
        <w:pStyle w:val="3"/>
        <w:ind w:firstLine="630" w:firstLineChars="300"/>
        <w:rPr>
          <w:rFonts w:hint="eastAsia" w:hAnsi="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典型接线如下图3-28所示，请注意2.2kW~75kW机型、90kw~355kW机型在图中双箭头处的接线部分有</w:t>
      </w:r>
      <w:r>
        <w:rPr>
          <w:rFonts w:hint="eastAsia" w:hAnsi="宋体" w:cs="Times New Roman"/>
          <w:kern w:val="0"/>
          <w:sz w:val="21"/>
          <w:szCs w:val="21"/>
          <w:lang w:val="en-US" w:eastAsia="zh-CN" w:bidi="ar-SA"/>
        </w:rPr>
        <w:t>区别</w:t>
      </w:r>
    </w:p>
    <w:p>
      <w:pPr>
        <w:jc w:val="center"/>
        <w:rPr>
          <w:rFonts w:hint="default"/>
          <w:lang w:val="en-US" w:eastAsia="zh-CN"/>
        </w:rPr>
      </w:pPr>
      <w:r>
        <w:drawing>
          <wp:inline distT="0" distB="0" distL="114300" distR="114300">
            <wp:extent cx="3684905" cy="4431030"/>
            <wp:effectExtent l="0" t="0" r="10795" b="7620"/>
            <wp:docPr id="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pic:cNvPicPr>
                      <a:picLocks noChangeAspect="1"/>
                    </pic:cNvPicPr>
                  </pic:nvPicPr>
                  <pic:blipFill>
                    <a:blip r:embed="rId11"/>
                    <a:stretch>
                      <a:fillRect/>
                    </a:stretch>
                  </pic:blipFill>
                  <pic:spPr>
                    <a:xfrm>
                      <a:off x="0" y="0"/>
                      <a:ext cx="3684905" cy="4431030"/>
                    </a:xfrm>
                    <a:prstGeom prst="rect">
                      <a:avLst/>
                    </a:prstGeom>
                    <a:noFill/>
                    <a:ln>
                      <a:noFill/>
                    </a:ln>
                  </pic:spPr>
                </pic:pic>
              </a:graphicData>
            </a:graphic>
          </wp:inline>
        </w:drawing>
      </w:r>
    </w:p>
    <w:p>
      <w:pPr>
        <w:pStyle w:val="2"/>
        <w:ind w:firstLine="630" w:firstLineChars="300"/>
        <w:rPr>
          <w:rFonts w:hint="eastAsia" w:ascii="宋体" w:hAnsi="宋体" w:eastAsia="宋体" w:cs="宋体"/>
          <w:sz w:val="21"/>
          <w:szCs w:val="21"/>
        </w:rPr>
      </w:pPr>
      <w:r>
        <w:rPr>
          <w:rFonts w:hint="eastAsia" w:ascii="宋体" w:hAnsi="宋体" w:eastAsia="宋体" w:cs="宋体"/>
          <w:sz w:val="21"/>
          <w:szCs w:val="21"/>
        </w:rPr>
        <w:t>注:所有DI/D0和AI/A0端子功能均可以通过参数互联功能自定义，图中所示接线方式和端子功能定义只是一种推荐接线方式和端子定义。</w:t>
      </w:r>
    </w:p>
    <w:p>
      <w:pPr>
        <w:pStyle w:val="2"/>
        <w:rPr>
          <w:rFonts w:hint="eastAsia" w:ascii="宋体" w:hAnsi="宋体"/>
          <w:b w:val="0"/>
          <w:bCs/>
          <w:kern w:val="2"/>
          <w:sz w:val="21"/>
          <w:szCs w:val="21"/>
        </w:rPr>
      </w:pPr>
      <w:r>
        <w:rPr>
          <w:rFonts w:hint="eastAsia" w:ascii="宋体" w:hAnsi="宋体"/>
          <w:b w:val="0"/>
          <w:bCs/>
          <w:kern w:val="2"/>
          <w:sz w:val="21"/>
          <w:szCs w:val="21"/>
        </w:rPr>
        <w:t>3.3.2 主回路端子功能说明</w:t>
      </w:r>
    </w:p>
    <w:p>
      <w:pPr>
        <w:pStyle w:val="2"/>
        <w:ind w:firstLine="420" w:firstLineChars="200"/>
        <w:rPr>
          <w:rFonts w:hint="eastAsia" w:ascii="宋体" w:hAnsi="宋体"/>
          <w:b w:val="0"/>
          <w:bCs/>
          <w:kern w:val="2"/>
          <w:sz w:val="21"/>
          <w:szCs w:val="21"/>
        </w:rPr>
      </w:pPr>
      <w:r>
        <w:rPr>
          <w:rFonts w:hint="eastAsia" w:ascii="宋体" w:hAnsi="宋体"/>
          <w:b w:val="0"/>
          <w:bCs/>
          <w:kern w:val="2"/>
          <w:sz w:val="21"/>
          <w:szCs w:val="21"/>
        </w:rPr>
        <w:t>EC570/510系列变频器采用行业通用端子定义规则，设计有输入三相R/S/T,输出三相 U/V/W，直流正负(+/-)以及制动BR，具体说明见图3-29、图3-30、表3-6。</w:t>
      </w:r>
    </w:p>
    <w:p>
      <w:pPr>
        <w:pStyle w:val="3"/>
        <w:jc w:val="center"/>
        <w:rPr>
          <w:rFonts w:hint="eastAsia" w:ascii="宋体" w:hAnsi="宋体"/>
          <w:b/>
          <w:kern w:val="2"/>
          <w:sz w:val="21"/>
          <w:szCs w:val="21"/>
        </w:rPr>
      </w:pPr>
      <w:r>
        <w:drawing>
          <wp:inline distT="0" distB="0" distL="114300" distR="114300">
            <wp:extent cx="2724785" cy="2872740"/>
            <wp:effectExtent l="0" t="0" r="18415" b="3810"/>
            <wp:docPr id="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7"/>
                    <pic:cNvPicPr>
                      <a:picLocks noChangeAspect="1"/>
                    </pic:cNvPicPr>
                  </pic:nvPicPr>
                  <pic:blipFill>
                    <a:blip r:embed="rId12"/>
                    <a:stretch>
                      <a:fillRect/>
                    </a:stretch>
                  </pic:blipFill>
                  <pic:spPr>
                    <a:xfrm>
                      <a:off x="0" y="0"/>
                      <a:ext cx="2724785" cy="2872740"/>
                    </a:xfrm>
                    <a:prstGeom prst="rect">
                      <a:avLst/>
                    </a:prstGeom>
                    <a:noFill/>
                    <a:ln>
                      <a:noFill/>
                    </a:ln>
                  </pic:spPr>
                </pic:pic>
              </a:graphicData>
            </a:graphic>
          </wp:inline>
        </w:drawing>
      </w:r>
    </w:p>
    <w:p>
      <w:pPr>
        <w:rPr>
          <w:rFonts w:hint="eastAsia" w:ascii="宋体" w:hAnsi="宋体"/>
          <w:b w:val="0"/>
          <w:bCs/>
          <w:kern w:val="2"/>
          <w:sz w:val="21"/>
          <w:szCs w:val="21"/>
        </w:rPr>
      </w:pPr>
    </w:p>
    <w:p>
      <w:pPr>
        <w:rPr>
          <w:rFonts w:hint="eastAsia" w:ascii="宋体" w:hAnsi="宋体"/>
          <w:b w:val="0"/>
          <w:bCs/>
          <w:kern w:val="2"/>
          <w:sz w:val="21"/>
          <w:szCs w:val="21"/>
        </w:rPr>
      </w:pPr>
      <w:r>
        <w:rPr>
          <w:rFonts w:hint="eastAsia" w:ascii="宋体" w:hAnsi="宋体"/>
          <w:b w:val="0"/>
          <w:bCs/>
          <w:kern w:val="2"/>
          <w:sz w:val="21"/>
          <w:szCs w:val="21"/>
        </w:rPr>
        <w:t>3.3.3 控制板接线操作说明</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变频器标配控制板，选配I0扩展板、通讯扩展板、编码器扩展板。请参照图表 3-7对变频器使用的控制电路板进行正确的接线，其他选配件板卡接线及功能说明参见14章内容。</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注:控制板接线，通讯板扩展板接线，编码器扩展板接线均需要使用金属编织屏蔽线材，并且需要使用接地卡扣将屏蔽层卡在接地附件上。</w:t>
      </w:r>
    </w:p>
    <w:p>
      <w:pPr>
        <w:pStyle w:val="2"/>
        <w:jc w:val="center"/>
      </w:pPr>
      <w:r>
        <w:drawing>
          <wp:inline distT="0" distB="0" distL="114300" distR="114300">
            <wp:extent cx="4253865" cy="4342765"/>
            <wp:effectExtent l="0" t="0" r="13335" b="635"/>
            <wp:docPr id="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
                    <pic:cNvPicPr>
                      <a:picLocks noChangeAspect="1"/>
                    </pic:cNvPicPr>
                  </pic:nvPicPr>
                  <pic:blipFill>
                    <a:blip r:embed="rId13"/>
                    <a:stretch>
                      <a:fillRect/>
                    </a:stretch>
                  </pic:blipFill>
                  <pic:spPr>
                    <a:xfrm>
                      <a:off x="0" y="0"/>
                      <a:ext cx="4253865" cy="434276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Pr>
        <w:widowControl w:val="0"/>
        <w:tabs>
          <w:tab w:val="left" w:pos="0"/>
          <w:tab w:val="left" w:pos="900"/>
          <w:tab w:val="left" w:pos="1080"/>
        </w:tabs>
        <w:spacing w:line="360" w:lineRule="auto"/>
        <w:jc w:val="both"/>
        <w:rPr>
          <w:rFonts w:hint="eastAsia" w:ascii="宋体" w:hAnsi="宋体"/>
          <w:b/>
          <w:kern w:val="2"/>
          <w:sz w:val="21"/>
          <w:szCs w:val="21"/>
        </w:rPr>
      </w:pP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default"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p>
    <w:p>
      <w:pPr>
        <w:pStyle w:val="2"/>
        <w:rPr>
          <w:rFonts w:hint="eastAsia"/>
        </w:rPr>
      </w:pPr>
      <w:bookmarkStart w:id="0" w:name="_GoBack"/>
      <w:bookmarkEnd w:id="0"/>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5BA391E"/>
    <w:rsid w:val="08074942"/>
    <w:rsid w:val="081867BE"/>
    <w:rsid w:val="08230C2D"/>
    <w:rsid w:val="09560BE1"/>
    <w:rsid w:val="0C637867"/>
    <w:rsid w:val="0E191991"/>
    <w:rsid w:val="0F5A6E2D"/>
    <w:rsid w:val="175D7E17"/>
    <w:rsid w:val="18933DCC"/>
    <w:rsid w:val="1B807332"/>
    <w:rsid w:val="1D046BF5"/>
    <w:rsid w:val="1D3D492D"/>
    <w:rsid w:val="1E750E4D"/>
    <w:rsid w:val="22EC52E6"/>
    <w:rsid w:val="286B23BD"/>
    <w:rsid w:val="2AD63A7B"/>
    <w:rsid w:val="2CF95B9C"/>
    <w:rsid w:val="35841DBD"/>
    <w:rsid w:val="3A191B3E"/>
    <w:rsid w:val="3CF650D4"/>
    <w:rsid w:val="42B20F45"/>
    <w:rsid w:val="45E523FA"/>
    <w:rsid w:val="46106C60"/>
    <w:rsid w:val="484C7C6A"/>
    <w:rsid w:val="4B6203D0"/>
    <w:rsid w:val="4B914094"/>
    <w:rsid w:val="4BE24FAE"/>
    <w:rsid w:val="4D941577"/>
    <w:rsid w:val="4F9C6E1E"/>
    <w:rsid w:val="4FA41708"/>
    <w:rsid w:val="528C16AD"/>
    <w:rsid w:val="531858FE"/>
    <w:rsid w:val="580A6C91"/>
    <w:rsid w:val="5AF735A9"/>
    <w:rsid w:val="5BB64768"/>
    <w:rsid w:val="5C560D17"/>
    <w:rsid w:val="5F2A28A4"/>
    <w:rsid w:val="625466F6"/>
    <w:rsid w:val="627109D4"/>
    <w:rsid w:val="62984B5E"/>
    <w:rsid w:val="641D434E"/>
    <w:rsid w:val="65850947"/>
    <w:rsid w:val="683622B6"/>
    <w:rsid w:val="686E0B71"/>
    <w:rsid w:val="68FB32C9"/>
    <w:rsid w:val="6B5C1D6B"/>
    <w:rsid w:val="6F04467D"/>
    <w:rsid w:val="6F1E7F4E"/>
    <w:rsid w:val="6FF10E8C"/>
    <w:rsid w:val="707B5F2D"/>
    <w:rsid w:val="7121515D"/>
    <w:rsid w:val="729F1419"/>
    <w:rsid w:val="733F7947"/>
    <w:rsid w:val="75002747"/>
    <w:rsid w:val="75E1329E"/>
    <w:rsid w:val="79A241F0"/>
    <w:rsid w:val="79D61A3F"/>
    <w:rsid w:val="7B3F756E"/>
    <w:rsid w:val="7BEA51D3"/>
    <w:rsid w:val="7C436420"/>
    <w:rsid w:val="7E2A4D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qFormat/>
    <w:uiPriority w:val="99"/>
    <w:pPr>
      <w:jc w:val="both"/>
    </w:pPr>
    <w:rPr>
      <w:rFonts w:ascii="宋体" w:hAnsi="Courier New"/>
      <w:kern w:val="2"/>
      <w:sz w:val="21"/>
    </w:rPr>
  </w:style>
  <w:style w:type="paragraph" w:styleId="14">
    <w:name w:val="Balloon Text"/>
    <w:basedOn w:val="1"/>
    <w:link w:val="35"/>
    <w:unhideWhenUsed/>
    <w:uiPriority w:val="99"/>
    <w:rPr>
      <w:sz w:val="18"/>
      <w:szCs w:val="18"/>
    </w:rPr>
  </w:style>
  <w:style w:type="paragraph" w:styleId="15">
    <w:name w:val="footer"/>
    <w:basedOn w:val="1"/>
    <w:link w:val="36"/>
    <w:unhideWhenUsed/>
    <w:qFormat/>
    <w:uiPriority w:val="99"/>
    <w:pPr>
      <w:tabs>
        <w:tab w:val="center" w:pos="4153"/>
        <w:tab w:val="right" w:pos="8306"/>
      </w:tabs>
      <w:snapToGrid w:val="0"/>
    </w:pPr>
    <w:rPr>
      <w:kern w:val="2"/>
      <w:sz w:val="18"/>
      <w:szCs w:val="18"/>
    </w:rPr>
  </w:style>
  <w:style w:type="paragraph" w:styleId="16">
    <w:name w:val="header"/>
    <w:basedOn w:val="1"/>
    <w:link w:val="37"/>
    <w:unhideWhenUsed/>
    <w:qFormat/>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qFormat/>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qFormat/>
    <w:uiPriority w:val="99"/>
    <w:rPr>
      <w:rFonts w:cs="Times New Roman"/>
      <w:color w:val="0000FF"/>
      <w:u w:val="single"/>
    </w:rPr>
  </w:style>
  <w:style w:type="character" w:customStyle="1" w:styleId="25">
    <w:name w:val=" Char Char13"/>
    <w:basedOn w:val="20"/>
    <w:link w:val="4"/>
    <w:qFormat/>
    <w:locked/>
    <w:uiPriority w:val="9"/>
    <w:rPr>
      <w:rFonts w:ascii="Cambria" w:hAnsi="Cambria" w:eastAsia="宋体" w:cs="Times New Roman"/>
      <w:b/>
      <w:bCs/>
      <w:kern w:val="32"/>
      <w:sz w:val="32"/>
      <w:szCs w:val="32"/>
    </w:rPr>
  </w:style>
  <w:style w:type="character" w:customStyle="1" w:styleId="26">
    <w:name w:val=" Char Char12"/>
    <w:basedOn w:val="20"/>
    <w:link w:val="5"/>
    <w:semiHidden/>
    <w:qFormat/>
    <w:locked/>
    <w:uiPriority w:val="9"/>
    <w:rPr>
      <w:rFonts w:ascii="Cambria" w:hAnsi="Cambria" w:eastAsia="宋体" w:cs="Times New Roman"/>
      <w:b/>
      <w:bCs/>
      <w:i/>
      <w:iCs/>
      <w:sz w:val="28"/>
      <w:szCs w:val="28"/>
    </w:rPr>
  </w:style>
  <w:style w:type="character" w:customStyle="1" w:styleId="27">
    <w:name w:val=" Char Char11"/>
    <w:basedOn w:val="20"/>
    <w:link w:val="6"/>
    <w:semiHidden/>
    <w:qFormat/>
    <w:locked/>
    <w:uiPriority w:val="9"/>
    <w:rPr>
      <w:rFonts w:ascii="Cambria" w:hAnsi="Cambria" w:eastAsia="宋体" w:cs="Times New Roman"/>
      <w:b/>
      <w:bCs/>
      <w:sz w:val="26"/>
      <w:szCs w:val="26"/>
    </w:rPr>
  </w:style>
  <w:style w:type="character" w:customStyle="1" w:styleId="28">
    <w:name w:val=" Char Char10"/>
    <w:basedOn w:val="20"/>
    <w:link w:val="7"/>
    <w:semiHidden/>
    <w:qFormat/>
    <w:locked/>
    <w:uiPriority w:val="9"/>
    <w:rPr>
      <w:rFonts w:cs="Times New Roman"/>
      <w:b/>
      <w:bCs/>
      <w:sz w:val="28"/>
      <w:szCs w:val="28"/>
    </w:rPr>
  </w:style>
  <w:style w:type="character" w:customStyle="1" w:styleId="29">
    <w:name w:val=" Char Char9"/>
    <w:basedOn w:val="20"/>
    <w:link w:val="8"/>
    <w:semiHidden/>
    <w:qFormat/>
    <w:locked/>
    <w:uiPriority w:val="9"/>
    <w:rPr>
      <w:rFonts w:cs="Times New Roman"/>
      <w:b/>
      <w:bCs/>
      <w:i/>
      <w:iCs/>
      <w:sz w:val="26"/>
      <w:szCs w:val="26"/>
    </w:rPr>
  </w:style>
  <w:style w:type="character" w:customStyle="1" w:styleId="30">
    <w:name w:val=" Char Char8"/>
    <w:basedOn w:val="20"/>
    <w:link w:val="9"/>
    <w:semiHidden/>
    <w:qFormat/>
    <w:locked/>
    <w:uiPriority w:val="9"/>
    <w:rPr>
      <w:rFonts w:cs="Times New Roman"/>
      <w:b/>
      <w:bCs/>
    </w:rPr>
  </w:style>
  <w:style w:type="character" w:customStyle="1" w:styleId="31">
    <w:name w:val=" Char Char7"/>
    <w:basedOn w:val="20"/>
    <w:link w:val="10"/>
    <w:semiHidden/>
    <w:locked/>
    <w:uiPriority w:val="9"/>
    <w:rPr>
      <w:rFonts w:cs="Times New Roman"/>
      <w:sz w:val="24"/>
      <w:szCs w:val="24"/>
    </w:rPr>
  </w:style>
  <w:style w:type="character" w:customStyle="1" w:styleId="32">
    <w:name w:val=" Char Char6"/>
    <w:basedOn w:val="20"/>
    <w:link w:val="11"/>
    <w:semiHidden/>
    <w:qFormat/>
    <w:locked/>
    <w:uiPriority w:val="9"/>
    <w:rPr>
      <w:rFonts w:cs="Times New Roman"/>
      <w:i/>
      <w:iCs/>
      <w:sz w:val="24"/>
      <w:szCs w:val="24"/>
    </w:rPr>
  </w:style>
  <w:style w:type="character" w:customStyle="1" w:styleId="33">
    <w:name w:val=" Char Char5"/>
    <w:basedOn w:val="20"/>
    <w:link w:val="12"/>
    <w:semiHidden/>
    <w:qFormat/>
    <w:locked/>
    <w:uiPriority w:val="9"/>
    <w:rPr>
      <w:rFonts w:ascii="Cambria" w:hAnsi="Cambria" w:eastAsia="宋体" w:cs="Times New Roman"/>
    </w:rPr>
  </w:style>
  <w:style w:type="character" w:customStyle="1" w:styleId="34">
    <w:name w:val="普通文字 Char2"/>
    <w:basedOn w:val="20"/>
    <w:link w:val="13"/>
    <w:qFormat/>
    <w:locked/>
    <w:uiPriority w:val="0"/>
    <w:rPr>
      <w:rFonts w:ascii="宋体" w:hAnsi="Courier New" w:eastAsia="宋体" w:cs="Times New Roman"/>
      <w:sz w:val="20"/>
      <w:szCs w:val="20"/>
    </w:rPr>
  </w:style>
  <w:style w:type="character" w:customStyle="1" w:styleId="35">
    <w:name w:val=" Char Char2"/>
    <w:basedOn w:val="20"/>
    <w:link w:val="14"/>
    <w:semiHidden/>
    <w:qFormat/>
    <w:locked/>
    <w:uiPriority w:val="99"/>
    <w:rPr>
      <w:rFonts w:ascii="Times New Roman" w:hAnsi="Times New Roman" w:eastAsia="宋体" w:cs="Times New Roman"/>
      <w:kern w:val="0"/>
      <w:sz w:val="18"/>
      <w:szCs w:val="18"/>
    </w:rPr>
  </w:style>
  <w:style w:type="character" w:customStyle="1" w:styleId="36">
    <w:name w:val=" Char Char3"/>
    <w:basedOn w:val="20"/>
    <w:link w:val="15"/>
    <w:locked/>
    <w:uiPriority w:val="99"/>
    <w:rPr>
      <w:rFonts w:cs="Times New Roman"/>
      <w:sz w:val="18"/>
      <w:szCs w:val="18"/>
    </w:rPr>
  </w:style>
  <w:style w:type="character" w:customStyle="1" w:styleId="37">
    <w:name w:val=" Char Char4"/>
    <w:basedOn w:val="20"/>
    <w:link w:val="16"/>
    <w:locked/>
    <w:uiPriority w:val="99"/>
    <w:rPr>
      <w:rFonts w:cs="Times New Roman"/>
      <w:sz w:val="18"/>
      <w:szCs w:val="18"/>
    </w:rPr>
  </w:style>
  <w:style w:type="character" w:customStyle="1" w:styleId="38">
    <w:name w:val=" Char Char"/>
    <w:basedOn w:val="20"/>
    <w:link w:val="17"/>
    <w:locked/>
    <w:uiPriority w:val="11"/>
    <w:rPr>
      <w:rFonts w:ascii="Cambria" w:hAnsi="Cambria" w:eastAsia="宋体" w:cs="Times New Roman"/>
      <w:sz w:val="24"/>
      <w:szCs w:val="24"/>
    </w:rPr>
  </w:style>
  <w:style w:type="character" w:customStyle="1" w:styleId="39">
    <w:name w:val=" Char Char1"/>
    <w:basedOn w:val="20"/>
    <w:link w:val="18"/>
    <w:qFormat/>
    <w:locked/>
    <w:uiPriority w:val="10"/>
    <w:rPr>
      <w:rFonts w:ascii="Cambria" w:hAnsi="Cambria" w:eastAsia="宋体" w:cs="Times New Roman"/>
      <w:b/>
      <w:bCs/>
      <w:kern w:val="28"/>
      <w:sz w:val="32"/>
      <w:szCs w:val="32"/>
    </w:rPr>
  </w:style>
  <w:style w:type="character" w:customStyle="1" w:styleId="40">
    <w:name w:val="Quote Char"/>
    <w:basedOn w:val="20"/>
    <w:link w:val="41"/>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1885</Words>
  <Characters>2178</Characters>
  <Lines>12</Lines>
  <Paragraphs>3</Paragraphs>
  <TotalTime>0</TotalTime>
  <ScaleCrop>false</ScaleCrop>
  <LinksUpToDate>false</LinksUpToDate>
  <CharactersWithSpaces>2328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2024-12-22T01:55:15Z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9BFBBD2DEA654A2BB550528367099CB3_13</vt:lpwstr>
  </property>
</Properties>
</file>