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rPr>
          <w:rFonts w:hint="eastAsia" w:ascii="宋体"/>
          <w:b/>
          <w:sz w:val="44"/>
          <w:szCs w:val="44"/>
        </w:rPr>
      </w:pPr>
    </w:p>
    <w:p>
      <w:pPr>
        <w:autoSpaceDE w:val="0"/>
        <w:autoSpaceDN w:val="0"/>
        <w:spacing w:line="360" w:lineRule="auto"/>
        <w:ind w:left="840" w:leftChars="350"/>
        <w:rPr>
          <w:rFonts w:ascii="宋体"/>
          <w:b/>
          <w:sz w:val="44"/>
          <w:szCs w:val="44"/>
        </w:rPr>
      </w:pPr>
    </w:p>
    <w:p>
      <w:pPr>
        <w:snapToGrid w:val="0"/>
        <w:spacing w:line="360" w:lineRule="auto"/>
        <w:ind w:right="2" w:rightChars="1"/>
        <w:jc w:val="both"/>
        <w:rPr>
          <w:rFonts w:hint="eastAsia" w:ascii="仿宋" w:hAnsi="仿宋" w:eastAsia="仿宋" w:cs="仿宋"/>
          <w:b/>
          <w:sz w:val="44"/>
          <w:szCs w:val="44"/>
        </w:rPr>
      </w:pPr>
    </w:p>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新烧软启动器\CGR3000/200-3</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（70386881）</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24</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06</w:t>
      </w:r>
      <w:r>
        <w:rPr>
          <w:rFonts w:hint="eastAsia" w:ascii="仿宋" w:hAnsi="仿宋" w:eastAsia="仿宋" w:cs="仿宋"/>
          <w:b/>
          <w:sz w:val="30"/>
          <w:szCs w:val="30"/>
        </w:rPr>
        <w:t>日</w:t>
      </w:r>
    </w:p>
    <w:p>
      <w:pPr>
        <w:snapToGrid w:val="0"/>
        <w:spacing w:before="100" w:beforeAutospacing="1" w:after="100" w:afterAutospacing="1" w:line="360" w:lineRule="auto"/>
        <w:ind w:right="-447"/>
        <w:rPr>
          <w:rFonts w:ascii="宋体"/>
          <w:b/>
          <w:sz w:val="32"/>
          <w:szCs w:val="32"/>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地软启动器\CGR3000/200-3</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tabs>
          <w:tab w:val="left" w:pos="360"/>
        </w:tabs>
        <w:ind w:firstLine="481" w:firstLineChars="228"/>
        <w:jc w:val="both"/>
        <w:rPr>
          <w:rFonts w:hint="eastAsia" w:ascii="宋体" w:hAnsi="宋体"/>
          <w:sz w:val="21"/>
          <w:szCs w:val="21"/>
        </w:rPr>
      </w:pPr>
      <w:r>
        <w:rPr>
          <w:rFonts w:hint="eastAsia" w:ascii="仿宋" w:hAnsi="仿宋" w:eastAsia="仿宋" w:cs="仿宋"/>
          <w:b/>
          <w:color w:val="0000FF"/>
          <w:sz w:val="21"/>
          <w:szCs w:val="21"/>
          <w:highlight w:val="yellow"/>
          <w:lang w:val="en-US" w:eastAsia="zh-CN"/>
        </w:rPr>
        <w:t>乙方在投标前，必须与甲方充分技术交流后并签订标签技术协议，方可参标。</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57"/>
        <w:gridCol w:w="534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42"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42"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软启动器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42" w:type="dxa"/>
            <w:noWrap w:val="0"/>
            <w:vAlign w:val="center"/>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CGR3000/200-3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eastAsia="zh-CN"/>
              </w:rPr>
              <w:t>适用电机</w:t>
            </w:r>
          </w:p>
        </w:tc>
        <w:tc>
          <w:tcPr>
            <w:tcW w:w="5342" w:type="dxa"/>
            <w:noWrap w:val="0"/>
            <w:vAlign w:val="bottom"/>
          </w:tcPr>
          <w:p>
            <w:pPr>
              <w:widowControl w:val="0"/>
              <w:spacing w:line="360" w:lineRule="auto"/>
              <w:jc w:val="center"/>
              <w:rPr>
                <w:rFonts w:hint="eastAsia" w:ascii="宋体" w:hAnsi="宋体"/>
                <w:kern w:val="2"/>
                <w:sz w:val="21"/>
                <w:szCs w:val="21"/>
                <w:lang w:val="en-US" w:eastAsia="zh-CN"/>
              </w:rPr>
            </w:pPr>
            <w:r>
              <w:rPr>
                <w:rFonts w:hint="eastAsia" w:ascii="宋体" w:hAnsi="宋体"/>
                <w:kern w:val="2"/>
                <w:sz w:val="21"/>
                <w:szCs w:val="21"/>
                <w:lang w:val="en-US" w:eastAsia="zh-CN"/>
              </w:rPr>
              <w:t>200kW</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54"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eastAsia="zh-CN"/>
              </w:rPr>
              <w:t>使用类别</w:t>
            </w:r>
          </w:p>
        </w:tc>
        <w:tc>
          <w:tcPr>
            <w:tcW w:w="5342"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AC-53b</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901" w:hRule="exact"/>
          <w:tblHeader/>
          <w:jc w:val="center"/>
        </w:trPr>
        <w:tc>
          <w:tcPr>
            <w:tcW w:w="2857" w:type="dxa"/>
            <w:noWrap w:val="0"/>
            <w:vAlign w:val="center"/>
          </w:tcPr>
          <w:p>
            <w:pPr>
              <w:widowControl w:val="0"/>
              <w:spacing w:line="360" w:lineRule="auto"/>
              <w:ind w:firstLine="420" w:firstLineChars="200"/>
              <w:jc w:val="left"/>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输入电压</w:t>
            </w:r>
          </w:p>
        </w:tc>
        <w:tc>
          <w:tcPr>
            <w:tcW w:w="5342"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hAnsi="宋体" w:eastAsia="宋体" w:cs="Times New Roman"/>
                <w:kern w:val="2"/>
                <w:sz w:val="21"/>
                <w:szCs w:val="21"/>
                <w:lang w:val="en-US" w:eastAsia="zh-CN"/>
              </w:rPr>
              <w:t>3φ 380V AC</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79" w:hRule="exact"/>
          <w:tblHeader/>
          <w:jc w:val="center"/>
        </w:trPr>
        <w:tc>
          <w:tcPr>
            <w:tcW w:w="2857" w:type="dxa"/>
            <w:noWrap w:val="0"/>
            <w:vAlign w:val="top"/>
          </w:tcPr>
          <w:p>
            <w:pPr>
              <w:widowControl w:val="0"/>
              <w:spacing w:line="360" w:lineRule="auto"/>
              <w:ind w:firstLine="420" w:firstLineChars="200"/>
              <w:jc w:val="left"/>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eastAsia="zh-CN"/>
              </w:rPr>
              <w:t>额定冲击耐受电压</w:t>
            </w:r>
          </w:p>
        </w:tc>
        <w:tc>
          <w:tcPr>
            <w:tcW w:w="5342"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2.5kV</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5" w:hRule="exact"/>
          <w:tblHeader/>
          <w:jc w:val="center"/>
        </w:trPr>
        <w:tc>
          <w:tcPr>
            <w:tcW w:w="2857" w:type="dxa"/>
            <w:noWrap w:val="0"/>
            <w:vAlign w:val="center"/>
          </w:tcPr>
          <w:p>
            <w:pPr>
              <w:widowControl w:val="0"/>
              <w:spacing w:line="360" w:lineRule="auto"/>
              <w:ind w:firstLine="420" w:firstLineChars="200"/>
              <w:jc w:val="left"/>
              <w:rPr>
                <w:rFonts w:hint="eastAsia" w:ascii="宋体" w:hAnsi="宋体" w:eastAsia="宋体" w:cs="Times New Roman"/>
                <w:kern w:val="2"/>
                <w:sz w:val="21"/>
                <w:szCs w:val="21"/>
                <w:lang w:val="en-US" w:eastAsia="zh-CN"/>
              </w:rPr>
            </w:pPr>
            <w:r>
              <w:rPr>
                <w:rFonts w:hint="eastAsia" w:ascii="宋体" w:hAnsi="宋体" w:eastAsia="宋体" w:cs="Times New Roman"/>
                <w:kern w:val="2"/>
                <w:sz w:val="21"/>
                <w:szCs w:val="21"/>
              </w:rPr>
              <w:t>◆</w:t>
            </w:r>
            <w:r>
              <w:rPr>
                <w:rFonts w:hint="eastAsia" w:ascii="宋体" w:hAnsi="宋体" w:eastAsia="宋体" w:cs="Times New Roman"/>
                <w:kern w:val="2"/>
                <w:sz w:val="21"/>
                <w:szCs w:val="21"/>
                <w:lang w:eastAsia="zh-CN"/>
              </w:rPr>
              <w:t>额定频率值</w:t>
            </w:r>
          </w:p>
        </w:tc>
        <w:tc>
          <w:tcPr>
            <w:tcW w:w="5342" w:type="dxa"/>
            <w:noWrap w:val="0"/>
            <w:vAlign w:val="top"/>
          </w:tcPr>
          <w:p>
            <w:pPr>
              <w:widowControl w:val="0"/>
              <w:spacing w:line="360" w:lineRule="auto"/>
              <w:jc w:val="center"/>
              <w:rPr>
                <w:rFonts w:hint="default" w:ascii="宋体" w:hAnsi="宋体" w:eastAsia="宋体" w:cs="Times New Roman"/>
                <w:kern w:val="2"/>
                <w:sz w:val="21"/>
                <w:szCs w:val="21"/>
                <w:lang w:val="en-US" w:eastAsia="zh-CN"/>
              </w:rPr>
            </w:pPr>
            <w:r>
              <w:rPr>
                <w:rFonts w:hint="eastAsia" w:ascii="宋体" w:hAnsi="宋体" w:eastAsia="宋体" w:cs="Times New Roman"/>
                <w:kern w:val="2"/>
                <w:sz w:val="21"/>
                <w:szCs w:val="21"/>
                <w:lang w:val="en-US" w:eastAsia="zh-CN"/>
              </w:rPr>
              <w:t>50Hz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940"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w:t>
            </w:r>
            <w:r>
              <w:rPr>
                <w:rFonts w:hint="eastAsia" w:ascii="宋体" w:hAnsi="宋体"/>
                <w:kern w:val="2"/>
                <w:sz w:val="21"/>
                <w:szCs w:val="21"/>
                <w:highlight w:val="none"/>
                <w:lang w:eastAsia="zh-CN"/>
              </w:rPr>
              <w:t>额定绝缘电压</w:t>
            </w:r>
          </w:p>
        </w:tc>
        <w:tc>
          <w:tcPr>
            <w:tcW w:w="5342"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660V</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940" w:hRule="exact"/>
          <w:tblHeader/>
          <w:jc w:val="center"/>
        </w:trPr>
        <w:tc>
          <w:tcPr>
            <w:tcW w:w="2857" w:type="dxa"/>
            <w:noWrap w:val="0"/>
            <w:vAlign w:val="center"/>
          </w:tcPr>
          <w:p>
            <w:pPr>
              <w:widowControl w:val="0"/>
              <w:spacing w:line="360" w:lineRule="auto"/>
              <w:ind w:firstLine="420" w:firstLineChars="200"/>
              <w:jc w:val="both"/>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highlight w:val="none"/>
                <w:lang w:eastAsia="zh-CN"/>
              </w:rPr>
              <w:t>额定工作制</w:t>
            </w:r>
          </w:p>
        </w:tc>
        <w:tc>
          <w:tcPr>
            <w:tcW w:w="5342"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断续工作制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940" w:hRule="exact"/>
          <w:tblHeader/>
          <w:jc w:val="center"/>
        </w:trPr>
        <w:tc>
          <w:tcPr>
            <w:tcW w:w="2857"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执行标准</w:t>
            </w:r>
          </w:p>
        </w:tc>
        <w:tc>
          <w:tcPr>
            <w:tcW w:w="5342"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GB/T 14048.6</w:t>
            </w:r>
          </w:p>
        </w:tc>
      </w:tr>
    </w:tbl>
    <w:p>
      <w:pPr>
        <w:spacing w:line="360" w:lineRule="auto"/>
        <w:rPr>
          <w:rFonts w:hint="eastAsia" w:ascii="宋体" w:hAnsi="宋体"/>
          <w:b/>
          <w:spacing w:val="-4"/>
          <w:kern w:val="28"/>
          <w:sz w:val="21"/>
          <w:szCs w:val="21"/>
        </w:rPr>
      </w:pPr>
    </w:p>
    <w:p>
      <w:pPr>
        <w:spacing w:line="360" w:lineRule="auto"/>
        <w:rPr>
          <w:rFonts w:hint="eastAsia" w:ascii="宋体" w:hAnsi="宋体"/>
          <w:b/>
          <w:spacing w:val="-4"/>
          <w:kern w:val="28"/>
          <w:sz w:val="21"/>
          <w:szCs w:val="21"/>
        </w:rPr>
      </w:pPr>
    </w:p>
    <w:p>
      <w:pPr>
        <w:spacing w:line="360" w:lineRule="auto"/>
        <w:rPr>
          <w:rFonts w:hint="eastAsia" w:ascii="宋体" w:hAnsi="宋体"/>
          <w:b/>
          <w:spacing w:val="-4"/>
          <w:kern w:val="28"/>
          <w:sz w:val="21"/>
          <w:szCs w:val="21"/>
        </w:rPr>
      </w:pPr>
    </w:p>
    <w:p>
      <w:pPr>
        <w:spacing w:line="360" w:lineRule="auto"/>
        <w:rPr>
          <w:rFonts w:hint="eastAsia" w:ascii="宋体" w:hAnsi="宋体"/>
          <w:b/>
          <w:spacing w:val="-4"/>
          <w:kern w:val="28"/>
          <w:sz w:val="21"/>
          <w:szCs w:val="21"/>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pStyle w:val="2"/>
        <w:ind w:firstLine="420" w:firstLineChars="200"/>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highlight w:val="none"/>
          <w:lang w:val="en-US" w:eastAsia="zh-CN" w:bidi="ar-SA"/>
        </w:rPr>
        <w:t>CGR3000系列电动机软启动器采用三对反并联的晶闸管串接于交流电机的定子回路上。利用晶闸管的电子开关作用，通过微处理器控制其触发角的变化来改变晶闸管的开通程度，由此来改变电动机输入电压大小，以达到控制电动机软启动的目的。当启动完成后，软启动器的输出达到额定电压，这时将通过旁路控制输出信号控制三相旁路接触器KM吸合，将电动机投入电网运行。软启动器</w:t>
      </w:r>
      <w:r>
        <w:rPr>
          <w:rFonts w:hint="eastAsia" w:ascii="宋体" w:hAnsi="宋体" w:eastAsia="宋体" w:cs="Times New Roman"/>
          <w:kern w:val="0"/>
          <w:sz w:val="21"/>
          <w:szCs w:val="21"/>
          <w:lang w:val="en-US" w:eastAsia="zh-CN" w:bidi="ar-SA"/>
        </w:rPr>
        <w:t>外形见图 1。</w:t>
      </w:r>
    </w:p>
    <w:p>
      <w:pPr>
        <w:pStyle w:val="3"/>
        <w:rPr>
          <w:rFonts w:hint="eastAsia"/>
          <w:lang w:val="en-US" w:eastAsia="zh-CN"/>
        </w:rPr>
      </w:pPr>
    </w:p>
    <w:p>
      <w:pPr>
        <w:pStyle w:val="2"/>
        <w:rPr>
          <w:rFonts w:hint="eastAsia"/>
          <w:lang w:eastAsia="zh-CN"/>
        </w:rPr>
      </w:pPr>
    </w:p>
    <w:p>
      <w:pPr>
        <w:widowControl w:val="0"/>
        <w:tabs>
          <w:tab w:val="left" w:pos="0"/>
          <w:tab w:val="left" w:pos="900"/>
          <w:tab w:val="left" w:pos="1080"/>
        </w:tabs>
        <w:spacing w:line="360" w:lineRule="auto"/>
        <w:jc w:val="both"/>
      </w:pPr>
      <w:r>
        <w:drawing>
          <wp:inline distT="0" distB="0" distL="114300" distR="114300">
            <wp:extent cx="6286500" cy="2922270"/>
            <wp:effectExtent l="0" t="0" r="0" b="1143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6286500" cy="2922270"/>
                    </a:xfrm>
                    <a:prstGeom prst="rect">
                      <a:avLst/>
                    </a:prstGeom>
                    <a:noFill/>
                    <a:ln>
                      <a:noFill/>
                    </a:ln>
                  </pic:spPr>
                </pic:pic>
              </a:graphicData>
            </a:graphic>
          </wp:inline>
        </w:drawing>
      </w:r>
    </w:p>
    <w:p>
      <w:pPr>
        <w:pStyle w:val="2"/>
        <w:jc w:val="center"/>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图 1</w:t>
      </w:r>
    </w:p>
    <w:p>
      <w:pPr>
        <w:pStyle w:val="2"/>
        <w:ind w:firstLine="540" w:firstLineChars="300"/>
      </w:pPr>
      <w:r>
        <w:rPr>
          <w:rFonts w:hint="eastAsia"/>
        </w:rPr>
        <w:t>接线说明</w:t>
      </w:r>
    </w:p>
    <w:p>
      <w:pPr>
        <w:pStyle w:val="2"/>
      </w:pPr>
      <w:r>
        <w:rPr>
          <w:rFonts w:hint="eastAsia"/>
          <w:lang w:val="en-US" w:eastAsia="zh-CN"/>
        </w:rPr>
        <w:t xml:space="preserve">     </w:t>
      </w:r>
      <w:r>
        <w:drawing>
          <wp:inline distT="0" distB="0" distL="114300" distR="114300">
            <wp:extent cx="6096000" cy="2978785"/>
            <wp:effectExtent l="0" t="0" r="0" b="12065"/>
            <wp:docPr id="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
                    <pic:cNvPicPr>
                      <a:picLocks noChangeAspect="1"/>
                    </pic:cNvPicPr>
                  </pic:nvPicPr>
                  <pic:blipFill>
                    <a:blip r:embed="rId6"/>
                    <a:stretch>
                      <a:fillRect/>
                    </a:stretch>
                  </pic:blipFill>
                  <pic:spPr>
                    <a:xfrm>
                      <a:off x="0" y="0"/>
                      <a:ext cx="6096000" cy="297878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bookmarkStart w:id="0" w:name="_GoBack"/>
      <w:bookmarkEnd w:id="0"/>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5BA391E"/>
    <w:rsid w:val="08074942"/>
    <w:rsid w:val="081867BE"/>
    <w:rsid w:val="08230C2D"/>
    <w:rsid w:val="09560BE1"/>
    <w:rsid w:val="0C637867"/>
    <w:rsid w:val="0CEE0024"/>
    <w:rsid w:val="0E191991"/>
    <w:rsid w:val="0F5A6E2D"/>
    <w:rsid w:val="15076514"/>
    <w:rsid w:val="175D7E17"/>
    <w:rsid w:val="18933DCC"/>
    <w:rsid w:val="193E5C23"/>
    <w:rsid w:val="1B807332"/>
    <w:rsid w:val="1D046BF5"/>
    <w:rsid w:val="1D3D492D"/>
    <w:rsid w:val="1E750E4D"/>
    <w:rsid w:val="22EC52E6"/>
    <w:rsid w:val="24445DB4"/>
    <w:rsid w:val="286B23BD"/>
    <w:rsid w:val="2AD63A7B"/>
    <w:rsid w:val="2CF95B9C"/>
    <w:rsid w:val="35841DBD"/>
    <w:rsid w:val="3A191B3E"/>
    <w:rsid w:val="3CF650D4"/>
    <w:rsid w:val="45E523FA"/>
    <w:rsid w:val="46106C60"/>
    <w:rsid w:val="484C7C6A"/>
    <w:rsid w:val="4B6203D0"/>
    <w:rsid w:val="4B914094"/>
    <w:rsid w:val="4BE24FAE"/>
    <w:rsid w:val="4D941577"/>
    <w:rsid w:val="4F9C6E1E"/>
    <w:rsid w:val="4FA41708"/>
    <w:rsid w:val="531858FE"/>
    <w:rsid w:val="580A6C91"/>
    <w:rsid w:val="5AF735A9"/>
    <w:rsid w:val="5BB64768"/>
    <w:rsid w:val="5C560D17"/>
    <w:rsid w:val="5DC843BC"/>
    <w:rsid w:val="5F2A28A4"/>
    <w:rsid w:val="625466F6"/>
    <w:rsid w:val="627109D4"/>
    <w:rsid w:val="62984B5E"/>
    <w:rsid w:val="641D434E"/>
    <w:rsid w:val="65850947"/>
    <w:rsid w:val="683622B6"/>
    <w:rsid w:val="686E0B71"/>
    <w:rsid w:val="68FB32C9"/>
    <w:rsid w:val="6F1E7F4E"/>
    <w:rsid w:val="6FF10E8C"/>
    <w:rsid w:val="707B5F2D"/>
    <w:rsid w:val="7121515D"/>
    <w:rsid w:val="733F7947"/>
    <w:rsid w:val="75002747"/>
    <w:rsid w:val="75C34114"/>
    <w:rsid w:val="75E1329E"/>
    <w:rsid w:val="79A241F0"/>
    <w:rsid w:val="79D61A3F"/>
    <w:rsid w:val="7B3F756E"/>
    <w:rsid w:val="7BEA51D3"/>
    <w:rsid w:val="7C436420"/>
    <w:rsid w:val="7E2A4D78"/>
    <w:rsid w:val="7E8E1C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uiPriority w:val="99"/>
    <w:pPr>
      <w:jc w:val="both"/>
    </w:pPr>
    <w:rPr>
      <w:rFonts w:ascii="宋体" w:hAnsi="Courier New"/>
      <w:kern w:val="2"/>
      <w:sz w:val="21"/>
    </w:rPr>
  </w:style>
  <w:style w:type="paragraph" w:styleId="14">
    <w:name w:val="Balloon Text"/>
    <w:basedOn w:val="1"/>
    <w:link w:val="35"/>
    <w:unhideWhenUsed/>
    <w:uiPriority w:val="99"/>
    <w:rPr>
      <w:sz w:val="18"/>
      <w:szCs w:val="18"/>
    </w:rPr>
  </w:style>
  <w:style w:type="paragraph" w:styleId="15">
    <w:name w:val="footer"/>
    <w:basedOn w:val="1"/>
    <w:link w:val="36"/>
    <w:unhideWhenUsed/>
    <w:uiPriority w:val="99"/>
    <w:pPr>
      <w:tabs>
        <w:tab w:val="center" w:pos="4153"/>
        <w:tab w:val="right" w:pos="8306"/>
      </w:tabs>
      <w:snapToGrid w:val="0"/>
    </w:pPr>
    <w:rPr>
      <w:kern w:val="2"/>
      <w:sz w:val="18"/>
      <w:szCs w:val="18"/>
    </w:rPr>
  </w:style>
  <w:style w:type="paragraph" w:styleId="16">
    <w:name w:val="header"/>
    <w:basedOn w:val="1"/>
    <w:link w:val="37"/>
    <w:unhideWhenUsed/>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uiPriority w:val="99"/>
    <w:rPr>
      <w:rFonts w:cs="Times New Roman"/>
      <w:color w:val="0000FF"/>
      <w:u w:val="single"/>
    </w:rPr>
  </w:style>
  <w:style w:type="character" w:customStyle="1" w:styleId="25">
    <w:name w:val=" Char Char13"/>
    <w:basedOn w:val="20"/>
    <w:link w:val="4"/>
    <w:locked/>
    <w:uiPriority w:val="9"/>
    <w:rPr>
      <w:rFonts w:ascii="Cambria" w:hAnsi="Cambria" w:eastAsia="宋体" w:cs="Times New Roman"/>
      <w:b/>
      <w:bCs/>
      <w:kern w:val="32"/>
      <w:sz w:val="32"/>
      <w:szCs w:val="32"/>
    </w:rPr>
  </w:style>
  <w:style w:type="character" w:customStyle="1" w:styleId="26">
    <w:name w:val=" Char Char12"/>
    <w:basedOn w:val="20"/>
    <w:link w:val="5"/>
    <w:semiHidden/>
    <w:locked/>
    <w:uiPriority w:val="9"/>
    <w:rPr>
      <w:rFonts w:ascii="Cambria" w:hAnsi="Cambria" w:eastAsia="宋体" w:cs="Times New Roman"/>
      <w:b/>
      <w:bCs/>
      <w:i/>
      <w:iCs/>
      <w:sz w:val="28"/>
      <w:szCs w:val="28"/>
    </w:rPr>
  </w:style>
  <w:style w:type="character" w:customStyle="1" w:styleId="27">
    <w:name w:val=" Char Char11"/>
    <w:basedOn w:val="20"/>
    <w:link w:val="6"/>
    <w:semiHidden/>
    <w:locked/>
    <w:uiPriority w:val="9"/>
    <w:rPr>
      <w:rFonts w:ascii="Cambria" w:hAnsi="Cambria" w:eastAsia="宋体" w:cs="Times New Roman"/>
      <w:b/>
      <w:bCs/>
      <w:sz w:val="26"/>
      <w:szCs w:val="26"/>
    </w:rPr>
  </w:style>
  <w:style w:type="character" w:customStyle="1" w:styleId="28">
    <w:name w:val=" Char Char10"/>
    <w:basedOn w:val="20"/>
    <w:link w:val="7"/>
    <w:semiHidden/>
    <w:locked/>
    <w:uiPriority w:val="9"/>
    <w:rPr>
      <w:rFonts w:cs="Times New Roman"/>
      <w:b/>
      <w:bCs/>
      <w:sz w:val="28"/>
      <w:szCs w:val="28"/>
    </w:rPr>
  </w:style>
  <w:style w:type="character" w:customStyle="1" w:styleId="29">
    <w:name w:val=" Char Char9"/>
    <w:basedOn w:val="20"/>
    <w:link w:val="8"/>
    <w:semiHidden/>
    <w:locked/>
    <w:uiPriority w:val="9"/>
    <w:rPr>
      <w:rFonts w:cs="Times New Roman"/>
      <w:b/>
      <w:bCs/>
      <w:i/>
      <w:iCs/>
      <w:sz w:val="26"/>
      <w:szCs w:val="26"/>
    </w:rPr>
  </w:style>
  <w:style w:type="character" w:customStyle="1" w:styleId="30">
    <w:name w:val=" Char Char8"/>
    <w:basedOn w:val="20"/>
    <w:link w:val="9"/>
    <w:semiHidden/>
    <w:locked/>
    <w:uiPriority w:val="9"/>
    <w:rPr>
      <w:rFonts w:cs="Times New Roman"/>
      <w:b/>
      <w:bCs/>
    </w:rPr>
  </w:style>
  <w:style w:type="character" w:customStyle="1" w:styleId="31">
    <w:name w:val=" Char Char7"/>
    <w:basedOn w:val="20"/>
    <w:link w:val="10"/>
    <w:semiHidden/>
    <w:locked/>
    <w:uiPriority w:val="9"/>
    <w:rPr>
      <w:rFonts w:cs="Times New Roman"/>
      <w:sz w:val="24"/>
      <w:szCs w:val="24"/>
    </w:rPr>
  </w:style>
  <w:style w:type="character" w:customStyle="1" w:styleId="32">
    <w:name w:val=" Char Char6"/>
    <w:basedOn w:val="20"/>
    <w:link w:val="11"/>
    <w:semiHidden/>
    <w:locked/>
    <w:uiPriority w:val="9"/>
    <w:rPr>
      <w:rFonts w:cs="Times New Roman"/>
      <w:i/>
      <w:iCs/>
      <w:sz w:val="24"/>
      <w:szCs w:val="24"/>
    </w:rPr>
  </w:style>
  <w:style w:type="character" w:customStyle="1" w:styleId="33">
    <w:name w:val=" Char Char5"/>
    <w:basedOn w:val="20"/>
    <w:link w:val="12"/>
    <w:semiHidden/>
    <w:locked/>
    <w:uiPriority w:val="9"/>
    <w:rPr>
      <w:rFonts w:ascii="Cambria" w:hAnsi="Cambria" w:eastAsia="宋体" w:cs="Times New Roman"/>
    </w:rPr>
  </w:style>
  <w:style w:type="character" w:customStyle="1" w:styleId="34">
    <w:name w:val="普通文字 Char2"/>
    <w:basedOn w:val="20"/>
    <w:link w:val="13"/>
    <w:locked/>
    <w:uiPriority w:val="0"/>
    <w:rPr>
      <w:rFonts w:ascii="宋体" w:hAnsi="Courier New" w:eastAsia="宋体" w:cs="Times New Roman"/>
      <w:sz w:val="20"/>
      <w:szCs w:val="20"/>
    </w:rPr>
  </w:style>
  <w:style w:type="character" w:customStyle="1" w:styleId="35">
    <w:name w:val=" Char Char2"/>
    <w:basedOn w:val="20"/>
    <w:link w:val="14"/>
    <w:semiHidden/>
    <w:locked/>
    <w:uiPriority w:val="99"/>
    <w:rPr>
      <w:rFonts w:ascii="Times New Roman" w:hAnsi="Times New Roman" w:eastAsia="宋体" w:cs="Times New Roman"/>
      <w:kern w:val="0"/>
      <w:sz w:val="18"/>
      <w:szCs w:val="18"/>
    </w:rPr>
  </w:style>
  <w:style w:type="character" w:customStyle="1" w:styleId="36">
    <w:name w:val=" Char Char3"/>
    <w:basedOn w:val="20"/>
    <w:link w:val="15"/>
    <w:locked/>
    <w:uiPriority w:val="99"/>
    <w:rPr>
      <w:rFonts w:cs="Times New Roman"/>
      <w:sz w:val="18"/>
      <w:szCs w:val="18"/>
    </w:rPr>
  </w:style>
  <w:style w:type="character" w:customStyle="1" w:styleId="37">
    <w:name w:val=" Char Char4"/>
    <w:basedOn w:val="20"/>
    <w:link w:val="16"/>
    <w:locked/>
    <w:uiPriority w:val="99"/>
    <w:rPr>
      <w:rFonts w:cs="Times New Roman"/>
      <w:sz w:val="18"/>
      <w:szCs w:val="18"/>
    </w:rPr>
  </w:style>
  <w:style w:type="character" w:customStyle="1" w:styleId="38">
    <w:name w:val=" Char Char"/>
    <w:basedOn w:val="20"/>
    <w:link w:val="17"/>
    <w:locked/>
    <w:uiPriority w:val="11"/>
    <w:rPr>
      <w:rFonts w:ascii="Cambria" w:hAnsi="Cambria" w:eastAsia="宋体" w:cs="Times New Roman"/>
      <w:sz w:val="24"/>
      <w:szCs w:val="24"/>
    </w:rPr>
  </w:style>
  <w:style w:type="character" w:customStyle="1" w:styleId="39">
    <w:name w:val=" Char Char1"/>
    <w:basedOn w:val="20"/>
    <w:link w:val="18"/>
    <w:locked/>
    <w:uiPriority w:val="10"/>
    <w:rPr>
      <w:rFonts w:ascii="Cambria" w:hAnsi="Cambria" w:eastAsia="宋体" w:cs="Times New Roman"/>
      <w:b/>
      <w:bCs/>
      <w:kern w:val="28"/>
      <w:sz w:val="32"/>
      <w:szCs w:val="32"/>
    </w:rPr>
  </w:style>
  <w:style w:type="character" w:customStyle="1" w:styleId="40">
    <w:name w:val="Quote Char"/>
    <w:basedOn w:val="20"/>
    <w:link w:val="41"/>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1139</Words>
  <Characters>1245</Characters>
  <Lines>12</Lines>
  <Paragraphs>3</Paragraphs>
  <TotalTime>0</TotalTime>
  <ScaleCrop>false</ScaleCrop>
  <LinksUpToDate>false</LinksUpToDate>
  <CharactersWithSpaces>1386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2024-12-22T01:54:13Z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E72E52CF59FE4C089098CAD062E043C0_13</vt:lpwstr>
  </property>
</Properties>
</file>