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8C8F"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不锈钢分公司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硅钙钡线（低碳）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技术规格书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(第一版)</w:t>
      </w:r>
    </w:p>
    <w:p w14:paraId="0C1B071B">
      <w:pPr>
        <w:spacing w:line="360" w:lineRule="auto"/>
        <w:rPr>
          <w:rFonts w:hint="eastAsia"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甲方：甘肃酒钢集团宏兴钢铁股份有限公司不锈钢分公司</w:t>
      </w:r>
    </w:p>
    <w:p w14:paraId="55B60FDE">
      <w:pPr>
        <w:tabs>
          <w:tab w:val="left" w:pos="6425"/>
        </w:tabs>
        <w:spacing w:line="360" w:lineRule="auto"/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乙方：</w:t>
      </w:r>
    </w:p>
    <w:p w14:paraId="75BEB56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本着平等互利的原则，经甲乙双方充分共同协商，就乙方供给甲方的不锈钢硅钙钡线（低碳）达成如下协议：</w:t>
      </w:r>
    </w:p>
    <w:p w14:paraId="1D0B7541">
      <w:pPr>
        <w:keepNext w:val="0"/>
        <w:keepLines w:val="0"/>
        <w:widowControl/>
        <w:suppressLineNumbers w:val="0"/>
        <w:spacing w:line="360" w:lineRule="auto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1 不锈钢冶炼基本条件</w:t>
      </w:r>
    </w:p>
    <w:p w14:paraId="20A5F456">
      <w:pPr>
        <w:spacing w:line="360" w:lineRule="auto"/>
        <w:rPr>
          <w:rFonts w:hint="eastAsia" w:cs="Times New Roman"/>
          <w:kern w:val="0"/>
          <w:sz w:val="24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1.1生产钢种：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  <w:t>超纯铁素体</w:t>
      </w:r>
      <w:r>
        <w:rPr>
          <w:rFonts w:hint="eastAsia" w:cs="Times New Roman"/>
          <w:kern w:val="0"/>
          <w:sz w:val="24"/>
          <w:highlight w:val="none"/>
          <w:lang w:eastAsia="zh-CN"/>
        </w:rPr>
        <w:t>、双相不锈钢、含钛奥氏体不锈钢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。</w:t>
      </w:r>
    </w:p>
    <w:p w14:paraId="58D0DBB8">
      <w:pPr>
        <w:spacing w:line="360" w:lineRule="auto"/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1.2作用：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精炼炉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  <w:t>钢水夹杂物变性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。</w:t>
      </w:r>
    </w:p>
    <w:p w14:paraId="02B75B87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1.3</w:t>
      </w:r>
      <w:r>
        <w:rPr>
          <w:rFonts w:hint="default"/>
          <w:highlight w:val="none"/>
          <w:lang w:val="en-US" w:eastAsia="zh-CN"/>
        </w:rPr>
        <w:t>适用条件</w:t>
      </w:r>
      <w:r>
        <w:rPr>
          <w:rFonts w:hint="eastAsia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钢水</w:t>
      </w:r>
      <w:r>
        <w:rPr>
          <w:rFonts w:hint="eastAsia" w:cs="Times New Roman"/>
          <w:kern w:val="0"/>
          <w:sz w:val="24"/>
          <w:highlight w:val="none"/>
          <w:lang w:eastAsia="zh-CN"/>
        </w:rPr>
        <w:t>温度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1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59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0℃-16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0℃，钢水中[O]含量＜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40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ppm。</w:t>
      </w:r>
    </w:p>
    <w:p w14:paraId="19037904">
      <w:pPr>
        <w:autoSpaceDE w:val="0"/>
        <w:autoSpaceDN w:val="0"/>
        <w:adjustRightInd w:val="0"/>
        <w:spacing w:line="360" w:lineRule="auto"/>
        <w:jc w:val="left"/>
        <w:rPr>
          <w:rFonts w:hint="eastAsia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2 使用要求</w:t>
      </w:r>
      <w:r>
        <w:rPr>
          <w:rFonts w:hint="eastAsia" w:cs="Times New Roman"/>
          <w:kern w:val="0"/>
          <w:sz w:val="24"/>
          <w:highlight w:val="none"/>
          <w:lang w:val="en-US" w:eastAsia="zh-CN"/>
        </w:rPr>
        <w:t>：</w:t>
      </w:r>
    </w:p>
    <w:p w14:paraId="5240E22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喂线过程钢液面</w:t>
      </w:r>
      <w:r>
        <w:rPr>
          <w:rFonts w:hint="eastAsia" w:cs="Times New Roman"/>
          <w:kern w:val="0"/>
          <w:sz w:val="24"/>
          <w:highlight w:val="none"/>
          <w:lang w:val="en-US" w:eastAsia="zh-CN"/>
        </w:rPr>
        <w:t>无喷溅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。</w:t>
      </w:r>
    </w:p>
    <w:p w14:paraId="0FE3C15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eastAsia" w:cs="Times New Roman"/>
          <w:b/>
          <w:bCs/>
          <w:kern w:val="0"/>
          <w:sz w:val="24"/>
          <w:highlight w:val="none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>技术要求</w:t>
      </w:r>
    </w:p>
    <w:p w14:paraId="58A846E2"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 xml:space="preserve">.1 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所供货物规格为线直径13±1mm。</w:t>
      </w:r>
    </w:p>
    <w:p w14:paraId="19E48CAD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 xml:space="preserve">.2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线盘规格：内抽式，外径≤1200mm,内径≥700mm,宽度≤900mm。</w:t>
      </w:r>
    </w:p>
    <w:p w14:paraId="4E13055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包装要求：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必须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附带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有相应的产品名称、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产品厂家、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生产日期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批号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主要理化参数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等信息名牌</w:t>
      </w: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线卷外层必须包覆保护膜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。</w:t>
      </w:r>
    </w:p>
    <w:p w14:paraId="1E575932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zh-CN"/>
        </w:rPr>
        <w:t>外观质量标准：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表面光洁</w:t>
      </w: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无油污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，接头不超过2个，线架焊接牢固。</w:t>
      </w:r>
    </w:p>
    <w:p w14:paraId="470C8285"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技术指标要求：</w:t>
      </w:r>
    </w:p>
    <w:tbl>
      <w:tblPr>
        <w:tblStyle w:val="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95"/>
        <w:gridCol w:w="915"/>
        <w:gridCol w:w="1020"/>
        <w:gridCol w:w="977"/>
        <w:gridCol w:w="930"/>
        <w:gridCol w:w="930"/>
        <w:gridCol w:w="1110"/>
        <w:gridCol w:w="930"/>
        <w:gridCol w:w="825"/>
      </w:tblGrid>
      <w:tr w14:paraId="78C2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78" w:type="dxa"/>
            <w:noWrap w:val="0"/>
            <w:vAlign w:val="center"/>
          </w:tcPr>
          <w:p w14:paraId="26127B2D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型号</w:t>
            </w:r>
          </w:p>
        </w:tc>
        <w:tc>
          <w:tcPr>
            <w:tcW w:w="995" w:type="dxa"/>
            <w:noWrap w:val="0"/>
            <w:vAlign w:val="center"/>
          </w:tcPr>
          <w:p w14:paraId="46ADE715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芯粉重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g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/m</w:t>
            </w:r>
          </w:p>
        </w:tc>
        <w:tc>
          <w:tcPr>
            <w:tcW w:w="915" w:type="dxa"/>
            <w:noWrap w:val="0"/>
            <w:vAlign w:val="center"/>
          </w:tcPr>
          <w:p w14:paraId="6407827B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1020" w:type="dxa"/>
            <w:noWrap w:val="0"/>
            <w:vAlign w:val="center"/>
          </w:tcPr>
          <w:p w14:paraId="16C0A4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Ba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977" w:type="dxa"/>
            <w:noWrap w:val="0"/>
            <w:vAlign w:val="center"/>
          </w:tcPr>
          <w:p w14:paraId="791A7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930" w:type="dxa"/>
            <w:noWrap w:val="0"/>
            <w:vAlign w:val="center"/>
          </w:tcPr>
          <w:p w14:paraId="12762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930" w:type="dxa"/>
            <w:noWrap w:val="0"/>
            <w:vAlign w:val="center"/>
          </w:tcPr>
          <w:p w14:paraId="3802C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含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63869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Si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含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930" w:type="dxa"/>
            <w:noWrap w:val="0"/>
            <w:vAlign w:val="center"/>
          </w:tcPr>
          <w:p w14:paraId="56E881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含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825" w:type="dxa"/>
            <w:noWrap w:val="0"/>
            <w:vAlign w:val="center"/>
          </w:tcPr>
          <w:p w14:paraId="2E02E3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水分%</w:t>
            </w:r>
          </w:p>
        </w:tc>
      </w:tr>
      <w:tr w14:paraId="0A3A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78" w:type="dxa"/>
            <w:noWrap w:val="0"/>
            <w:vAlign w:val="center"/>
          </w:tcPr>
          <w:p w14:paraId="3D9A0400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13φ</w:t>
            </w:r>
          </w:p>
        </w:tc>
        <w:tc>
          <w:tcPr>
            <w:tcW w:w="995" w:type="dxa"/>
            <w:noWrap w:val="0"/>
            <w:vAlign w:val="center"/>
          </w:tcPr>
          <w:p w14:paraId="017E71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220</w:t>
            </w:r>
          </w:p>
        </w:tc>
        <w:tc>
          <w:tcPr>
            <w:tcW w:w="915" w:type="dxa"/>
            <w:noWrap w:val="0"/>
            <w:vAlign w:val="center"/>
          </w:tcPr>
          <w:p w14:paraId="282314CB">
            <w:pPr>
              <w:keepNext w:val="0"/>
              <w:keepLines w:val="0"/>
              <w:widowControl/>
              <w:suppressLineNumbers w:val="0"/>
              <w:spacing w:line="360" w:lineRule="auto"/>
              <w:ind w:firstLine="200" w:firstLineChars="10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 w14:paraId="12B614F7">
            <w:pPr>
              <w:widowControl/>
              <w:tabs>
                <w:tab w:val="left" w:pos="225"/>
                <w:tab w:val="center" w:pos="508"/>
              </w:tabs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noWrap w:val="0"/>
            <w:vAlign w:val="center"/>
          </w:tcPr>
          <w:p w14:paraId="6140DEE7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930" w:type="dxa"/>
            <w:noWrap w:val="0"/>
            <w:vAlign w:val="center"/>
          </w:tcPr>
          <w:p w14:paraId="67D4B46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0.08</w:t>
            </w:r>
          </w:p>
        </w:tc>
        <w:tc>
          <w:tcPr>
            <w:tcW w:w="930" w:type="dxa"/>
            <w:noWrap w:val="0"/>
            <w:vAlign w:val="center"/>
          </w:tcPr>
          <w:p w14:paraId="4148CA1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0.1</w:t>
            </w:r>
          </w:p>
        </w:tc>
        <w:tc>
          <w:tcPr>
            <w:tcW w:w="1110" w:type="dxa"/>
            <w:noWrap w:val="0"/>
            <w:vAlign w:val="center"/>
          </w:tcPr>
          <w:p w14:paraId="25A19534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629763C9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0.2</w:t>
            </w:r>
          </w:p>
        </w:tc>
        <w:tc>
          <w:tcPr>
            <w:tcW w:w="825" w:type="dxa"/>
            <w:noWrap w:val="0"/>
            <w:vAlign w:val="center"/>
          </w:tcPr>
          <w:p w14:paraId="28928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≤0.5</w:t>
            </w:r>
          </w:p>
        </w:tc>
      </w:tr>
    </w:tbl>
    <w:p w14:paraId="4CB2D45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cs="Times New Roman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注：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As+Cu+Sn+Zn+Pb+Bi&lt;0.036 %</w:t>
      </w:r>
    </w:p>
    <w:p w14:paraId="674CE50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每批次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到货，产品应提供相应质保书。</w:t>
      </w:r>
    </w:p>
    <w:p w14:paraId="368951D0">
      <w:pPr>
        <w:keepNext w:val="0"/>
        <w:keepLines w:val="0"/>
        <w:widowControl/>
        <w:suppressLineNumbers w:val="0"/>
        <w:spacing w:line="360" w:lineRule="auto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4 技术服务 </w:t>
      </w:r>
    </w:p>
    <w:p w14:paraId="49ECFDD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w:t>根据产品的使用情况，乙方应进行技术分析及产品质量和工艺措施的持续改进。</w:t>
      </w:r>
    </w:p>
    <w:p w14:paraId="5D22EDFC">
      <w:pPr>
        <w:keepNext w:val="0"/>
        <w:keepLines w:val="0"/>
        <w:widowControl/>
        <w:suppressLineNumbers w:val="0"/>
        <w:spacing w:line="360" w:lineRule="auto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 产品保证值 </w:t>
      </w:r>
    </w:p>
    <w:p w14:paraId="2D632B5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 xml:space="preserve"> 产品保质期：一年</w:t>
      </w:r>
    </w:p>
    <w:p w14:paraId="4076DA2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eastAsia" w:cs="Times New Roman"/>
          <w:b/>
          <w:bCs/>
          <w:kern w:val="0"/>
          <w:sz w:val="24"/>
          <w:highlight w:val="none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>考核条款</w:t>
      </w:r>
    </w:p>
    <w:p w14:paraId="3509B8D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当Ca含量&lt;7%时需要评审是否具备使用条件，经作业区和技术质量室评审后具备使用条件则每低1%，基准价降价 500元/吨。</w:t>
      </w:r>
    </w:p>
    <w:p w14:paraId="5E7445D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当Ba含量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10%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每低0.5%，基准价降价500元/吨。</w:t>
      </w:r>
    </w:p>
    <w:p w14:paraId="22681CA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当Al含量＞1.5%时需要评审是否具备使用条件，经作业区和技术质量室评审后具备使用条件则每增加0.1%，基准价降价200元/吨。</w:t>
      </w:r>
    </w:p>
    <w:p w14:paraId="2DD77C5E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P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含量&gt;0.08%时需要评审是否具备使用条件，经作业区和技术质量室评审后具备使用条件则每增加0.01%，基准价减价80元/吨。</w:t>
      </w:r>
      <w:bookmarkStart w:id="0" w:name="_GoBack"/>
      <w:bookmarkEnd w:id="0"/>
    </w:p>
    <w:p w14:paraId="0019AEF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含量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&gt;0.10%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时需要评审是否具备使用条件，经作业区和技术质量室评审后具备使用条件则每增加0.01%，基准价减价80元/吨。</w:t>
      </w:r>
    </w:p>
    <w:p w14:paraId="68D18E4E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当C含量＞0.2%时需要评审是否具备使用条件，经作业区和技术质量室评审后具备使用条件则每增加0.01%，基准价减价60元/吨。</w:t>
      </w:r>
    </w:p>
    <w:p w14:paraId="7B1906E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当Si含量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40%时需要评审是否具备使用条件，经作业区和技术质量室评审后具备使用条件则每降低1%，基准价降价2%。</w:t>
      </w:r>
    </w:p>
    <w:p w14:paraId="5B2F1BC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当芯粉重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220</w:t>
      </w:r>
      <w:r>
        <w:rPr>
          <w:rFonts w:hint="eastAsia" w:ascii="Times New Roman" w:hAnsi="Times New Roman" w:cs="Times New Roman"/>
          <w:kern w:val="0"/>
          <w:sz w:val="24"/>
          <w:highlight w:val="none"/>
        </w:rPr>
        <w:t>g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/>
        </w:rPr>
        <w:t>/m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时需要评审是否具备使用条件，经作业区和技术质量室评审后具备使用条件则每低5g/m，基准价降价200元/吨。</w:t>
      </w:r>
    </w:p>
    <w:p w14:paraId="1EFFFC9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当水分＞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0.5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%时需要评审是否具备使用条件，经作业区和技术质量室评审后具备使用条件则每增加1%，扣量2%结算。</w:t>
      </w:r>
    </w:p>
    <w:p w14:paraId="024F851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当As+Cu+Sn+Zn+Pb+Bi&lt;0.036 %时需要评审是否具备使用条件，经作业区和技术质量室评审进行降价或不予采购。</w:t>
      </w:r>
    </w:p>
    <w:p w14:paraId="7CCFD16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  <w:t>备注：指标超出范围后经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作业区和技术质量室评审后不具备条件的则进行退货处理，同时造成的生产计划兑现责任由乙方承担。</w:t>
      </w:r>
    </w:p>
    <w:p w14:paraId="6C1A953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eastAsia" w:cs="Times New Roman"/>
          <w:b/>
          <w:bCs/>
          <w:kern w:val="0"/>
          <w:sz w:val="24"/>
          <w:highlight w:val="none"/>
          <w:lang w:val="en-US" w:eastAsia="zh-CN"/>
        </w:rPr>
        <w:t xml:space="preserve">7  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>其他</w:t>
      </w:r>
    </w:p>
    <w:p w14:paraId="3EDB5F2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w:t>此协议一式三份，甲乙双方各保留一份，一份作为相应采购合同附件，自签定之日生效。</w:t>
      </w:r>
    </w:p>
    <w:p w14:paraId="59FBE63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</w:pPr>
    </w:p>
    <w:p w14:paraId="7C4FBF3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76E52DC0"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甲方：酒钢集团宏兴钢铁股份有限公司</w:t>
      </w: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ab/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乙方：</w:t>
      </w:r>
    </w:p>
    <w:p w14:paraId="4F8605DC">
      <w:pPr>
        <w:spacing w:line="360" w:lineRule="auto"/>
        <w:ind w:firstLine="840" w:firstLineChars="300"/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不锈钢分公司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 xml:space="preserve">             </w:t>
      </w:r>
    </w:p>
    <w:p w14:paraId="45D32442">
      <w:pPr>
        <w:spacing w:line="360" w:lineRule="auto"/>
        <w:ind w:firstLine="5883" w:firstLineChars="2100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 xml:space="preserve">    </w:t>
      </w:r>
    </w:p>
    <w:p w14:paraId="799C91BB">
      <w:pPr>
        <w:spacing w:line="360" w:lineRule="auto"/>
        <w:ind w:firstLine="140" w:firstLineChars="5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代表：                             代表：</w:t>
      </w:r>
    </w:p>
    <w:p w14:paraId="14170DF6">
      <w:pPr>
        <w:pStyle w:val="2"/>
        <w:spacing w:line="360" w:lineRule="auto"/>
        <w:rPr>
          <w:rFonts w:hint="eastAsia"/>
          <w:highlight w:val="none"/>
        </w:rPr>
      </w:pPr>
    </w:p>
    <w:p w14:paraId="53B6F45A">
      <w:pPr>
        <w:spacing w:line="360" w:lineRule="auto"/>
        <w:ind w:firstLine="140" w:firstLineChars="5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日期：                             日期：</w:t>
      </w:r>
    </w:p>
    <w:p w14:paraId="7EB07A2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</w:p>
    <w:p w14:paraId="48FFEABC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</w:p>
    <w:p w14:paraId="4F5F4271">
      <w:pPr>
        <w:spacing w:line="360" w:lineRule="auto"/>
        <w:rPr>
          <w:highlight w:val="none"/>
        </w:rPr>
      </w:pPr>
    </w:p>
    <w:sectPr>
      <w:headerReference r:id="rId5" w:type="default"/>
      <w:pgSz w:w="11906" w:h="16839"/>
      <w:pgMar w:top="1184" w:right="963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5A5B">
    <w:pPr>
      <w:pStyle w:val="5"/>
      <w:rPr>
        <w:rFonts w:hint="eastAsia" w:eastAsia="宋体"/>
        <w:u w:val="single"/>
        <w:lang w:eastAsia="zh-CN"/>
      </w:rPr>
    </w:pPr>
  </w:p>
  <w:p w14:paraId="399B0FB3">
    <w:pPr>
      <w:pStyle w:val="5"/>
      <w:rPr>
        <w:rFonts w:hint="eastAsia" w:eastAsia="宋体"/>
        <w:u w:val="single"/>
        <w:lang w:eastAsia="zh-CN"/>
      </w:rPr>
    </w:pPr>
  </w:p>
  <w:p w14:paraId="1EA6FF68">
    <w:pPr>
      <w:pStyle w:val="5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571500" cy="409575"/>
          <wp:effectExtent l="0" t="0" r="0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                                                  宏兴股份不锈钢分公司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57B9E"/>
    <w:rsid w:val="01E33FC6"/>
    <w:rsid w:val="025017D2"/>
    <w:rsid w:val="03F87613"/>
    <w:rsid w:val="04004BF7"/>
    <w:rsid w:val="19B46FFB"/>
    <w:rsid w:val="250027FB"/>
    <w:rsid w:val="275C6B5F"/>
    <w:rsid w:val="334020BF"/>
    <w:rsid w:val="349A316D"/>
    <w:rsid w:val="34D44341"/>
    <w:rsid w:val="44C53E7E"/>
    <w:rsid w:val="46EE58B1"/>
    <w:rsid w:val="47745A86"/>
    <w:rsid w:val="48EE3749"/>
    <w:rsid w:val="4CC26468"/>
    <w:rsid w:val="61061D66"/>
    <w:rsid w:val="62695859"/>
    <w:rsid w:val="62C3746A"/>
    <w:rsid w:val="772964EC"/>
    <w:rsid w:val="7C2D5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1083</Words>
  <Characters>1277</Characters>
  <TotalTime>2</TotalTime>
  <ScaleCrop>false</ScaleCrop>
  <LinksUpToDate>false</LinksUpToDate>
  <CharactersWithSpaces>1380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2023-08-24T15:24:00Z</dcterms:created>
  <dc:creator>sunyan</dc:creator>
  <cp:lastModifiedBy>刘斌</cp:lastModifiedBy>
  <dcterms:modified xsi:type="dcterms:W3CDTF">2025-09-19T03:47:38Z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2025-08-31T08:44:49Z</vt:filetime>
  </property>
  <property fmtid="{D5CDD505-2E9C-101B-9397-08002B2CF9AE}" pid="4" name="KSOTemplateDocerSaveRecord">
    <vt:lpwstr>eyJoZGlkIjoiOTlhN2RjYmZkMDNiZThkNjgzODY2MWM0OGU0MDUzNzQiLCJ1c2VySWQiOiIxNjQ5NDk5Nzk5In0=</vt:lpwstr>
  </property>
  <property fmtid="{D5CDD505-2E9C-101B-9397-08002B2CF9AE}" pid="5" name="KSOProductBuildVer">
    <vt:lpwstr>2052-12.1.0.20784</vt:lpwstr>
  </property>
  <property fmtid="{D5CDD505-2E9C-101B-9397-08002B2CF9AE}" pid="6" name="ICV">
    <vt:lpwstr>12923E606B1C4A6196FA0A0E9530BC24_13</vt:lpwstr>
  </property>
</Properties>
</file>