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E20F15">
      <w:pPr>
        <w:spacing w:line="360" w:lineRule="auto"/>
        <w:rPr>
          <w:rFonts w:ascii="微软雅黑" w:hAnsi="微软雅黑" w:eastAsia="微软雅黑"/>
          <w:b/>
          <w:bCs/>
          <w:szCs w:val="21"/>
        </w:rPr>
      </w:pPr>
    </w:p>
    <w:p w14:paraId="49B3BEE2">
      <w:pPr>
        <w:spacing w:line="360" w:lineRule="auto"/>
        <w:rPr>
          <w:rFonts w:ascii="微软雅黑" w:hAnsi="微软雅黑" w:eastAsia="微软雅黑"/>
          <w:b/>
          <w:bCs/>
          <w:szCs w:val="21"/>
        </w:rPr>
      </w:pPr>
    </w:p>
    <w:p w14:paraId="0C22AB29">
      <w:pPr>
        <w:spacing w:line="360" w:lineRule="auto"/>
        <w:rPr>
          <w:rFonts w:ascii="微软雅黑" w:hAnsi="微软雅黑" w:eastAsia="微软雅黑"/>
          <w:b/>
          <w:bCs/>
          <w:szCs w:val="21"/>
        </w:rPr>
      </w:pPr>
    </w:p>
    <w:p w14:paraId="57077CDA">
      <w:pPr>
        <w:spacing w:line="360" w:lineRule="auto"/>
        <w:rPr>
          <w:rFonts w:ascii="微软雅黑" w:hAnsi="微软雅黑" w:eastAsia="微软雅黑"/>
          <w:b/>
          <w:bCs/>
          <w:szCs w:val="21"/>
        </w:rPr>
      </w:pPr>
    </w:p>
    <w:p w14:paraId="5D596623">
      <w:pPr>
        <w:spacing w:line="360" w:lineRule="auto"/>
        <w:rPr>
          <w:rFonts w:ascii="微软雅黑" w:hAnsi="微软雅黑" w:eastAsia="微软雅黑"/>
          <w:b/>
          <w:bCs/>
          <w:szCs w:val="21"/>
        </w:rPr>
      </w:pPr>
    </w:p>
    <w:p w14:paraId="06D2B21F">
      <w:pPr>
        <w:spacing w:line="360" w:lineRule="auto"/>
        <w:rPr>
          <w:rFonts w:ascii="微软雅黑" w:hAnsi="微软雅黑" w:eastAsia="微软雅黑"/>
          <w:b/>
          <w:bCs/>
          <w:szCs w:val="21"/>
        </w:rPr>
      </w:pPr>
    </w:p>
    <w:p w14:paraId="2511D64E">
      <w:pPr>
        <w:spacing w:line="360" w:lineRule="auto"/>
        <w:jc w:val="center"/>
        <w:rPr>
          <w:rFonts w:ascii="微软雅黑" w:hAnsi="微软雅黑" w:eastAsia="微软雅黑"/>
          <w:b/>
          <w:sz w:val="48"/>
          <w:szCs w:val="48"/>
        </w:rPr>
      </w:pPr>
      <w:r>
        <w:rPr>
          <w:rFonts w:hint="eastAsia" w:ascii="微软雅黑" w:hAnsi="微软雅黑" w:eastAsia="微软雅黑"/>
          <w:b/>
          <w:sz w:val="48"/>
          <w:szCs w:val="48"/>
        </w:rPr>
        <w:t>酒钢（集团）宏联自控有限责任公司</w:t>
      </w:r>
    </w:p>
    <w:p w14:paraId="32D1C9C1">
      <w:pPr>
        <w:spacing w:line="360" w:lineRule="auto"/>
        <w:jc w:val="center"/>
        <w:rPr>
          <w:rFonts w:ascii="微软雅黑" w:hAnsi="微软雅黑" w:eastAsia="微软雅黑"/>
          <w:b/>
          <w:sz w:val="48"/>
          <w:szCs w:val="48"/>
        </w:rPr>
      </w:pPr>
      <w:r>
        <w:rPr>
          <w:rFonts w:hint="eastAsia" w:ascii="微软雅黑" w:hAnsi="微软雅黑" w:eastAsia="微软雅黑"/>
          <w:b/>
          <w:sz w:val="48"/>
          <w:szCs w:val="48"/>
        </w:rPr>
        <w:t>高压柜柜体技术规格书</w:t>
      </w:r>
    </w:p>
    <w:p w14:paraId="0CFF1554">
      <w:pPr>
        <w:spacing w:line="360" w:lineRule="auto"/>
        <w:rPr>
          <w:rFonts w:ascii="微软雅黑" w:hAnsi="微软雅黑" w:eastAsia="微软雅黑"/>
          <w:b/>
          <w:szCs w:val="21"/>
        </w:rPr>
      </w:pPr>
    </w:p>
    <w:p w14:paraId="49C36B56">
      <w:pPr>
        <w:spacing w:line="360" w:lineRule="auto"/>
        <w:rPr>
          <w:rFonts w:ascii="微软雅黑" w:hAnsi="微软雅黑" w:eastAsia="微软雅黑"/>
          <w:b/>
          <w:szCs w:val="21"/>
        </w:rPr>
      </w:pPr>
    </w:p>
    <w:p w14:paraId="01606E39">
      <w:pPr>
        <w:spacing w:line="360" w:lineRule="auto"/>
        <w:rPr>
          <w:rFonts w:ascii="微软雅黑" w:hAnsi="微软雅黑" w:eastAsia="微软雅黑"/>
          <w:b/>
          <w:szCs w:val="21"/>
        </w:rPr>
      </w:pPr>
    </w:p>
    <w:p w14:paraId="73E11EC7">
      <w:pPr>
        <w:pStyle w:val="5"/>
        <w:rPr>
          <w:rFonts w:ascii="微软雅黑" w:hAnsi="微软雅黑" w:eastAsia="微软雅黑"/>
          <w:b/>
          <w:szCs w:val="21"/>
        </w:rPr>
      </w:pPr>
    </w:p>
    <w:p w14:paraId="03F20E84">
      <w:pPr>
        <w:pStyle w:val="5"/>
        <w:rPr>
          <w:rFonts w:ascii="微软雅黑" w:hAnsi="微软雅黑" w:eastAsia="微软雅黑"/>
          <w:b/>
          <w:szCs w:val="21"/>
        </w:rPr>
      </w:pPr>
    </w:p>
    <w:p w14:paraId="26E7ED13">
      <w:pPr>
        <w:pStyle w:val="5"/>
        <w:rPr>
          <w:rFonts w:ascii="微软雅黑" w:hAnsi="微软雅黑" w:eastAsia="微软雅黑"/>
          <w:b/>
          <w:szCs w:val="21"/>
        </w:rPr>
      </w:pPr>
    </w:p>
    <w:p w14:paraId="2A31D5AF">
      <w:pPr>
        <w:pStyle w:val="5"/>
        <w:rPr>
          <w:rFonts w:ascii="微软雅黑" w:hAnsi="微软雅黑" w:eastAsia="微软雅黑"/>
          <w:b/>
          <w:szCs w:val="21"/>
        </w:rPr>
      </w:pPr>
    </w:p>
    <w:p w14:paraId="5ABF593F">
      <w:pPr>
        <w:spacing w:before="15" w:after="15" w:line="360" w:lineRule="exact"/>
        <w:ind w:firstLine="1642" w:firstLineChars="584"/>
        <w:jc w:val="center"/>
        <w:rPr>
          <w:rFonts w:hint="eastAsia" w:ascii="宋体" w:hAnsi="宋体"/>
          <w:b/>
          <w:bCs/>
          <w:sz w:val="28"/>
          <w:szCs w:val="28"/>
          <w:lang w:val="en-US" w:eastAsia="zh-CN"/>
        </w:rPr>
      </w:pPr>
    </w:p>
    <w:p w14:paraId="57FD91D9">
      <w:pPr>
        <w:spacing w:before="15" w:after="15" w:line="360" w:lineRule="exact"/>
        <w:ind w:firstLine="1642" w:firstLineChars="584"/>
        <w:jc w:val="center"/>
        <w:rPr>
          <w:rFonts w:hint="eastAsia" w:ascii="宋体" w:hAnsi="宋体"/>
          <w:b/>
          <w:bCs/>
          <w:sz w:val="28"/>
          <w:szCs w:val="28"/>
          <w:lang w:val="en-US" w:eastAsia="zh-CN"/>
        </w:rPr>
      </w:pPr>
    </w:p>
    <w:p w14:paraId="0D256444">
      <w:pPr>
        <w:spacing w:before="15" w:after="15" w:line="360" w:lineRule="exact"/>
        <w:ind w:firstLine="1642" w:firstLineChars="584"/>
        <w:jc w:val="center"/>
        <w:rPr>
          <w:rFonts w:hint="eastAsia" w:ascii="宋体" w:hAnsi="宋体"/>
          <w:b/>
          <w:bCs/>
          <w:sz w:val="28"/>
          <w:szCs w:val="28"/>
          <w:lang w:val="en-US" w:eastAsia="zh-CN"/>
        </w:rPr>
      </w:pPr>
    </w:p>
    <w:p w14:paraId="2A13C6BA">
      <w:pPr>
        <w:spacing w:before="15" w:after="15" w:line="360" w:lineRule="exact"/>
        <w:ind w:firstLine="1642" w:firstLineChars="584"/>
        <w:jc w:val="center"/>
        <w:rPr>
          <w:rFonts w:hint="eastAsia" w:ascii="宋体" w:hAnsi="宋体"/>
          <w:b/>
          <w:bCs/>
          <w:sz w:val="28"/>
          <w:szCs w:val="28"/>
          <w:lang w:val="en-US" w:eastAsia="zh-CN"/>
        </w:rPr>
      </w:pPr>
    </w:p>
    <w:p w14:paraId="55C69989">
      <w:pPr>
        <w:spacing w:before="15" w:after="15" w:line="360" w:lineRule="exact"/>
        <w:ind w:firstLine="1642" w:firstLineChars="584"/>
        <w:jc w:val="center"/>
        <w:rPr>
          <w:rFonts w:hint="eastAsia" w:ascii="宋体" w:hAnsi="宋体"/>
          <w:b/>
          <w:bCs/>
          <w:sz w:val="28"/>
          <w:szCs w:val="28"/>
          <w:lang w:val="en-US" w:eastAsia="zh-CN"/>
        </w:rPr>
      </w:pPr>
    </w:p>
    <w:p w14:paraId="7179AA00">
      <w:pPr>
        <w:spacing w:before="15" w:after="15" w:line="360" w:lineRule="exact"/>
        <w:ind w:firstLine="2485" w:firstLineChars="884"/>
        <w:jc w:val="both"/>
        <w:rPr>
          <w:rFonts w:hint="eastAsia" w:ascii="仿宋" w:hAnsi="仿宋" w:eastAsia="仿宋" w:cs="仿宋"/>
          <w:b/>
          <w:sz w:val="30"/>
          <w:szCs w:val="30"/>
        </w:rPr>
      </w:pPr>
      <w:r>
        <w:rPr>
          <w:rFonts w:hint="eastAsia" w:ascii="宋体" w:hAnsi="宋体"/>
          <w:b/>
          <w:bCs/>
          <w:sz w:val="28"/>
          <w:szCs w:val="28"/>
          <w:lang w:val="en-US" w:eastAsia="zh-CN"/>
        </w:rPr>
        <w:t>甲方</w:t>
      </w:r>
      <w:r>
        <w:rPr>
          <w:rFonts w:hint="eastAsia" w:ascii="宋体" w:hAnsi="宋体"/>
          <w:b/>
          <w:bCs/>
          <w:sz w:val="28"/>
          <w:szCs w:val="28"/>
        </w:rPr>
        <w:t>：</w:t>
      </w:r>
      <w:r>
        <w:rPr>
          <w:rFonts w:hint="eastAsia" w:ascii="仿宋" w:hAnsi="仿宋" w:eastAsia="仿宋" w:cs="仿宋"/>
          <w:b/>
          <w:sz w:val="30"/>
          <w:szCs w:val="30"/>
        </w:rPr>
        <w:t>酒钢(集团)宏联自控有限责任公司</w:t>
      </w:r>
    </w:p>
    <w:p w14:paraId="721CD73F">
      <w:pPr>
        <w:spacing w:before="15" w:after="15" w:line="360" w:lineRule="exact"/>
        <w:ind w:firstLine="1759" w:firstLineChars="584"/>
        <w:jc w:val="center"/>
        <w:rPr>
          <w:rFonts w:hint="eastAsia" w:ascii="仿宋" w:hAnsi="仿宋" w:eastAsia="仿宋" w:cs="仿宋"/>
          <w:b/>
          <w:sz w:val="30"/>
          <w:szCs w:val="30"/>
        </w:rPr>
      </w:pPr>
    </w:p>
    <w:p w14:paraId="0E0B2EAD">
      <w:pPr>
        <w:pStyle w:val="5"/>
        <w:keepNext w:val="0"/>
        <w:keepLines w:val="0"/>
        <w:pageBreakBefore w:val="0"/>
        <w:widowControl w:val="0"/>
        <w:kinsoku/>
        <w:wordWrap/>
        <w:overflowPunct/>
        <w:topLinePunct w:val="0"/>
        <w:autoSpaceDE/>
        <w:autoSpaceDN/>
        <w:bidi w:val="0"/>
        <w:adjustRightInd/>
        <w:spacing w:line="240" w:lineRule="auto"/>
        <w:ind w:firstLine="2426" w:firstLineChars="863"/>
        <w:textAlignment w:val="auto"/>
        <w:rPr>
          <w:rFonts w:ascii="微软雅黑" w:hAnsi="微软雅黑" w:eastAsia="微软雅黑"/>
          <w:b/>
          <w:szCs w:val="21"/>
        </w:rPr>
      </w:pPr>
      <w:r>
        <w:rPr>
          <w:rFonts w:hint="eastAsia" w:ascii="宋体" w:hAnsi="宋体" w:cs="Arial"/>
          <w:b/>
          <w:bCs/>
          <w:sz w:val="28"/>
          <w:szCs w:val="28"/>
          <w:lang w:val="en-US" w:eastAsia="zh-CN"/>
        </w:rPr>
        <w:t>乙方</w:t>
      </w:r>
      <w:r>
        <w:rPr>
          <w:rFonts w:hint="eastAsia" w:ascii="宋体" w:hAnsi="宋体"/>
          <w:b/>
          <w:bCs/>
          <w:sz w:val="28"/>
          <w:szCs w:val="28"/>
        </w:rPr>
        <w:t>：</w:t>
      </w:r>
    </w:p>
    <w:p w14:paraId="43BFAF34">
      <w:pPr>
        <w:pStyle w:val="5"/>
        <w:rPr>
          <w:rFonts w:ascii="微软雅黑" w:hAnsi="微软雅黑" w:eastAsia="微软雅黑"/>
          <w:b/>
          <w:szCs w:val="21"/>
        </w:rPr>
      </w:pPr>
    </w:p>
    <w:p w14:paraId="7E10D485">
      <w:pPr>
        <w:pStyle w:val="5"/>
        <w:rPr>
          <w:rFonts w:ascii="微软雅黑" w:hAnsi="微软雅黑" w:eastAsia="微软雅黑"/>
          <w:b/>
          <w:szCs w:val="21"/>
        </w:rPr>
      </w:pPr>
    </w:p>
    <w:p w14:paraId="44443D1E">
      <w:pPr>
        <w:pStyle w:val="5"/>
        <w:rPr>
          <w:rFonts w:ascii="微软雅黑" w:hAnsi="微软雅黑" w:eastAsia="微软雅黑"/>
          <w:b/>
          <w:szCs w:val="21"/>
        </w:rPr>
      </w:pPr>
    </w:p>
    <w:p w14:paraId="734167B7">
      <w:pPr>
        <w:pStyle w:val="5"/>
        <w:rPr>
          <w:rFonts w:ascii="微软雅黑" w:hAnsi="微软雅黑" w:eastAsia="微软雅黑"/>
          <w:b/>
          <w:szCs w:val="21"/>
        </w:rPr>
      </w:pPr>
    </w:p>
    <w:p w14:paraId="6E5462F2">
      <w:pPr>
        <w:pStyle w:val="5"/>
        <w:rPr>
          <w:rFonts w:ascii="微软雅黑" w:hAnsi="微软雅黑" w:eastAsia="微软雅黑"/>
          <w:b/>
          <w:szCs w:val="21"/>
        </w:rPr>
      </w:pPr>
    </w:p>
    <w:p w14:paraId="57A286FA">
      <w:pPr>
        <w:spacing w:line="360" w:lineRule="auto"/>
        <w:rPr>
          <w:rFonts w:ascii="微软雅黑" w:hAnsi="微软雅黑" w:eastAsia="微软雅黑"/>
          <w:b/>
          <w:szCs w:val="21"/>
        </w:rPr>
      </w:pPr>
    </w:p>
    <w:p w14:paraId="75437ED9">
      <w:pPr>
        <w:spacing w:line="400" w:lineRule="exact"/>
        <w:jc w:val="center"/>
        <w:rPr>
          <w:rFonts w:ascii="微软雅黑" w:hAnsi="微软雅黑" w:eastAsia="微软雅黑" w:cs="宋体"/>
          <w:b/>
          <w:szCs w:val="21"/>
        </w:rPr>
      </w:pPr>
      <w:r>
        <w:rPr>
          <w:rFonts w:hint="eastAsia" w:ascii="微软雅黑" w:hAnsi="微软雅黑" w:eastAsia="微软雅黑" w:cs="宋体"/>
          <w:b/>
          <w:szCs w:val="21"/>
        </w:rPr>
        <w:t>第一节 基本技术条件性能参数</w:t>
      </w:r>
    </w:p>
    <w:p w14:paraId="4B4CBFFF">
      <w:pPr>
        <w:spacing w:line="400" w:lineRule="exact"/>
        <w:jc w:val="left"/>
        <w:rPr>
          <w:rFonts w:ascii="微软雅黑" w:hAnsi="微软雅黑" w:eastAsia="微软雅黑" w:cs="宋体"/>
          <w:szCs w:val="21"/>
        </w:rPr>
      </w:pPr>
      <w:r>
        <w:rPr>
          <w:rFonts w:ascii="微软雅黑" w:hAnsi="微软雅黑" w:eastAsia="微软雅黑" w:cs="宋体"/>
          <w:szCs w:val="21"/>
        </w:rPr>
        <w:t xml:space="preserve">1.1 </w:t>
      </w:r>
      <w:r>
        <w:rPr>
          <w:rFonts w:hint="eastAsia" w:ascii="微软雅黑" w:hAnsi="微软雅黑" w:eastAsia="微软雅黑" w:cs="宋体"/>
          <w:szCs w:val="21"/>
        </w:rPr>
        <w:t>概述</w:t>
      </w:r>
    </w:p>
    <w:p w14:paraId="5AAFB7F1">
      <w:pPr>
        <w:spacing w:line="400" w:lineRule="exact"/>
        <w:ind w:firstLine="420" w:firstLineChars="200"/>
        <w:jc w:val="left"/>
        <w:rPr>
          <w:rFonts w:ascii="微软雅黑" w:hAnsi="微软雅黑" w:eastAsia="微软雅黑" w:cs="宋体"/>
          <w:szCs w:val="21"/>
        </w:rPr>
      </w:pPr>
      <w:r>
        <w:rPr>
          <w:rFonts w:hint="eastAsia" w:ascii="微软雅黑" w:hAnsi="微软雅黑" w:eastAsia="微软雅黑" w:cs="宋体"/>
          <w:szCs w:val="21"/>
        </w:rPr>
        <w:t>本技术协议作为10KV高压开关柜柜体采购合同的附件，与采购合同同时生效，具有同等法律效力。合同执行期间双方再协商形成的补充协议和追加条款也具有同等法律效力。</w:t>
      </w:r>
    </w:p>
    <w:p w14:paraId="3C5BBE6C">
      <w:pPr>
        <w:spacing w:line="400" w:lineRule="exact"/>
        <w:jc w:val="left"/>
        <w:rPr>
          <w:rFonts w:ascii="微软雅黑" w:hAnsi="微软雅黑" w:eastAsia="微软雅黑" w:cs="宋体"/>
          <w:szCs w:val="21"/>
        </w:rPr>
      </w:pPr>
      <w:r>
        <w:rPr>
          <w:rFonts w:ascii="微软雅黑" w:hAnsi="微软雅黑" w:eastAsia="微软雅黑" w:cs="宋体"/>
          <w:szCs w:val="21"/>
        </w:rPr>
        <w:t>1.1.</w:t>
      </w:r>
      <w:r>
        <w:rPr>
          <w:rFonts w:hint="eastAsia" w:ascii="微软雅黑" w:hAnsi="微软雅黑" w:eastAsia="微软雅黑" w:cs="宋体"/>
          <w:szCs w:val="21"/>
        </w:rPr>
        <w:t>1乙方工作范围的简要说明：</w:t>
      </w:r>
    </w:p>
    <w:p w14:paraId="27DF7E2E">
      <w:pPr>
        <w:spacing w:line="400" w:lineRule="exact"/>
        <w:jc w:val="left"/>
        <w:rPr>
          <w:rFonts w:ascii="微软雅黑" w:hAnsi="微软雅黑" w:eastAsia="微软雅黑" w:cs="宋体"/>
          <w:szCs w:val="21"/>
        </w:rPr>
      </w:pPr>
      <w:r>
        <w:rPr>
          <w:rFonts w:hint="eastAsia" w:ascii="微软雅黑" w:hAnsi="微软雅黑" w:eastAsia="微软雅黑" w:cs="宋体"/>
          <w:szCs w:val="21"/>
        </w:rPr>
        <w:t>乙方应对制造合同技术总负责</w:t>
      </w:r>
      <w:r>
        <w:rPr>
          <w:rFonts w:ascii="微软雅黑" w:hAnsi="微软雅黑" w:eastAsia="微软雅黑" w:cs="宋体"/>
          <w:szCs w:val="21"/>
        </w:rPr>
        <w:t>,</w:t>
      </w:r>
      <w:r>
        <w:rPr>
          <w:rFonts w:hint="eastAsia" w:ascii="微软雅黑" w:hAnsi="微软雅黑" w:eastAsia="微软雅黑" w:cs="宋体"/>
          <w:szCs w:val="21"/>
        </w:rPr>
        <w:t>即乙方对所承担的设备设计制造、调试、运输功能考核及竣工验收等各阶段的技术工作，按双方技术谈判达成的规定负全面技术责任。</w:t>
      </w:r>
    </w:p>
    <w:p w14:paraId="782AA8F2">
      <w:pPr>
        <w:spacing w:line="400" w:lineRule="exact"/>
        <w:jc w:val="left"/>
        <w:rPr>
          <w:rFonts w:ascii="微软雅黑" w:hAnsi="微软雅黑" w:eastAsia="微软雅黑" w:cs="宋体"/>
          <w:szCs w:val="21"/>
        </w:rPr>
      </w:pPr>
      <w:r>
        <w:rPr>
          <w:rFonts w:ascii="微软雅黑" w:hAnsi="微软雅黑" w:eastAsia="微软雅黑" w:cs="宋体"/>
          <w:szCs w:val="21"/>
        </w:rPr>
        <w:t xml:space="preserve">1.2 </w:t>
      </w:r>
      <w:r>
        <w:rPr>
          <w:rFonts w:hint="eastAsia" w:ascii="微软雅黑" w:hAnsi="微软雅黑" w:eastAsia="微软雅黑" w:cs="宋体"/>
          <w:szCs w:val="21"/>
        </w:rPr>
        <w:t>总体要求</w:t>
      </w:r>
    </w:p>
    <w:p w14:paraId="7F4A3D5A">
      <w:pPr>
        <w:spacing w:line="400" w:lineRule="exact"/>
        <w:jc w:val="left"/>
        <w:rPr>
          <w:rFonts w:ascii="微软雅黑" w:hAnsi="微软雅黑" w:eastAsia="微软雅黑" w:cs="宋体"/>
          <w:szCs w:val="21"/>
        </w:rPr>
      </w:pPr>
      <w:r>
        <w:rPr>
          <w:rFonts w:ascii="微软雅黑" w:hAnsi="微软雅黑" w:eastAsia="微软雅黑" w:cs="宋体"/>
          <w:szCs w:val="21"/>
        </w:rPr>
        <w:t>1.2.1</w:t>
      </w:r>
      <w:r>
        <w:rPr>
          <w:rFonts w:hint="eastAsia" w:ascii="微软雅黑" w:hAnsi="微软雅黑" w:eastAsia="微软雅黑" w:cs="宋体"/>
          <w:szCs w:val="21"/>
        </w:rPr>
        <w:t>乙方应按相关国家标准，并结合甲方的技术要求进行高压开关柜装置的设计制造，其产品实物质量应达到当今国内先进水平，并具有经济、可靠的特点。</w:t>
      </w:r>
    </w:p>
    <w:p w14:paraId="466844C9">
      <w:pPr>
        <w:spacing w:line="400" w:lineRule="exact"/>
        <w:jc w:val="left"/>
        <w:rPr>
          <w:rFonts w:ascii="微软雅黑" w:hAnsi="微软雅黑" w:eastAsia="微软雅黑" w:cs="宋体"/>
          <w:szCs w:val="21"/>
        </w:rPr>
      </w:pPr>
      <w:r>
        <w:rPr>
          <w:rFonts w:ascii="微软雅黑" w:hAnsi="微软雅黑" w:eastAsia="微软雅黑" w:cs="宋体"/>
          <w:szCs w:val="21"/>
        </w:rPr>
        <w:t>1.2.2</w:t>
      </w:r>
      <w:r>
        <w:rPr>
          <w:rFonts w:hint="eastAsia" w:ascii="微软雅黑" w:hAnsi="微软雅黑" w:eastAsia="微软雅黑" w:cs="宋体"/>
          <w:szCs w:val="21"/>
        </w:rPr>
        <w:t>乙方选择高质量、有信誉、有良好业绩和配套供货能力的厂商进行相关电器元件、绝缘件等配套供货，所用产品应得到甲方的认可。</w:t>
      </w:r>
    </w:p>
    <w:p w14:paraId="2FE63561">
      <w:pPr>
        <w:spacing w:line="400" w:lineRule="exact"/>
        <w:jc w:val="left"/>
        <w:rPr>
          <w:rFonts w:ascii="微软雅黑" w:hAnsi="微软雅黑" w:eastAsia="微软雅黑" w:cs="宋体"/>
          <w:szCs w:val="21"/>
        </w:rPr>
      </w:pPr>
      <w:r>
        <w:rPr>
          <w:rFonts w:ascii="微软雅黑" w:hAnsi="微软雅黑" w:eastAsia="微软雅黑" w:cs="宋体"/>
          <w:szCs w:val="21"/>
        </w:rPr>
        <w:t>1.2.3</w:t>
      </w:r>
      <w:r>
        <w:rPr>
          <w:rFonts w:hint="eastAsia" w:ascii="微软雅黑" w:hAnsi="微软雅黑" w:eastAsia="微软雅黑" w:cs="宋体"/>
          <w:szCs w:val="21"/>
        </w:rPr>
        <w:t>乙方应对所提技术要求的及时性、正确性、完整性负责，并在工程施工的全过程中，与本工程的其他产品供应商进行密切配合，相互支持，以确保本工程的优质、按期完工。如配合各方不能达成一致时，甲方有决定权和依照相关合同条款的处理权。</w:t>
      </w:r>
    </w:p>
    <w:p w14:paraId="6F36BFEE">
      <w:pPr>
        <w:spacing w:line="400" w:lineRule="exact"/>
        <w:jc w:val="left"/>
        <w:rPr>
          <w:rFonts w:ascii="微软雅黑" w:hAnsi="微软雅黑" w:eastAsia="微软雅黑" w:cs="宋体"/>
          <w:szCs w:val="21"/>
        </w:rPr>
      </w:pPr>
      <w:r>
        <w:rPr>
          <w:rFonts w:ascii="微软雅黑" w:hAnsi="微软雅黑" w:eastAsia="微软雅黑" w:cs="宋体"/>
          <w:szCs w:val="21"/>
        </w:rPr>
        <w:t>1.2.4</w:t>
      </w:r>
      <w:r>
        <w:rPr>
          <w:rFonts w:hint="eastAsia" w:ascii="微软雅黑" w:hAnsi="微软雅黑" w:eastAsia="微软雅黑" w:cs="宋体"/>
          <w:szCs w:val="21"/>
        </w:rPr>
        <w:t>乙方应提供相关设备的主要功能指标或技术性能，产品质量和工艺性能等保证内容，并提出相应保证值的测量方法和测试条件，乙方应保证所提供的各项性能指标并进行书面承诺。</w:t>
      </w:r>
    </w:p>
    <w:p w14:paraId="382CB652">
      <w:pPr>
        <w:spacing w:line="400" w:lineRule="exact"/>
        <w:jc w:val="left"/>
        <w:rPr>
          <w:rFonts w:ascii="微软雅黑" w:hAnsi="微软雅黑" w:eastAsia="微软雅黑" w:cs="宋体"/>
          <w:szCs w:val="21"/>
        </w:rPr>
      </w:pPr>
      <w:r>
        <w:rPr>
          <w:rFonts w:ascii="微软雅黑" w:hAnsi="微软雅黑" w:eastAsia="微软雅黑" w:cs="宋体"/>
          <w:szCs w:val="21"/>
        </w:rPr>
        <w:t>1.2.5</w:t>
      </w:r>
      <w:r>
        <w:rPr>
          <w:rFonts w:hint="eastAsia" w:ascii="微软雅黑" w:hAnsi="微软雅黑" w:eastAsia="微软雅黑" w:cs="宋体"/>
          <w:szCs w:val="21"/>
        </w:rPr>
        <w:t>与本设备采购所产生的设备招标文件、设备投标文件、设备招标的技术澄清及本技术协议具有同等法律效率。</w:t>
      </w:r>
    </w:p>
    <w:p w14:paraId="569441B8">
      <w:pPr>
        <w:spacing w:line="400" w:lineRule="exact"/>
        <w:jc w:val="left"/>
        <w:rPr>
          <w:rFonts w:ascii="微软雅黑" w:hAnsi="微软雅黑" w:eastAsia="微软雅黑" w:cs="宋体"/>
          <w:szCs w:val="21"/>
        </w:rPr>
      </w:pPr>
      <w:r>
        <w:rPr>
          <w:rFonts w:ascii="微软雅黑" w:hAnsi="微软雅黑" w:eastAsia="微软雅黑" w:cs="宋体"/>
          <w:szCs w:val="21"/>
        </w:rPr>
        <w:t xml:space="preserve">1.3 </w:t>
      </w:r>
      <w:r>
        <w:rPr>
          <w:rFonts w:hint="eastAsia" w:ascii="微软雅黑" w:hAnsi="微软雅黑" w:eastAsia="微软雅黑" w:cs="宋体"/>
          <w:szCs w:val="21"/>
        </w:rPr>
        <w:t>环境条件数据</w:t>
      </w:r>
    </w:p>
    <w:p w14:paraId="68AF2687">
      <w:pPr>
        <w:spacing w:line="400" w:lineRule="exact"/>
        <w:jc w:val="left"/>
        <w:rPr>
          <w:rFonts w:ascii="微软雅黑" w:hAnsi="微软雅黑" w:eastAsia="微软雅黑" w:cs="宋体"/>
          <w:szCs w:val="21"/>
        </w:rPr>
      </w:pPr>
      <w:r>
        <w:rPr>
          <w:rFonts w:hint="eastAsia" w:ascii="微软雅黑" w:hAnsi="微软雅黑" w:eastAsia="微软雅黑" w:cs="宋体"/>
          <w:szCs w:val="21"/>
        </w:rPr>
        <w:t>乙方提供的设备，必须在下述的要求条件下进行设计制造，并达到甲方的要求。</w:t>
      </w:r>
    </w:p>
    <w:p w14:paraId="459963C2">
      <w:pPr>
        <w:spacing w:line="400" w:lineRule="exact"/>
        <w:jc w:val="left"/>
        <w:rPr>
          <w:rFonts w:ascii="微软雅黑" w:hAnsi="微软雅黑" w:eastAsia="微软雅黑" w:cs="宋体"/>
          <w:szCs w:val="21"/>
        </w:rPr>
      </w:pPr>
      <w:r>
        <w:rPr>
          <w:rFonts w:ascii="微软雅黑" w:hAnsi="微软雅黑" w:eastAsia="微软雅黑" w:cs="宋体"/>
          <w:szCs w:val="21"/>
        </w:rPr>
        <w:t>1.3.1</w:t>
      </w:r>
      <w:r>
        <w:rPr>
          <w:rFonts w:hint="eastAsia" w:ascii="微软雅黑" w:hAnsi="微软雅黑" w:eastAsia="微软雅黑" w:cs="宋体"/>
          <w:szCs w:val="21"/>
        </w:rPr>
        <w:t>使用环境条件要求</w:t>
      </w:r>
    </w:p>
    <w:p w14:paraId="6C39AD9C">
      <w:pPr>
        <w:spacing w:line="400" w:lineRule="exact"/>
        <w:jc w:val="left"/>
        <w:rPr>
          <w:rFonts w:ascii="微软雅黑" w:hAnsi="微软雅黑" w:eastAsia="微软雅黑" w:cs="宋体"/>
          <w:szCs w:val="21"/>
        </w:rPr>
      </w:pPr>
      <w:r>
        <w:rPr>
          <w:rFonts w:hint="eastAsia" w:ascii="微软雅黑" w:hAnsi="微软雅黑" w:eastAsia="微软雅黑" w:cs="宋体"/>
          <w:szCs w:val="21"/>
        </w:rPr>
        <w:t>安装地点及运行条件   户内          安装海拔高度</w:t>
      </w:r>
      <w:r>
        <w:rPr>
          <w:rFonts w:ascii="微软雅黑" w:hAnsi="微软雅黑" w:eastAsia="微软雅黑" w:cs="宋体"/>
          <w:szCs w:val="21"/>
        </w:rPr>
        <w:t xml:space="preserve">   </w:t>
      </w:r>
      <w:r>
        <w:rPr>
          <w:rFonts w:hint="eastAsia" w:ascii="微软雅黑" w:hAnsi="微软雅黑" w:eastAsia="微软雅黑" w:cs="宋体"/>
          <w:szCs w:val="21"/>
        </w:rPr>
        <w:t xml:space="preserve">   2000m  采用高原型元件，加强绝缘</w:t>
      </w:r>
      <w:r>
        <w:rPr>
          <w:rFonts w:ascii="微软雅黑" w:hAnsi="微软雅黑" w:eastAsia="微软雅黑" w:cs="宋体"/>
          <w:szCs w:val="21"/>
        </w:rPr>
        <w:t xml:space="preserve">  </w:t>
      </w:r>
    </w:p>
    <w:p w14:paraId="7E253278">
      <w:pPr>
        <w:spacing w:line="400" w:lineRule="exact"/>
        <w:jc w:val="left"/>
        <w:rPr>
          <w:rFonts w:ascii="微软雅黑" w:hAnsi="微软雅黑" w:eastAsia="微软雅黑" w:cs="宋体"/>
          <w:szCs w:val="21"/>
        </w:rPr>
      </w:pPr>
      <w:r>
        <w:rPr>
          <w:rFonts w:hint="eastAsia" w:ascii="微软雅黑" w:hAnsi="微软雅黑" w:eastAsia="微软雅黑" w:cs="宋体"/>
          <w:szCs w:val="21"/>
        </w:rPr>
        <w:t>污秽等级             Ⅱ级          地震烈度</w:t>
      </w:r>
      <w:r>
        <w:rPr>
          <w:rFonts w:ascii="微软雅黑" w:hAnsi="微软雅黑" w:eastAsia="微软雅黑" w:cs="宋体"/>
          <w:szCs w:val="21"/>
        </w:rPr>
        <w:t xml:space="preserve">      </w:t>
      </w:r>
      <w:r>
        <w:rPr>
          <w:rFonts w:hint="eastAsia" w:ascii="微软雅黑" w:hAnsi="微软雅黑" w:eastAsia="微软雅黑" w:cs="宋体"/>
          <w:szCs w:val="21"/>
        </w:rPr>
        <w:t xml:space="preserve">  </w:t>
      </w:r>
      <w:r>
        <w:rPr>
          <w:rFonts w:ascii="微软雅黑" w:hAnsi="微软雅黑" w:eastAsia="微软雅黑" w:cs="宋体"/>
          <w:szCs w:val="21"/>
        </w:rPr>
        <w:t xml:space="preserve"> </w:t>
      </w:r>
      <w:r>
        <w:rPr>
          <w:rFonts w:hint="eastAsia" w:ascii="微软雅黑" w:hAnsi="微软雅黑" w:eastAsia="微软雅黑"/>
          <w:szCs w:val="21"/>
        </w:rPr>
        <w:t>不超过8度</w:t>
      </w:r>
    </w:p>
    <w:p w14:paraId="616A1CEB">
      <w:pPr>
        <w:spacing w:line="400" w:lineRule="exact"/>
        <w:ind w:right="13" w:rightChars="6"/>
        <w:jc w:val="left"/>
        <w:rPr>
          <w:rFonts w:ascii="微软雅黑" w:hAnsi="微软雅黑" w:eastAsia="微软雅黑" w:cs="宋体"/>
          <w:szCs w:val="21"/>
        </w:rPr>
      </w:pPr>
      <w:r>
        <w:rPr>
          <w:rFonts w:hint="eastAsia" w:ascii="微软雅黑" w:hAnsi="微软雅黑" w:eastAsia="微软雅黑" w:cs="宋体"/>
          <w:szCs w:val="21"/>
        </w:rPr>
        <w:t>最高温度             +40℃        最低温度          -30℃</w:t>
      </w:r>
    </w:p>
    <w:p w14:paraId="2C91E8E7">
      <w:pPr>
        <w:spacing w:line="400" w:lineRule="exact"/>
        <w:jc w:val="left"/>
        <w:rPr>
          <w:rFonts w:ascii="微软雅黑" w:hAnsi="微软雅黑" w:eastAsia="微软雅黑" w:cs="宋体"/>
          <w:szCs w:val="21"/>
        </w:rPr>
      </w:pPr>
      <w:r>
        <w:rPr>
          <w:rFonts w:hint="eastAsia" w:ascii="微软雅黑" w:hAnsi="微软雅黑" w:eastAsia="微软雅黑" w:cs="宋体"/>
          <w:szCs w:val="21"/>
        </w:rPr>
        <w:t>日平均相对湿度       不大于95％   月平均相对湿度   不大于90％</w:t>
      </w:r>
    </w:p>
    <w:p w14:paraId="508D0413">
      <w:pPr>
        <w:spacing w:line="400" w:lineRule="exact"/>
        <w:ind w:right="13" w:rightChars="6"/>
        <w:jc w:val="left"/>
        <w:rPr>
          <w:rFonts w:ascii="微软雅黑" w:hAnsi="微软雅黑" w:eastAsia="微软雅黑"/>
          <w:szCs w:val="21"/>
        </w:rPr>
      </w:pPr>
      <w:r>
        <w:rPr>
          <w:rFonts w:hint="eastAsia" w:ascii="微软雅黑" w:hAnsi="微软雅黑" w:eastAsia="微软雅黑"/>
          <w:szCs w:val="21"/>
        </w:rPr>
        <w:t>周围空气应不受腐蚀性或可燃气体，水蒸气等明显污染。</w:t>
      </w:r>
    </w:p>
    <w:p w14:paraId="075198C9">
      <w:pPr>
        <w:spacing w:line="400" w:lineRule="exact"/>
        <w:ind w:right="13" w:rightChars="6"/>
        <w:jc w:val="left"/>
        <w:rPr>
          <w:rFonts w:ascii="微软雅黑" w:hAnsi="微软雅黑" w:eastAsia="微软雅黑" w:cs="宋体"/>
          <w:szCs w:val="21"/>
        </w:rPr>
      </w:pPr>
      <w:r>
        <w:rPr>
          <w:rFonts w:hint="eastAsia" w:ascii="微软雅黑" w:hAnsi="微软雅黑" w:eastAsia="微软雅黑"/>
          <w:szCs w:val="21"/>
        </w:rPr>
        <w:t xml:space="preserve">无严重污秽及经常性剧烈震动。 </w:t>
      </w:r>
    </w:p>
    <w:p w14:paraId="2532124C">
      <w:pPr>
        <w:spacing w:line="400" w:lineRule="exact"/>
        <w:jc w:val="left"/>
        <w:rPr>
          <w:rFonts w:ascii="微软雅黑" w:hAnsi="微软雅黑" w:eastAsia="微软雅黑" w:cs="宋体"/>
          <w:szCs w:val="21"/>
        </w:rPr>
      </w:pPr>
      <w:r>
        <w:rPr>
          <w:rFonts w:ascii="微软雅黑" w:hAnsi="微软雅黑" w:eastAsia="微软雅黑" w:cs="宋体"/>
          <w:szCs w:val="21"/>
        </w:rPr>
        <w:t xml:space="preserve"> 1.3.2  </w:t>
      </w:r>
      <w:r>
        <w:rPr>
          <w:rFonts w:hint="eastAsia" w:ascii="微软雅黑" w:hAnsi="微软雅黑" w:eastAsia="微软雅黑" w:cs="宋体"/>
          <w:szCs w:val="21"/>
        </w:rPr>
        <w:t>高压开关柜通用电气技术参数要求</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8"/>
        <w:gridCol w:w="6449"/>
      </w:tblGrid>
      <w:tr w14:paraId="4E317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3298" w:type="dxa"/>
          </w:tcPr>
          <w:p w14:paraId="22B22A31">
            <w:pPr>
              <w:spacing w:line="400" w:lineRule="exact"/>
              <w:ind w:left="2" w:leftChars="1" w:right="13" w:rightChars="6" w:firstLine="411" w:firstLineChars="196"/>
              <w:jc w:val="left"/>
              <w:rPr>
                <w:rFonts w:ascii="微软雅黑" w:hAnsi="微软雅黑" w:eastAsia="微软雅黑"/>
              </w:rPr>
            </w:pPr>
            <w:r>
              <w:rPr>
                <w:rFonts w:hint="eastAsia" w:ascii="微软雅黑" w:hAnsi="微软雅黑" w:eastAsia="微软雅黑"/>
              </w:rPr>
              <w:t>项目</w:t>
            </w:r>
          </w:p>
        </w:tc>
        <w:tc>
          <w:tcPr>
            <w:tcW w:w="6449" w:type="dxa"/>
          </w:tcPr>
          <w:p w14:paraId="6D03BAE6">
            <w:pPr>
              <w:spacing w:line="400" w:lineRule="exact"/>
              <w:ind w:left="2" w:leftChars="1" w:right="13" w:rightChars="6" w:firstLine="411" w:firstLineChars="196"/>
              <w:jc w:val="left"/>
              <w:rPr>
                <w:rFonts w:ascii="微软雅黑" w:hAnsi="微软雅黑" w:eastAsia="微软雅黑"/>
              </w:rPr>
            </w:pPr>
            <w:r>
              <w:rPr>
                <w:rFonts w:hint="eastAsia" w:ascii="微软雅黑" w:hAnsi="微软雅黑" w:eastAsia="微软雅黑"/>
              </w:rPr>
              <w:t>技术数据</w:t>
            </w:r>
          </w:p>
        </w:tc>
      </w:tr>
      <w:tr w14:paraId="19F73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3298" w:type="dxa"/>
          </w:tcPr>
          <w:p w14:paraId="29BB6ADE">
            <w:pPr>
              <w:spacing w:line="400" w:lineRule="exact"/>
              <w:ind w:left="2" w:leftChars="1" w:right="13" w:rightChars="6" w:firstLine="411" w:firstLineChars="196"/>
              <w:jc w:val="left"/>
              <w:rPr>
                <w:rFonts w:ascii="微软雅黑" w:hAnsi="微软雅黑" w:eastAsia="微软雅黑"/>
              </w:rPr>
            </w:pPr>
            <w:r>
              <w:rPr>
                <w:rFonts w:hint="eastAsia" w:ascii="微软雅黑" w:hAnsi="微软雅黑" w:eastAsia="微软雅黑"/>
              </w:rPr>
              <w:t>额定电压(kV)</w:t>
            </w:r>
          </w:p>
        </w:tc>
        <w:tc>
          <w:tcPr>
            <w:tcW w:w="6449" w:type="dxa"/>
          </w:tcPr>
          <w:p w14:paraId="425BCFE2">
            <w:pPr>
              <w:spacing w:line="400" w:lineRule="exact"/>
              <w:ind w:left="2" w:leftChars="1" w:right="13" w:rightChars="6" w:firstLine="411" w:firstLineChars="196"/>
              <w:jc w:val="left"/>
              <w:rPr>
                <w:rFonts w:ascii="微软雅黑" w:hAnsi="微软雅黑" w:eastAsia="微软雅黑"/>
              </w:rPr>
            </w:pPr>
            <w:r>
              <w:rPr>
                <w:rFonts w:hint="eastAsia" w:ascii="微软雅黑" w:hAnsi="微软雅黑" w:eastAsia="微软雅黑"/>
              </w:rPr>
              <w:t>12KV</w:t>
            </w:r>
          </w:p>
        </w:tc>
      </w:tr>
      <w:tr w14:paraId="2847C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3298" w:type="dxa"/>
          </w:tcPr>
          <w:p w14:paraId="0CFA1B28">
            <w:pPr>
              <w:spacing w:line="400" w:lineRule="exact"/>
              <w:ind w:left="2" w:leftChars="1" w:right="13" w:rightChars="6" w:firstLine="411" w:firstLineChars="196"/>
              <w:jc w:val="left"/>
              <w:rPr>
                <w:rFonts w:ascii="微软雅黑" w:hAnsi="微软雅黑" w:eastAsia="微软雅黑"/>
              </w:rPr>
            </w:pPr>
            <w:r>
              <w:rPr>
                <w:rFonts w:hint="eastAsia" w:ascii="微软雅黑" w:hAnsi="微软雅黑" w:eastAsia="微软雅黑"/>
              </w:rPr>
              <w:t>1分钟工频耐压(kV)</w:t>
            </w:r>
          </w:p>
        </w:tc>
        <w:tc>
          <w:tcPr>
            <w:tcW w:w="6449" w:type="dxa"/>
          </w:tcPr>
          <w:p w14:paraId="6F493A6F">
            <w:pPr>
              <w:spacing w:line="400" w:lineRule="exact"/>
              <w:ind w:left="2" w:leftChars="1" w:right="13" w:rightChars="6" w:firstLine="411" w:firstLineChars="196"/>
              <w:jc w:val="left"/>
              <w:rPr>
                <w:rFonts w:ascii="微软雅黑" w:hAnsi="微软雅黑" w:eastAsia="微软雅黑"/>
              </w:rPr>
            </w:pPr>
            <w:r>
              <w:rPr>
                <w:rFonts w:hint="eastAsia" w:ascii="微软雅黑" w:hAnsi="微软雅黑" w:eastAsia="微软雅黑"/>
              </w:rPr>
              <w:t>42KV</w:t>
            </w:r>
          </w:p>
        </w:tc>
      </w:tr>
      <w:tr w14:paraId="46BED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3298" w:type="dxa"/>
          </w:tcPr>
          <w:p w14:paraId="2F9B1F9B">
            <w:pPr>
              <w:spacing w:line="400" w:lineRule="exact"/>
              <w:ind w:left="2" w:leftChars="1" w:right="13" w:rightChars="6" w:firstLine="411" w:firstLineChars="196"/>
              <w:jc w:val="left"/>
              <w:rPr>
                <w:rFonts w:ascii="微软雅黑" w:hAnsi="微软雅黑" w:eastAsia="微软雅黑"/>
              </w:rPr>
            </w:pPr>
            <w:r>
              <w:rPr>
                <w:rFonts w:hint="eastAsia" w:ascii="微软雅黑" w:hAnsi="微软雅黑" w:eastAsia="微软雅黑"/>
              </w:rPr>
              <w:t>雷电冲击耐压(kV)</w:t>
            </w:r>
          </w:p>
        </w:tc>
        <w:tc>
          <w:tcPr>
            <w:tcW w:w="6449" w:type="dxa"/>
          </w:tcPr>
          <w:p w14:paraId="487C8875">
            <w:pPr>
              <w:spacing w:line="400" w:lineRule="exact"/>
              <w:ind w:left="2" w:leftChars="1" w:right="13" w:rightChars="6" w:firstLine="411" w:firstLineChars="196"/>
              <w:jc w:val="left"/>
              <w:rPr>
                <w:rFonts w:ascii="微软雅黑" w:hAnsi="微软雅黑" w:eastAsia="微软雅黑"/>
              </w:rPr>
            </w:pPr>
            <w:r>
              <w:rPr>
                <w:rFonts w:hint="eastAsia" w:ascii="微软雅黑" w:hAnsi="微软雅黑" w:eastAsia="微软雅黑"/>
              </w:rPr>
              <w:t>75KV</w:t>
            </w:r>
          </w:p>
        </w:tc>
      </w:tr>
      <w:tr w14:paraId="0673C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3298" w:type="dxa"/>
          </w:tcPr>
          <w:p w14:paraId="1D97477D">
            <w:pPr>
              <w:spacing w:line="400" w:lineRule="exact"/>
              <w:ind w:left="2" w:leftChars="1" w:right="13" w:rightChars="6" w:firstLine="411" w:firstLineChars="196"/>
              <w:jc w:val="left"/>
              <w:rPr>
                <w:rFonts w:ascii="微软雅黑" w:hAnsi="微软雅黑" w:eastAsia="微软雅黑"/>
              </w:rPr>
            </w:pPr>
            <w:r>
              <w:rPr>
                <w:rFonts w:hint="eastAsia" w:ascii="微软雅黑" w:hAnsi="微软雅黑" w:eastAsia="微软雅黑"/>
              </w:rPr>
              <w:t>外型尺寸</w:t>
            </w:r>
            <w:r>
              <w:rPr>
                <w:rFonts w:ascii="微软雅黑" w:hAnsi="微软雅黑" w:eastAsia="微软雅黑"/>
              </w:rPr>
              <w:t>(mm)</w:t>
            </w:r>
          </w:p>
        </w:tc>
        <w:tc>
          <w:tcPr>
            <w:tcW w:w="6449" w:type="dxa"/>
          </w:tcPr>
          <w:p w14:paraId="447EA95E">
            <w:pPr>
              <w:spacing w:line="400" w:lineRule="exact"/>
              <w:ind w:left="2" w:leftChars="1" w:right="13" w:rightChars="6" w:firstLine="411" w:firstLineChars="196"/>
              <w:jc w:val="left"/>
              <w:rPr>
                <w:rFonts w:ascii="微软雅黑" w:hAnsi="微软雅黑" w:eastAsia="微软雅黑"/>
              </w:rPr>
            </w:pPr>
            <w:r>
              <w:rPr>
                <w:rFonts w:hint="eastAsia" w:ascii="微软雅黑" w:hAnsi="微软雅黑" w:eastAsia="微软雅黑"/>
              </w:rPr>
              <w:t>8</w:t>
            </w:r>
            <w:r>
              <w:rPr>
                <w:rFonts w:ascii="微软雅黑" w:hAnsi="微软雅黑" w:eastAsia="微软雅黑"/>
              </w:rPr>
              <w:t>00x</w:t>
            </w:r>
            <w:r>
              <w:rPr>
                <w:rFonts w:hint="eastAsia" w:ascii="微软雅黑" w:hAnsi="微软雅黑" w:eastAsia="微软雅黑"/>
                <w:lang w:val="en-US" w:eastAsia="zh-CN"/>
              </w:rPr>
              <w:t>2365</w:t>
            </w:r>
            <w:r>
              <w:rPr>
                <w:rFonts w:ascii="微软雅黑" w:hAnsi="微软雅黑" w:eastAsia="微软雅黑"/>
              </w:rPr>
              <w:t>x</w:t>
            </w:r>
            <w:r>
              <w:rPr>
                <w:rFonts w:hint="eastAsia" w:ascii="微软雅黑" w:hAnsi="微软雅黑" w:eastAsia="微软雅黑"/>
                <w:lang w:val="en-US" w:eastAsia="zh-CN"/>
              </w:rPr>
              <w:t>1500</w:t>
            </w:r>
            <w:r>
              <w:rPr>
                <w:rFonts w:hint="eastAsia" w:ascii="微软雅黑" w:hAnsi="微软雅黑" w:eastAsia="微软雅黑"/>
              </w:rPr>
              <w:t>；</w:t>
            </w:r>
          </w:p>
        </w:tc>
      </w:tr>
      <w:tr w14:paraId="3A5A7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298" w:type="dxa"/>
          </w:tcPr>
          <w:p w14:paraId="720017AD">
            <w:pPr>
              <w:spacing w:line="400" w:lineRule="exact"/>
              <w:ind w:left="2" w:leftChars="1" w:right="13" w:rightChars="6" w:firstLine="411" w:firstLineChars="196"/>
              <w:jc w:val="left"/>
              <w:rPr>
                <w:rFonts w:ascii="微软雅黑" w:hAnsi="微软雅黑" w:eastAsia="微软雅黑"/>
              </w:rPr>
            </w:pPr>
            <w:r>
              <w:rPr>
                <w:rFonts w:hint="eastAsia" w:ascii="微软雅黑" w:hAnsi="微软雅黑" w:eastAsia="微软雅黑"/>
              </w:rPr>
              <w:t>主母线规格</w:t>
            </w:r>
          </w:p>
        </w:tc>
        <w:tc>
          <w:tcPr>
            <w:tcW w:w="6449" w:type="dxa"/>
          </w:tcPr>
          <w:p w14:paraId="7A53B596">
            <w:pPr>
              <w:spacing w:line="400" w:lineRule="exact"/>
              <w:ind w:left="2" w:leftChars="1" w:right="13" w:rightChars="6" w:firstLine="411" w:firstLineChars="196"/>
              <w:jc w:val="left"/>
              <w:rPr>
                <w:rFonts w:ascii="微软雅黑" w:hAnsi="微软雅黑" w:eastAsia="微软雅黑"/>
              </w:rPr>
            </w:pPr>
            <w:r>
              <w:rPr>
                <w:rFonts w:hint="eastAsia" w:ascii="微软雅黑" w:hAnsi="微软雅黑" w:eastAsia="微软雅黑"/>
              </w:rPr>
              <w:t>12</w:t>
            </w:r>
            <w:r>
              <w:rPr>
                <w:rFonts w:ascii="微软雅黑" w:hAnsi="微软雅黑" w:eastAsia="微软雅黑"/>
              </w:rPr>
              <w:t>0</w:t>
            </w:r>
            <w:r>
              <w:rPr>
                <w:rFonts w:hint="eastAsia" w:ascii="微软雅黑" w:hAnsi="微软雅黑" w:eastAsia="微软雅黑"/>
              </w:rPr>
              <w:t>x10</w:t>
            </w:r>
            <w:r>
              <w:rPr>
                <w:rFonts w:ascii="微软雅黑" w:hAnsi="微软雅黑" w:eastAsia="微软雅黑"/>
              </w:rPr>
              <w:t xml:space="preserve">  </w:t>
            </w:r>
          </w:p>
        </w:tc>
      </w:tr>
      <w:tr w14:paraId="16A5B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3298" w:type="dxa"/>
          </w:tcPr>
          <w:p w14:paraId="2CF166FD">
            <w:pPr>
              <w:spacing w:line="400" w:lineRule="exact"/>
              <w:ind w:left="2" w:leftChars="1" w:right="13" w:rightChars="6" w:firstLine="411" w:firstLineChars="196"/>
              <w:jc w:val="left"/>
              <w:rPr>
                <w:rFonts w:ascii="微软雅黑" w:hAnsi="微软雅黑" w:eastAsia="微软雅黑"/>
              </w:rPr>
            </w:pPr>
            <w:r>
              <w:rPr>
                <w:rFonts w:hint="eastAsia" w:ascii="微软雅黑" w:hAnsi="微软雅黑" w:eastAsia="微软雅黑"/>
              </w:rPr>
              <w:t>额定电流（A）</w:t>
            </w:r>
          </w:p>
        </w:tc>
        <w:tc>
          <w:tcPr>
            <w:tcW w:w="6449" w:type="dxa"/>
          </w:tcPr>
          <w:p w14:paraId="149C6916">
            <w:pPr>
              <w:spacing w:line="400" w:lineRule="exact"/>
              <w:ind w:left="2" w:leftChars="1" w:right="13" w:rightChars="6" w:firstLine="411" w:firstLineChars="196"/>
              <w:jc w:val="left"/>
              <w:rPr>
                <w:rFonts w:ascii="微软雅黑" w:hAnsi="微软雅黑" w:eastAsia="微软雅黑"/>
              </w:rPr>
            </w:pPr>
            <w:r>
              <w:rPr>
                <w:rFonts w:hint="eastAsia" w:ascii="微软雅黑" w:hAnsi="微软雅黑" w:eastAsia="微软雅黑"/>
                <w:lang w:val="en-US" w:eastAsia="zh-CN"/>
              </w:rPr>
              <w:t>1250</w:t>
            </w:r>
            <w:r>
              <w:rPr>
                <w:rFonts w:hint="eastAsia" w:ascii="微软雅黑" w:hAnsi="微软雅黑" w:eastAsia="微软雅黑"/>
              </w:rPr>
              <w:t>A</w:t>
            </w:r>
          </w:p>
        </w:tc>
      </w:tr>
      <w:tr w14:paraId="66FC1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3298" w:type="dxa"/>
          </w:tcPr>
          <w:p w14:paraId="211CA152">
            <w:pPr>
              <w:spacing w:line="400" w:lineRule="exact"/>
              <w:ind w:left="2" w:leftChars="1" w:right="13" w:rightChars="6" w:firstLine="411" w:firstLineChars="196"/>
              <w:jc w:val="left"/>
              <w:rPr>
                <w:rFonts w:ascii="微软雅黑" w:hAnsi="微软雅黑" w:eastAsia="微软雅黑"/>
              </w:rPr>
            </w:pPr>
            <w:r>
              <w:rPr>
                <w:rFonts w:hint="eastAsia" w:ascii="微软雅黑" w:hAnsi="微软雅黑" w:eastAsia="微软雅黑"/>
              </w:rPr>
              <w:t>热稳定电流</w:t>
            </w:r>
            <w:r>
              <w:rPr>
                <w:rFonts w:ascii="微软雅黑" w:hAnsi="微软雅黑" w:eastAsia="微软雅黑"/>
              </w:rPr>
              <w:t>/</w:t>
            </w:r>
            <w:r>
              <w:rPr>
                <w:rFonts w:hint="eastAsia" w:ascii="微软雅黑" w:hAnsi="微软雅黑" w:eastAsia="微软雅黑"/>
              </w:rPr>
              <w:t>持续时间（有效值）</w:t>
            </w:r>
            <w:r>
              <w:rPr>
                <w:rFonts w:ascii="微软雅黑" w:hAnsi="微软雅黑" w:eastAsia="微软雅黑"/>
              </w:rPr>
              <w:t xml:space="preserve"> </w:t>
            </w:r>
          </w:p>
        </w:tc>
        <w:tc>
          <w:tcPr>
            <w:tcW w:w="6449" w:type="dxa"/>
          </w:tcPr>
          <w:p w14:paraId="7CA24ED6">
            <w:pPr>
              <w:spacing w:line="400" w:lineRule="exact"/>
              <w:ind w:left="2" w:leftChars="1" w:right="13" w:rightChars="6" w:firstLine="411" w:firstLineChars="196"/>
              <w:jc w:val="left"/>
              <w:rPr>
                <w:rFonts w:ascii="微软雅黑" w:hAnsi="微软雅黑" w:eastAsia="微软雅黑"/>
              </w:rPr>
            </w:pPr>
            <w:r>
              <w:rPr>
                <w:rFonts w:hint="eastAsia" w:ascii="微软雅黑" w:hAnsi="微软雅黑" w:eastAsia="微软雅黑"/>
              </w:rPr>
              <w:t>31.5KA</w:t>
            </w:r>
          </w:p>
        </w:tc>
      </w:tr>
      <w:tr w14:paraId="48408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3298" w:type="dxa"/>
          </w:tcPr>
          <w:p w14:paraId="60A0B4B8">
            <w:pPr>
              <w:spacing w:line="400" w:lineRule="exact"/>
              <w:ind w:left="2" w:leftChars="1" w:right="13" w:rightChars="6" w:firstLine="411" w:firstLineChars="196"/>
              <w:jc w:val="left"/>
              <w:rPr>
                <w:rFonts w:ascii="微软雅黑" w:hAnsi="微软雅黑" w:eastAsia="微软雅黑"/>
              </w:rPr>
            </w:pPr>
            <w:r>
              <w:rPr>
                <w:rFonts w:hint="eastAsia" w:ascii="微软雅黑" w:hAnsi="微软雅黑" w:eastAsia="微软雅黑"/>
              </w:rPr>
              <w:t>动稳定电流(峰值kA)</w:t>
            </w:r>
          </w:p>
        </w:tc>
        <w:tc>
          <w:tcPr>
            <w:tcW w:w="6449" w:type="dxa"/>
          </w:tcPr>
          <w:p w14:paraId="036FD96A">
            <w:pPr>
              <w:spacing w:line="400" w:lineRule="exact"/>
              <w:ind w:left="2" w:leftChars="1" w:right="13" w:rightChars="6" w:firstLine="411" w:firstLineChars="196"/>
              <w:jc w:val="left"/>
              <w:rPr>
                <w:rFonts w:ascii="微软雅黑" w:hAnsi="微软雅黑" w:eastAsia="微软雅黑"/>
              </w:rPr>
            </w:pPr>
            <w:r>
              <w:rPr>
                <w:rFonts w:hint="eastAsia" w:ascii="微软雅黑" w:hAnsi="微软雅黑" w:eastAsia="微软雅黑"/>
              </w:rPr>
              <w:t>80KA</w:t>
            </w:r>
          </w:p>
        </w:tc>
      </w:tr>
      <w:tr w14:paraId="642A4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298" w:type="dxa"/>
          </w:tcPr>
          <w:p w14:paraId="2BE7800C">
            <w:pPr>
              <w:spacing w:line="400" w:lineRule="exact"/>
              <w:ind w:left="2" w:leftChars="1" w:right="13" w:rightChars="6" w:firstLine="411" w:firstLineChars="196"/>
              <w:jc w:val="left"/>
              <w:rPr>
                <w:rFonts w:ascii="微软雅黑" w:hAnsi="微软雅黑" w:eastAsia="微软雅黑"/>
              </w:rPr>
            </w:pPr>
            <w:r>
              <w:rPr>
                <w:rFonts w:hint="eastAsia" w:ascii="微软雅黑" w:hAnsi="微软雅黑" w:eastAsia="微软雅黑"/>
              </w:rPr>
              <w:t>防护等级</w:t>
            </w:r>
            <w:r>
              <w:rPr>
                <w:rFonts w:ascii="微软雅黑" w:hAnsi="微软雅黑" w:eastAsia="微软雅黑"/>
              </w:rPr>
              <w:t xml:space="preserve"> </w:t>
            </w:r>
          </w:p>
        </w:tc>
        <w:tc>
          <w:tcPr>
            <w:tcW w:w="6449" w:type="dxa"/>
          </w:tcPr>
          <w:p w14:paraId="5B8FD12C">
            <w:pPr>
              <w:spacing w:line="400" w:lineRule="exact"/>
              <w:ind w:left="2" w:leftChars="1" w:right="13" w:rightChars="6" w:firstLine="210" w:firstLineChars="100"/>
              <w:jc w:val="left"/>
              <w:rPr>
                <w:rFonts w:ascii="微软雅黑" w:hAnsi="微软雅黑" w:eastAsia="微软雅黑"/>
              </w:rPr>
            </w:pPr>
            <w:r>
              <w:rPr>
                <w:rFonts w:hint="eastAsia" w:ascii="微软雅黑" w:hAnsi="微软雅黑" w:eastAsia="微软雅黑"/>
              </w:rPr>
              <w:t>外壳为</w:t>
            </w:r>
            <w:r>
              <w:rPr>
                <w:rFonts w:ascii="微软雅黑" w:hAnsi="微软雅黑" w:eastAsia="微软雅黑"/>
              </w:rPr>
              <w:t>IP4X</w:t>
            </w:r>
            <w:r>
              <w:rPr>
                <w:rFonts w:hint="eastAsia" w:ascii="微软雅黑" w:hAnsi="微软雅黑" w:eastAsia="微软雅黑"/>
              </w:rPr>
              <w:t>，隔室间、断路器门打开时</w:t>
            </w:r>
            <w:r>
              <w:rPr>
                <w:rFonts w:ascii="微软雅黑" w:hAnsi="微软雅黑" w:eastAsia="微软雅黑"/>
              </w:rPr>
              <w:t>IP2X</w:t>
            </w:r>
          </w:p>
        </w:tc>
      </w:tr>
      <w:tr w14:paraId="18F25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298" w:type="dxa"/>
          </w:tcPr>
          <w:p w14:paraId="3A03D667">
            <w:pPr>
              <w:spacing w:line="240" w:lineRule="atLeast"/>
              <w:ind w:firstLine="420" w:firstLineChars="200"/>
              <w:rPr>
                <w:rFonts w:ascii="微软雅黑" w:hAnsi="微软雅黑" w:eastAsia="微软雅黑" w:cs="宋体"/>
                <w:szCs w:val="21"/>
              </w:rPr>
            </w:pPr>
            <w:r>
              <w:rPr>
                <w:rFonts w:hint="eastAsia" w:ascii="微软雅黑" w:hAnsi="微软雅黑" w:eastAsia="微软雅黑" w:cs="宋体"/>
                <w:szCs w:val="21"/>
              </w:rPr>
              <w:t>静电喷塑色号</w:t>
            </w:r>
          </w:p>
        </w:tc>
        <w:tc>
          <w:tcPr>
            <w:tcW w:w="6449" w:type="dxa"/>
          </w:tcPr>
          <w:p w14:paraId="1C889164">
            <w:pPr>
              <w:spacing w:line="240" w:lineRule="atLeast"/>
              <w:ind w:firstLine="420" w:firstLineChars="200"/>
              <w:rPr>
                <w:rFonts w:ascii="微软雅黑" w:hAnsi="微软雅黑" w:eastAsia="微软雅黑" w:cs="宋体"/>
                <w:szCs w:val="21"/>
              </w:rPr>
            </w:pPr>
            <w:r>
              <w:rPr>
                <w:rFonts w:ascii="微软雅黑" w:hAnsi="微软雅黑" w:eastAsia="微软雅黑" w:cs="宋体"/>
                <w:szCs w:val="21"/>
              </w:rPr>
              <w:t>RAL703</w:t>
            </w:r>
            <w:r>
              <w:rPr>
                <w:rFonts w:hint="eastAsia" w:ascii="微软雅黑" w:hAnsi="微软雅黑" w:eastAsia="微软雅黑" w:cs="宋体"/>
                <w:szCs w:val="21"/>
              </w:rPr>
              <w:t>5 桔纹</w:t>
            </w:r>
          </w:p>
        </w:tc>
      </w:tr>
    </w:tbl>
    <w:p w14:paraId="7CAB3AFC">
      <w:pPr>
        <w:spacing w:line="400" w:lineRule="exact"/>
        <w:jc w:val="left"/>
        <w:rPr>
          <w:rFonts w:ascii="微软雅黑" w:hAnsi="微软雅黑" w:eastAsia="微软雅黑" w:cs="宋体"/>
          <w:szCs w:val="21"/>
        </w:rPr>
      </w:pPr>
      <w:r>
        <w:rPr>
          <w:rFonts w:ascii="微软雅黑" w:hAnsi="微软雅黑" w:eastAsia="微软雅黑" w:cs="宋体"/>
          <w:szCs w:val="21"/>
        </w:rPr>
        <w:t xml:space="preserve">1.4 </w:t>
      </w:r>
      <w:r>
        <w:rPr>
          <w:rFonts w:hint="eastAsia" w:ascii="微软雅黑" w:hAnsi="微软雅黑" w:eastAsia="微软雅黑" w:cs="宋体"/>
          <w:szCs w:val="21"/>
        </w:rPr>
        <w:t>装置技术规格及要求：</w:t>
      </w:r>
    </w:p>
    <w:p w14:paraId="1496394E">
      <w:pPr>
        <w:spacing w:line="400" w:lineRule="exact"/>
        <w:jc w:val="left"/>
        <w:rPr>
          <w:rFonts w:ascii="微软雅黑" w:hAnsi="微软雅黑" w:eastAsia="微软雅黑" w:cs="宋体"/>
          <w:szCs w:val="21"/>
        </w:rPr>
      </w:pPr>
      <w:r>
        <w:rPr>
          <w:rFonts w:ascii="微软雅黑" w:hAnsi="微软雅黑" w:eastAsia="微软雅黑" w:cs="宋体"/>
          <w:szCs w:val="21"/>
        </w:rPr>
        <w:t>1.4.1</w:t>
      </w:r>
      <w:r>
        <w:rPr>
          <w:rFonts w:hint="eastAsia" w:ascii="微软雅黑" w:hAnsi="微软雅黑" w:eastAsia="微软雅黑" w:cs="宋体"/>
          <w:szCs w:val="21"/>
        </w:rPr>
        <w:t>高压开关柜：</w:t>
      </w:r>
      <w:r>
        <w:rPr>
          <w:rFonts w:ascii="微软雅黑" w:hAnsi="微软雅黑" w:eastAsia="微软雅黑" w:cs="宋体"/>
          <w:szCs w:val="21"/>
        </w:rPr>
        <w:t xml:space="preserve">10KV </w:t>
      </w:r>
      <w:r>
        <w:rPr>
          <w:rFonts w:hint="eastAsia" w:ascii="微软雅黑" w:hAnsi="微软雅黑" w:eastAsia="微软雅黑" w:cs="宋体"/>
          <w:szCs w:val="21"/>
        </w:rPr>
        <w:t>开关柜选用中置式结构，平顶柜；型号：KYN28-12 铠装移开式交流金属封闭开关设备，要求为二代柜，凹凸门；</w:t>
      </w:r>
      <w:r>
        <w:rPr>
          <w:rFonts w:hint="eastAsia" w:ascii="微软雅黑" w:hAnsi="微软雅黑" w:eastAsia="微软雅黑"/>
          <w:bCs/>
        </w:rPr>
        <w:t>柜体的外壳、各功能小室的隔板、安装梁、安装板</w:t>
      </w:r>
      <w:r>
        <w:rPr>
          <w:rFonts w:hint="eastAsia" w:ascii="微软雅黑" w:hAnsi="微软雅黑" w:eastAsia="微软雅黑"/>
        </w:rPr>
        <w:t>等材料采用不低于2.0</w:t>
      </w:r>
      <w:r>
        <w:rPr>
          <w:rFonts w:ascii="微软雅黑" w:hAnsi="微软雅黑" w:eastAsia="微软雅黑"/>
        </w:rPr>
        <w:t>mm</w:t>
      </w:r>
      <w:r>
        <w:rPr>
          <w:rFonts w:hint="eastAsia" w:ascii="微软雅黑" w:hAnsi="微软雅黑" w:eastAsia="微软雅黑"/>
        </w:rPr>
        <w:t>厚度的优质敷铝锌钢板，经数控机床加工和弯折之后栓接而成，壳体材料具有很强的抗腐蚀和抗氧化的</w:t>
      </w:r>
      <w:r>
        <w:rPr>
          <w:rFonts w:hint="eastAsia" w:ascii="微软雅黑" w:hAnsi="微软雅黑" w:eastAsia="微软雅黑"/>
          <w:bCs/>
        </w:rPr>
        <w:t>能力。门板采用</w:t>
      </w:r>
      <w:r>
        <w:rPr>
          <w:rFonts w:hint="eastAsia" w:ascii="微软雅黑" w:hAnsi="微软雅黑" w:eastAsia="微软雅黑"/>
        </w:rPr>
        <w:t>不低于2.0</w:t>
      </w:r>
      <w:r>
        <w:rPr>
          <w:rFonts w:ascii="微软雅黑" w:hAnsi="微软雅黑" w:eastAsia="微软雅黑"/>
        </w:rPr>
        <w:t>mm</w:t>
      </w:r>
      <w:r>
        <w:rPr>
          <w:rFonts w:hint="eastAsia" w:ascii="微软雅黑" w:hAnsi="微软雅黑" w:eastAsia="微软雅黑"/>
        </w:rPr>
        <w:t>厚度的</w:t>
      </w:r>
      <w:r>
        <w:rPr>
          <w:rFonts w:hint="eastAsia" w:ascii="微软雅黑" w:hAnsi="微软雅黑" w:eastAsia="微软雅黑"/>
          <w:bCs/>
        </w:rPr>
        <w:t>冷轧钢板，表面</w:t>
      </w:r>
      <w:r>
        <w:rPr>
          <w:rFonts w:hint="eastAsia" w:ascii="微软雅黑" w:hAnsi="微软雅黑" w:eastAsia="微软雅黑"/>
          <w:kern w:val="18"/>
          <w:szCs w:val="24"/>
        </w:rPr>
        <w:t>进行酸洗磷化处理后做</w:t>
      </w:r>
      <w:r>
        <w:rPr>
          <w:rFonts w:hint="eastAsia" w:ascii="微软雅黑" w:hAnsi="微软雅黑" w:eastAsia="微软雅黑"/>
        </w:rPr>
        <w:t>聚脂环氧树脂热固塑料粉末</w:t>
      </w:r>
      <w:r>
        <w:rPr>
          <w:rFonts w:hint="eastAsia" w:ascii="微软雅黑" w:hAnsi="微软雅黑" w:eastAsia="微软雅黑"/>
          <w:kern w:val="18"/>
          <w:szCs w:val="24"/>
        </w:rPr>
        <w:t>静电喷涂</w:t>
      </w:r>
      <w:r>
        <w:rPr>
          <w:rFonts w:hint="eastAsia" w:ascii="微软雅黑" w:hAnsi="微软雅黑" w:eastAsia="微软雅黑"/>
        </w:rPr>
        <w:t>，颜色RAL7035，桔纹，涂</w:t>
      </w:r>
      <w:r>
        <w:rPr>
          <w:rFonts w:hint="eastAsia" w:ascii="微软雅黑" w:hAnsi="微软雅黑" w:eastAsia="微软雅黑"/>
          <w:kern w:val="18"/>
          <w:szCs w:val="24"/>
        </w:rPr>
        <w:t>层厚度不小于80微米，要求附着力强，质感好，整柜呈亚光色调，避免了眩目效应；</w:t>
      </w:r>
    </w:p>
    <w:p w14:paraId="4E59E973">
      <w:pPr>
        <w:spacing w:line="400" w:lineRule="exact"/>
        <w:jc w:val="left"/>
        <w:rPr>
          <w:rFonts w:ascii="微软雅黑" w:hAnsi="微软雅黑" w:eastAsia="微软雅黑" w:cs="宋体"/>
          <w:szCs w:val="21"/>
        </w:rPr>
      </w:pPr>
      <w:r>
        <w:rPr>
          <w:rFonts w:hint="eastAsia" w:ascii="微软雅黑" w:hAnsi="微软雅黑" w:eastAsia="微软雅黑" w:cs="宋体"/>
          <w:szCs w:val="21"/>
        </w:rPr>
        <w:t>1.4.2开关柜外壳防护等级可达</w:t>
      </w:r>
      <w:r>
        <w:rPr>
          <w:rFonts w:ascii="微软雅黑" w:hAnsi="微软雅黑" w:eastAsia="微软雅黑" w:cs="宋体"/>
          <w:szCs w:val="21"/>
        </w:rPr>
        <w:t>IP4X</w:t>
      </w:r>
      <w:r>
        <w:rPr>
          <w:rFonts w:hint="eastAsia" w:ascii="微软雅黑" w:hAnsi="微软雅黑" w:eastAsia="微软雅黑" w:cs="宋体"/>
          <w:szCs w:val="21"/>
        </w:rPr>
        <w:t>，当手车室门打开时，其防护等级为</w:t>
      </w:r>
      <w:r>
        <w:rPr>
          <w:rFonts w:ascii="微软雅黑" w:hAnsi="微软雅黑" w:eastAsia="微软雅黑" w:cs="宋体"/>
          <w:szCs w:val="21"/>
        </w:rPr>
        <w:t>IP2X</w:t>
      </w:r>
      <w:r>
        <w:rPr>
          <w:rFonts w:hint="eastAsia" w:ascii="微软雅黑" w:hAnsi="微软雅黑" w:eastAsia="微软雅黑" w:cs="宋体"/>
          <w:szCs w:val="21"/>
        </w:rPr>
        <w:t>。</w:t>
      </w:r>
    </w:p>
    <w:p w14:paraId="43573230">
      <w:pPr>
        <w:spacing w:line="400" w:lineRule="exact"/>
        <w:jc w:val="left"/>
        <w:rPr>
          <w:rFonts w:ascii="微软雅黑" w:hAnsi="微软雅黑" w:eastAsia="微软雅黑" w:cs="宋体"/>
          <w:szCs w:val="21"/>
        </w:rPr>
      </w:pPr>
      <w:r>
        <w:rPr>
          <w:rFonts w:hint="eastAsia" w:ascii="微软雅黑" w:hAnsi="微软雅黑" w:eastAsia="微软雅黑" w:cs="宋体"/>
          <w:szCs w:val="21"/>
        </w:rPr>
        <w:t>1.4.3开关柜在机械、电气两方面均具有“五防功能”（即具有防止误分误合断路器、防止带负荷分合隔离开关</w:t>
      </w:r>
      <w:r>
        <w:rPr>
          <w:rFonts w:ascii="微软雅黑" w:hAnsi="微软雅黑" w:eastAsia="微软雅黑" w:cs="宋体"/>
          <w:szCs w:val="21"/>
        </w:rPr>
        <w:t>(</w:t>
      </w:r>
      <w:r>
        <w:rPr>
          <w:rFonts w:hint="eastAsia" w:ascii="微软雅黑" w:hAnsi="微软雅黑" w:eastAsia="微软雅黑" w:cs="宋体"/>
          <w:szCs w:val="21"/>
        </w:rPr>
        <w:t>或隔离插头</w:t>
      </w:r>
      <w:r>
        <w:rPr>
          <w:rFonts w:ascii="微软雅黑" w:hAnsi="微软雅黑" w:eastAsia="微软雅黑" w:cs="宋体"/>
          <w:szCs w:val="21"/>
        </w:rPr>
        <w:t>)</w:t>
      </w:r>
      <w:r>
        <w:rPr>
          <w:rFonts w:hint="eastAsia" w:ascii="微软雅黑" w:hAnsi="微软雅黑" w:eastAsia="微软雅黑" w:cs="宋体"/>
          <w:szCs w:val="21"/>
        </w:rPr>
        <w:t>、防止带接地刀</w:t>
      </w:r>
      <w:r>
        <w:rPr>
          <w:rFonts w:ascii="微软雅黑" w:hAnsi="微软雅黑" w:eastAsia="微软雅黑" w:cs="宋体"/>
          <w:szCs w:val="21"/>
        </w:rPr>
        <w:t>(</w:t>
      </w:r>
      <w:r>
        <w:rPr>
          <w:rFonts w:hint="eastAsia" w:ascii="微软雅黑" w:hAnsi="微软雅黑" w:eastAsia="微软雅黑" w:cs="宋体"/>
          <w:szCs w:val="21"/>
        </w:rPr>
        <w:t>或接地线</w:t>
      </w:r>
      <w:r>
        <w:rPr>
          <w:rFonts w:ascii="微软雅黑" w:hAnsi="微软雅黑" w:eastAsia="微软雅黑" w:cs="宋体"/>
          <w:szCs w:val="21"/>
        </w:rPr>
        <w:t>)</w:t>
      </w:r>
      <w:r>
        <w:rPr>
          <w:rFonts w:hint="eastAsia" w:ascii="微软雅黑" w:hAnsi="微软雅黑" w:eastAsia="微软雅黑" w:cs="宋体"/>
          <w:szCs w:val="21"/>
        </w:rPr>
        <w:t>送电、防止带电合接地刀</w:t>
      </w:r>
      <w:r>
        <w:rPr>
          <w:rFonts w:ascii="微软雅黑" w:hAnsi="微软雅黑" w:eastAsia="微软雅黑" w:cs="宋体"/>
          <w:szCs w:val="21"/>
        </w:rPr>
        <w:t>(</w:t>
      </w:r>
      <w:r>
        <w:rPr>
          <w:rFonts w:hint="eastAsia" w:ascii="微软雅黑" w:hAnsi="微软雅黑" w:eastAsia="微软雅黑" w:cs="宋体"/>
          <w:szCs w:val="21"/>
        </w:rPr>
        <w:t>或挂接地线</w:t>
      </w:r>
      <w:r>
        <w:rPr>
          <w:rFonts w:ascii="微软雅黑" w:hAnsi="微软雅黑" w:eastAsia="微软雅黑" w:cs="宋体"/>
          <w:szCs w:val="21"/>
        </w:rPr>
        <w:t>)</w:t>
      </w:r>
      <w:r>
        <w:rPr>
          <w:rFonts w:hint="eastAsia" w:ascii="微软雅黑" w:hAnsi="微软雅黑" w:eastAsia="微软雅黑" w:cs="宋体"/>
          <w:szCs w:val="21"/>
        </w:rPr>
        <w:t>、防止误入带电间隔）能有效地防止电气误操作事故的发生。柜体具有可靠的机械闭锁装置，以确保操作人员的安全；只有当手车在试验或工作位置时，断路器才能被操作；只有当断路器分闸后，手车才能移动；只有当接地开关分闸后，手车才能被插入到工作位置；只有当手车在试验位置或手车抽出后，接地开关才能合闸；手车在工作位置时，二次插件被锁定不能拨除；只有接地开关合闸后，电缆终端室门才能被打开进行设备维护。开关柜另外设有标准的电气联锁。</w:t>
      </w:r>
      <w:r>
        <w:rPr>
          <w:rFonts w:hint="eastAsia" w:ascii="微软雅黑" w:hAnsi="微软雅黑" w:eastAsia="微软雅黑"/>
          <w:kern w:val="0"/>
          <w:szCs w:val="21"/>
        </w:rPr>
        <w:t>在设计时，应优先考虑机械联锁；</w:t>
      </w:r>
    </w:p>
    <w:p w14:paraId="056C843F">
      <w:pPr>
        <w:spacing w:line="400" w:lineRule="exact"/>
        <w:jc w:val="left"/>
        <w:rPr>
          <w:rFonts w:ascii="微软雅黑" w:hAnsi="微软雅黑" w:eastAsia="微软雅黑" w:cs="宋体"/>
          <w:szCs w:val="21"/>
        </w:rPr>
      </w:pPr>
      <w:r>
        <w:rPr>
          <w:rFonts w:hint="eastAsia" w:ascii="微软雅黑" w:hAnsi="微软雅黑" w:eastAsia="微软雅黑" w:cs="宋体"/>
          <w:szCs w:val="21"/>
        </w:rPr>
        <w:t>1.4.4开关柜进线回路为电缆下进线；出线方式采用电缆下出线。柜内电缆设安装支架便于电缆的固定，开关柜底部带密封板</w:t>
      </w:r>
      <w:r>
        <w:rPr>
          <w:rFonts w:ascii="微软雅黑" w:hAnsi="微软雅黑" w:eastAsia="微软雅黑" w:cs="宋体"/>
          <w:szCs w:val="21"/>
        </w:rPr>
        <w:t>,</w:t>
      </w:r>
      <w:r>
        <w:rPr>
          <w:rFonts w:hint="eastAsia" w:ascii="微软雅黑" w:hAnsi="微软雅黑" w:eastAsia="微软雅黑" w:cs="宋体"/>
          <w:szCs w:val="21"/>
        </w:rPr>
        <w:t>电缆进线孔有防火密封措施。开关柜外壳及其支架结构应牢固、不变形。</w:t>
      </w:r>
    </w:p>
    <w:p w14:paraId="4BC235A6">
      <w:pPr>
        <w:spacing w:line="400" w:lineRule="exact"/>
        <w:jc w:val="left"/>
        <w:rPr>
          <w:rFonts w:ascii="微软雅黑" w:hAnsi="微软雅黑" w:eastAsia="微软雅黑" w:cs="宋体"/>
          <w:szCs w:val="21"/>
        </w:rPr>
      </w:pPr>
      <w:r>
        <w:rPr>
          <w:rFonts w:hint="eastAsia" w:ascii="微软雅黑" w:hAnsi="微软雅黑" w:eastAsia="微软雅黑" w:cs="宋体"/>
          <w:szCs w:val="21"/>
        </w:rPr>
        <w:t>1.4.5 开关柜内的组装零部件应安全、可靠、灵活，机械强度及刚性应满足开关柜正常的联锁、互动的要求。柜顶的四角设置起吊装置，便于起吊和装运。</w:t>
      </w:r>
    </w:p>
    <w:p w14:paraId="40AD1126">
      <w:pPr>
        <w:spacing w:line="400" w:lineRule="exact"/>
        <w:jc w:val="left"/>
        <w:rPr>
          <w:rFonts w:ascii="微软雅黑" w:hAnsi="微软雅黑" w:eastAsia="微软雅黑" w:cs="宋体"/>
          <w:szCs w:val="21"/>
        </w:rPr>
      </w:pPr>
      <w:r>
        <w:rPr>
          <w:rFonts w:ascii="微软雅黑" w:hAnsi="微软雅黑" w:eastAsia="微软雅黑" w:cs="宋体"/>
          <w:szCs w:val="21"/>
        </w:rPr>
        <w:t>1.4.</w:t>
      </w:r>
      <w:r>
        <w:rPr>
          <w:rFonts w:hint="eastAsia" w:ascii="微软雅黑" w:hAnsi="微软雅黑" w:eastAsia="微软雅黑" w:cs="宋体"/>
          <w:szCs w:val="21"/>
        </w:rPr>
        <w:t>6断路器室、母线室及电缆终端室应设有独立的泄压通道</w:t>
      </w:r>
      <w:r>
        <w:rPr>
          <w:rFonts w:ascii="微软雅黑" w:hAnsi="微软雅黑" w:eastAsia="微软雅黑" w:cs="宋体"/>
          <w:szCs w:val="21"/>
        </w:rPr>
        <w:t xml:space="preserve">, </w:t>
      </w:r>
      <w:r>
        <w:rPr>
          <w:rFonts w:hint="eastAsia" w:ascii="微软雅黑" w:hAnsi="微软雅黑" w:eastAsia="微软雅黑" w:cs="宋体"/>
          <w:szCs w:val="21"/>
        </w:rPr>
        <w:t>并有隔离措施。若隔室内发生短路故障而燃弧时</w:t>
      </w:r>
      <w:r>
        <w:rPr>
          <w:rFonts w:ascii="微软雅黑" w:hAnsi="微软雅黑" w:eastAsia="微软雅黑" w:cs="宋体"/>
          <w:szCs w:val="21"/>
        </w:rPr>
        <w:t xml:space="preserve">, </w:t>
      </w:r>
      <w:r>
        <w:rPr>
          <w:rFonts w:hint="eastAsia" w:ascii="微软雅黑" w:hAnsi="微软雅黑" w:eastAsia="微软雅黑" w:cs="宋体"/>
          <w:szCs w:val="21"/>
        </w:rPr>
        <w:t>气体可通过泄压通道迅速释放</w:t>
      </w:r>
      <w:r>
        <w:rPr>
          <w:rFonts w:ascii="微软雅黑" w:hAnsi="微软雅黑" w:eastAsia="微软雅黑" w:cs="宋体"/>
          <w:szCs w:val="21"/>
        </w:rPr>
        <w:t xml:space="preserve">, </w:t>
      </w:r>
      <w:r>
        <w:rPr>
          <w:rFonts w:hint="eastAsia" w:ascii="微软雅黑" w:hAnsi="微软雅黑" w:eastAsia="微软雅黑" w:cs="宋体"/>
          <w:szCs w:val="21"/>
        </w:rPr>
        <w:t>并应能防止因本身缺陷、异常或误操作导致的内电弧伤及工作人员。应能确保操作人员和开关柜的安全。</w:t>
      </w:r>
    </w:p>
    <w:p w14:paraId="4D497808">
      <w:pPr>
        <w:spacing w:line="400" w:lineRule="exact"/>
        <w:jc w:val="left"/>
        <w:rPr>
          <w:rFonts w:ascii="微软雅黑" w:hAnsi="微软雅黑" w:eastAsia="微软雅黑"/>
        </w:rPr>
      </w:pPr>
      <w:r>
        <w:rPr>
          <w:rFonts w:hint="eastAsia" w:ascii="微软雅黑" w:hAnsi="微软雅黑" w:eastAsia="微软雅黑" w:cs="宋体"/>
          <w:szCs w:val="21"/>
        </w:rPr>
        <w:t>1.4.7 柜内仪表室及电缆室应设有柜内照明装置，乙方应提供完整的照明系统（包含支架、灯）；</w:t>
      </w:r>
      <w:r>
        <w:rPr>
          <w:rFonts w:hint="eastAsia" w:ascii="微软雅黑" w:hAnsi="微软雅黑" w:eastAsia="微软雅黑"/>
        </w:rPr>
        <w:t>前后门均为带铰链活门，门内安装密封条；</w:t>
      </w:r>
      <w:r>
        <w:rPr>
          <w:rFonts w:hint="eastAsia" w:ascii="微软雅黑" w:hAnsi="微软雅黑" w:eastAsia="微软雅黑" w:cs="宋体"/>
          <w:szCs w:val="21"/>
        </w:rPr>
        <w:t>柜体前后皆有观察窗，便于巡视柜内各部分接头及各元器件的运行情况。观察窗的材料应为带屏蔽网的防爆玻璃或耐久性透明材料。观察窗应有足够的电气间隙和静电屏蔽措施，防止危险的静电电荷。</w:t>
      </w:r>
      <w:r>
        <w:rPr>
          <w:rFonts w:hint="eastAsia" w:ascii="微软雅黑" w:hAnsi="微软雅黑" w:eastAsia="微软雅黑"/>
        </w:rPr>
        <w:t>开关柜柜后电缆室配观察窗，接地开关应装设一个机械式的分/合闸位置应装设观察窗，以便操作人员检查触头的位置，满足电气设备“五防”要求。</w:t>
      </w:r>
    </w:p>
    <w:p w14:paraId="2E5EE4CB">
      <w:pPr>
        <w:spacing w:line="400" w:lineRule="exact"/>
        <w:jc w:val="left"/>
        <w:rPr>
          <w:rFonts w:ascii="微软雅黑" w:hAnsi="微软雅黑" w:eastAsia="微软雅黑" w:cs="宋体"/>
          <w:szCs w:val="21"/>
        </w:rPr>
      </w:pPr>
      <w:r>
        <w:rPr>
          <w:rFonts w:ascii="微软雅黑" w:hAnsi="微软雅黑" w:eastAsia="微软雅黑" w:cs="宋体"/>
          <w:szCs w:val="21"/>
        </w:rPr>
        <w:t>1.4.</w:t>
      </w:r>
      <w:r>
        <w:rPr>
          <w:rFonts w:hint="eastAsia" w:ascii="微软雅黑" w:hAnsi="微软雅黑" w:eastAsia="微软雅黑" w:cs="宋体"/>
          <w:szCs w:val="21"/>
        </w:rPr>
        <w:t>8 断路器配置手车导轨，手车能在工作、试验、隔离位置之间移动。手车室后壁触头装设自动</w:t>
      </w:r>
      <w:r>
        <w:rPr>
          <w:rFonts w:hint="eastAsia" w:ascii="微软雅黑" w:hAnsi="微软雅黑" w:eastAsia="微软雅黑"/>
          <w:szCs w:val="21"/>
        </w:rPr>
        <w:t>SMC绝缘</w:t>
      </w:r>
      <w:r>
        <w:rPr>
          <w:rFonts w:hint="eastAsia" w:ascii="微软雅黑" w:hAnsi="微软雅黑" w:eastAsia="微软雅黑" w:cs="宋体"/>
          <w:szCs w:val="21"/>
        </w:rPr>
        <w:t>活门，当手车从断开位置/试验位置移动到工作位置过程中，上下活门与手车联动，同时打开。当反方向移动则活门自动闭合，直至手车退至试验位置而完全覆盖住静触头盒，以保证手车拉出后不触及带电触头。防护活门贴有母线侧、线路侧等识别字样、红色带电标识及相序标识。当需要检修时，活门的联锁可以被解除；活门安装挂锁装置，可装挂锁强制闭锁。手车可以在开关柜门板处于关闭的情况下进行操作，通过观察窗能看见手车在柜内所处的位置，还能看到断路器手车上的分合按钮、断路器机械位置指示器、计数器及弹簧的储能释放状态指示器。</w:t>
      </w:r>
    </w:p>
    <w:p w14:paraId="490D0CB4">
      <w:pPr>
        <w:spacing w:line="400" w:lineRule="exact"/>
        <w:jc w:val="left"/>
        <w:rPr>
          <w:rFonts w:ascii="微软雅黑" w:hAnsi="微软雅黑" w:eastAsia="微软雅黑" w:cs="宋体"/>
          <w:szCs w:val="21"/>
        </w:rPr>
      </w:pPr>
      <w:r>
        <w:rPr>
          <w:rFonts w:hint="eastAsia" w:ascii="微软雅黑" w:hAnsi="微软雅黑" w:eastAsia="微软雅黑" w:cs="宋体"/>
          <w:szCs w:val="21"/>
        </w:rPr>
        <w:t xml:space="preserve">    手车框架由冷轧钢板折弯焊接而成，各类手车的高度和深度统一，相同规格的手车达到百分百互换。断路器手车在柜内有工作位置和试验隔离位置。每一个位置均设有定位闭锁装置，保证手车处于特定位置时才允许进行操作。手车只有在断路器处于分闸位置时才能移动。各种手车均采用涡轮、蜗杆机构实现手车的摇入与摇出，导向装置应准确无误，定位闭锁装置灵活可靠，操作轻，适合值班人员各种操作。</w:t>
      </w:r>
    </w:p>
    <w:p w14:paraId="6D8D0670">
      <w:pPr>
        <w:spacing w:line="400" w:lineRule="exact"/>
        <w:jc w:val="left"/>
        <w:rPr>
          <w:rFonts w:ascii="微软雅黑" w:hAnsi="微软雅黑" w:eastAsia="微软雅黑" w:cs="宋体"/>
          <w:szCs w:val="21"/>
        </w:rPr>
      </w:pPr>
      <w:r>
        <w:rPr>
          <w:rFonts w:ascii="微软雅黑" w:hAnsi="微软雅黑" w:eastAsia="微软雅黑" w:cs="宋体"/>
          <w:szCs w:val="21"/>
        </w:rPr>
        <w:t>1.4.</w:t>
      </w:r>
      <w:r>
        <w:rPr>
          <w:rFonts w:hint="eastAsia" w:ascii="微软雅黑" w:hAnsi="微软雅黑" w:eastAsia="微软雅黑" w:cs="宋体"/>
          <w:szCs w:val="21"/>
        </w:rPr>
        <w:t>9手车上的动触头与柜内静触头之间的到点装置采用捆绑式梅花触头系统，以减少接触电阻，并能承受较大的动热稳定电流。手车推入工作位置后，其动、静触头的插入深度符合要求：</w:t>
      </w:r>
      <w:r>
        <w:rPr>
          <w:rFonts w:hint="eastAsia" w:ascii="微软雅黑" w:hAnsi="微软雅黑" w:eastAsia="微软雅黑"/>
        </w:rPr>
        <w:t>≥25</w:t>
      </w:r>
      <w:r>
        <w:rPr>
          <w:rFonts w:hint="eastAsia" w:ascii="微软雅黑" w:hAnsi="微软雅黑" w:eastAsia="微软雅黑" w:cs="宋体"/>
        </w:rPr>
        <w:t>㎜</w:t>
      </w:r>
      <w:r>
        <w:rPr>
          <w:rFonts w:hint="eastAsia" w:ascii="微软雅黑" w:hAnsi="微软雅黑" w:eastAsia="微软雅黑" w:cs="宋体"/>
          <w:szCs w:val="21"/>
        </w:rPr>
        <w:t>，满足开关柜额定电流要求，保证动、静触头接触良好，运行中不发热。手车与柜体之间应有安全接地装置，</w:t>
      </w:r>
      <w:r>
        <w:rPr>
          <w:rFonts w:hint="eastAsia" w:ascii="微软雅黑" w:hAnsi="微软雅黑" w:eastAsia="微软雅黑"/>
        </w:rPr>
        <w:t>其接触电阻不得大于</w:t>
      </w:r>
      <w:r>
        <w:rPr>
          <w:rFonts w:ascii="微软雅黑" w:hAnsi="微软雅黑" w:eastAsia="微软雅黑"/>
        </w:rPr>
        <w:t>1000</w:t>
      </w:r>
      <w:r>
        <w:rPr>
          <w:rFonts w:hint="eastAsia" w:ascii="微软雅黑" w:hAnsi="微软雅黑" w:eastAsia="微软雅黑"/>
        </w:rPr>
        <w:t>μΩ</w:t>
      </w:r>
      <w:r>
        <w:rPr>
          <w:rFonts w:hint="eastAsia" w:ascii="微软雅黑" w:hAnsi="微软雅黑" w:eastAsia="微软雅黑" w:cs="宋体"/>
          <w:szCs w:val="21"/>
        </w:rPr>
        <w:t>。</w:t>
      </w:r>
    </w:p>
    <w:p w14:paraId="07343FEF">
      <w:pPr>
        <w:spacing w:line="400" w:lineRule="exact"/>
        <w:jc w:val="left"/>
        <w:rPr>
          <w:rFonts w:ascii="微软雅黑" w:hAnsi="微软雅黑" w:eastAsia="微软雅黑" w:cs="宋体"/>
          <w:szCs w:val="21"/>
        </w:rPr>
      </w:pPr>
      <w:r>
        <w:rPr>
          <w:rFonts w:ascii="微软雅黑" w:hAnsi="微软雅黑" w:eastAsia="微软雅黑" w:cs="宋体"/>
          <w:szCs w:val="21"/>
        </w:rPr>
        <w:t>1.4.7</w:t>
      </w:r>
      <w:r>
        <w:rPr>
          <w:rFonts w:hint="eastAsia" w:ascii="微软雅黑" w:hAnsi="微软雅黑" w:eastAsia="微软雅黑" w:cs="宋体"/>
          <w:szCs w:val="21"/>
        </w:rPr>
        <w:t>主母线贯穿于相邻的柜之间，由分支母线、绝缘子和穿墙套管支撑，柜与柜之间的母线室通过穿墙套管及隔板互相隔离，限制故障电弧对邻柜产生影响。主、分支母线能承受最大故障条件引起的动热稳定；全部母线采用绝缘热缩套管覆盖；三相母排分为：A、B、C，相色分别为：A相黄色，B相绿色，C相红色。A、B、C三相母排的排列遵守如下柜顶：上下布置，由上至下排列成A、B、C相；水平布置，由柜后向柜面排列为A、B、C相；引下线布置，由左至右排列成A、B、C相。</w:t>
      </w:r>
    </w:p>
    <w:p w14:paraId="5308AD5F">
      <w:pPr>
        <w:spacing w:line="400" w:lineRule="exact"/>
        <w:jc w:val="left"/>
        <w:rPr>
          <w:rFonts w:ascii="微软雅黑" w:hAnsi="微软雅黑" w:eastAsia="微软雅黑" w:cs="宋体"/>
          <w:szCs w:val="21"/>
        </w:rPr>
      </w:pPr>
      <w:r>
        <w:rPr>
          <w:rFonts w:ascii="微软雅黑" w:hAnsi="微软雅黑" w:eastAsia="微软雅黑" w:cs="宋体"/>
          <w:szCs w:val="21"/>
        </w:rPr>
        <w:t>1.4.</w:t>
      </w:r>
      <w:r>
        <w:rPr>
          <w:rFonts w:hint="eastAsia" w:ascii="微软雅黑" w:hAnsi="微软雅黑" w:eastAsia="微软雅黑" w:cs="宋体"/>
          <w:szCs w:val="21"/>
        </w:rPr>
        <w:t>10</w:t>
      </w:r>
      <w:r>
        <w:rPr>
          <w:rFonts w:ascii="微软雅黑" w:hAnsi="微软雅黑" w:eastAsia="微软雅黑" w:cs="宋体"/>
          <w:szCs w:val="21"/>
        </w:rPr>
        <w:t xml:space="preserve"> </w:t>
      </w:r>
      <w:r>
        <w:rPr>
          <w:rFonts w:hint="eastAsia" w:ascii="微软雅黑" w:hAnsi="微软雅黑" w:eastAsia="微软雅黑" w:cs="宋体"/>
          <w:szCs w:val="21"/>
        </w:rPr>
        <w:t>一次电缆室能保证各种电缆的顺利连接，电缆室底板为可拆卸的不导磁材料制作，并配置有相应的电缆固定夹及变径塔形密封圈。外部电缆的接线高度不小于800mm。</w:t>
      </w:r>
    </w:p>
    <w:p w14:paraId="0D91DDE4">
      <w:pPr>
        <w:spacing w:line="400" w:lineRule="exact"/>
        <w:jc w:val="left"/>
        <w:rPr>
          <w:rFonts w:ascii="微软雅黑" w:hAnsi="微软雅黑" w:eastAsia="微软雅黑" w:cs="宋体"/>
          <w:szCs w:val="21"/>
        </w:rPr>
      </w:pPr>
      <w:r>
        <w:rPr>
          <w:rFonts w:hint="eastAsia" w:ascii="微软雅黑" w:hAnsi="微软雅黑" w:eastAsia="微软雅黑" w:cs="宋体"/>
          <w:szCs w:val="21"/>
        </w:rPr>
        <w:t>1.4.11 为了防止温度变化时产生的凝露，在仪表室和手车室内各装设一只功率不小于100W的电加热器。</w:t>
      </w:r>
    </w:p>
    <w:p w14:paraId="43C3D23D">
      <w:pPr>
        <w:spacing w:line="400" w:lineRule="exact"/>
        <w:jc w:val="left"/>
        <w:rPr>
          <w:rFonts w:ascii="微软雅黑" w:hAnsi="微软雅黑" w:eastAsia="微软雅黑" w:cs="宋体"/>
          <w:szCs w:val="21"/>
        </w:rPr>
      </w:pPr>
      <w:r>
        <w:rPr>
          <w:rFonts w:ascii="微软雅黑" w:hAnsi="微软雅黑" w:eastAsia="微软雅黑" w:cs="宋体"/>
          <w:szCs w:val="21"/>
        </w:rPr>
        <w:t>1.4.</w:t>
      </w:r>
      <w:r>
        <w:rPr>
          <w:rFonts w:hint="eastAsia" w:ascii="微软雅黑" w:hAnsi="微软雅黑" w:eastAsia="微软雅黑" w:cs="宋体"/>
          <w:szCs w:val="21"/>
        </w:rPr>
        <w:t>12低压仪表室加深100mm及以上，安装三排导轨支架，支架可拆卸，可旋转，支架上开直径5.4mm排孔，保证乙方导轨可采用自攻锁紧螺钉固定在支架上。接线板网格化，各元件可以灵活布置。控制电缆及二次线敷设在柜内两侧线槽内，槽内安装绑线支架，并加装金属盖板，左右侧均可外引二次电缆，引出口配置塑料护口，防止线缆损伤，拼柜处设柜间电缆穿越孔。仪表室的顶板上留有电缆穿越孔，便于二次接线。接线时仪表室顶盖板可翻转，以便于小母线的安装。开关设备上的二次线与断路器手车上二次线通过航空插头联络，必须配合紧密、安全、牢固。</w:t>
      </w:r>
    </w:p>
    <w:p w14:paraId="4827F2C0">
      <w:pPr>
        <w:spacing w:line="400" w:lineRule="exact"/>
        <w:jc w:val="left"/>
        <w:rPr>
          <w:rFonts w:ascii="微软雅黑" w:hAnsi="微软雅黑" w:eastAsia="微软雅黑" w:cs="宋体"/>
          <w:szCs w:val="21"/>
        </w:rPr>
      </w:pPr>
      <w:r>
        <w:rPr>
          <w:rFonts w:ascii="微软雅黑" w:hAnsi="微软雅黑" w:eastAsia="微软雅黑" w:cs="宋体"/>
          <w:szCs w:val="21"/>
        </w:rPr>
        <w:t>1.4.1</w:t>
      </w:r>
      <w:r>
        <w:rPr>
          <w:rFonts w:hint="eastAsia" w:ascii="微软雅黑" w:hAnsi="微软雅黑" w:eastAsia="微软雅黑" w:cs="宋体"/>
          <w:szCs w:val="21"/>
        </w:rPr>
        <w:t>3在电缆室内单独设接地铜排（截面40*</w:t>
      </w:r>
      <w:r>
        <w:rPr>
          <w:rFonts w:ascii="微软雅黑" w:hAnsi="微软雅黑" w:eastAsia="微软雅黑" w:cs="宋体"/>
          <w:szCs w:val="21"/>
        </w:rPr>
        <w:t>6</w:t>
      </w:r>
      <w:r>
        <w:rPr>
          <w:rFonts w:hint="eastAsia" w:ascii="微软雅黑" w:hAnsi="微软雅黑" w:eastAsia="微软雅黑" w:cs="宋体"/>
          <w:szCs w:val="21"/>
        </w:rPr>
        <w:t>mm）贯穿相邻各柜，并与柜体有良好的接触，此接地铜排供元件接地使用，确保运行操作人员触及柜体时的安全；断路器底部与柜体中隔板设滑动的接地连接，保证断路器在从运行位置到试验位置都能可靠接地。紧固螺钉或螺栓的直径不小于12mm。</w:t>
      </w:r>
    </w:p>
    <w:p w14:paraId="208479C2">
      <w:pPr>
        <w:spacing w:line="400" w:lineRule="exact"/>
        <w:jc w:val="left"/>
        <w:rPr>
          <w:rFonts w:ascii="微软雅黑" w:hAnsi="微软雅黑" w:eastAsia="微软雅黑" w:cs="宋体"/>
          <w:szCs w:val="21"/>
        </w:rPr>
      </w:pPr>
      <w:r>
        <w:rPr>
          <w:rFonts w:ascii="微软雅黑" w:hAnsi="微软雅黑" w:eastAsia="微软雅黑" w:cs="宋体"/>
          <w:szCs w:val="21"/>
        </w:rPr>
        <w:t>1.4.1</w:t>
      </w:r>
      <w:r>
        <w:rPr>
          <w:rFonts w:hint="eastAsia" w:ascii="微软雅黑" w:hAnsi="微软雅黑" w:eastAsia="微软雅黑" w:cs="宋体"/>
          <w:szCs w:val="21"/>
        </w:rPr>
        <w:t>4柜内元件技术参数及要求见图纸、清单。</w:t>
      </w:r>
    </w:p>
    <w:p w14:paraId="749937C4">
      <w:pPr>
        <w:spacing w:line="400" w:lineRule="exact"/>
        <w:jc w:val="left"/>
        <w:rPr>
          <w:rFonts w:ascii="微软雅黑" w:hAnsi="微软雅黑" w:eastAsia="微软雅黑" w:cs="宋体"/>
          <w:szCs w:val="21"/>
        </w:rPr>
      </w:pPr>
      <w:r>
        <w:rPr>
          <w:rFonts w:ascii="微软雅黑" w:hAnsi="微软雅黑" w:eastAsia="微软雅黑" w:cs="宋体"/>
          <w:szCs w:val="21"/>
        </w:rPr>
        <w:t xml:space="preserve">1.5 </w:t>
      </w:r>
      <w:r>
        <w:rPr>
          <w:rFonts w:hint="eastAsia" w:ascii="微软雅黑" w:hAnsi="微软雅黑" w:eastAsia="微软雅黑" w:cs="宋体"/>
          <w:szCs w:val="21"/>
        </w:rPr>
        <w:t>技术标准要求</w:t>
      </w:r>
    </w:p>
    <w:p w14:paraId="4D5295AE">
      <w:pPr>
        <w:spacing w:line="400" w:lineRule="exact"/>
        <w:jc w:val="left"/>
        <w:rPr>
          <w:rFonts w:ascii="微软雅黑" w:hAnsi="微软雅黑" w:eastAsia="微软雅黑" w:cs="宋体"/>
          <w:szCs w:val="21"/>
        </w:rPr>
      </w:pPr>
      <w:r>
        <w:rPr>
          <w:rFonts w:ascii="微软雅黑" w:hAnsi="微软雅黑" w:eastAsia="微软雅黑" w:cs="宋体"/>
          <w:szCs w:val="21"/>
        </w:rPr>
        <w:t>1.5.1</w:t>
      </w:r>
      <w:r>
        <w:rPr>
          <w:rFonts w:hint="eastAsia" w:ascii="微软雅黑" w:hAnsi="微软雅黑" w:eastAsia="微软雅黑" w:cs="宋体"/>
          <w:szCs w:val="21"/>
        </w:rPr>
        <w:t>开关柜具有“五防”功能，并符合</w:t>
      </w:r>
      <w:r>
        <w:rPr>
          <w:rFonts w:ascii="微软雅黑" w:hAnsi="微软雅黑" w:eastAsia="微软雅黑" w:cs="宋体"/>
          <w:szCs w:val="21"/>
        </w:rPr>
        <w:t xml:space="preserve"> GB3906-2006</w:t>
      </w:r>
      <w:r>
        <w:rPr>
          <w:rFonts w:hint="eastAsia" w:ascii="微软雅黑" w:hAnsi="微软雅黑" w:eastAsia="微软雅黑" w:cs="宋体"/>
          <w:szCs w:val="21"/>
        </w:rPr>
        <w:t>的要求。</w:t>
      </w:r>
    </w:p>
    <w:p w14:paraId="4E141D3D">
      <w:pPr>
        <w:spacing w:line="400" w:lineRule="exact"/>
        <w:jc w:val="left"/>
        <w:rPr>
          <w:rFonts w:ascii="微软雅黑" w:hAnsi="微软雅黑" w:eastAsia="微软雅黑" w:cs="宋体"/>
          <w:szCs w:val="21"/>
        </w:rPr>
      </w:pPr>
      <w:r>
        <w:rPr>
          <w:rFonts w:ascii="微软雅黑" w:hAnsi="微软雅黑" w:eastAsia="微软雅黑" w:cs="宋体"/>
          <w:szCs w:val="21"/>
        </w:rPr>
        <w:t>1.5.2</w:t>
      </w:r>
      <w:r>
        <w:rPr>
          <w:rFonts w:hint="eastAsia" w:ascii="微软雅黑" w:hAnsi="微软雅黑" w:eastAsia="微软雅黑" w:cs="宋体"/>
          <w:szCs w:val="21"/>
        </w:rPr>
        <w:t>二次继电室内的高频干扰试验要求，按国标</w:t>
      </w:r>
      <w:r>
        <w:rPr>
          <w:rFonts w:ascii="微软雅黑" w:hAnsi="微软雅黑" w:eastAsia="微软雅黑" w:cs="宋体"/>
          <w:szCs w:val="21"/>
        </w:rPr>
        <w:t xml:space="preserve">GB162-85 </w:t>
      </w:r>
      <w:r>
        <w:rPr>
          <w:rFonts w:hint="eastAsia" w:ascii="微软雅黑" w:hAnsi="微软雅黑" w:eastAsia="微软雅黑" w:cs="宋体"/>
          <w:szCs w:val="21"/>
        </w:rPr>
        <w:t>的规定进行，电磁辐射不超过</w:t>
      </w:r>
      <w:r>
        <w:rPr>
          <w:rFonts w:ascii="微软雅黑" w:hAnsi="微软雅黑" w:eastAsia="微软雅黑" w:cs="宋体"/>
          <w:szCs w:val="21"/>
        </w:rPr>
        <w:t>1</w:t>
      </w:r>
      <w:r>
        <w:rPr>
          <w:rFonts w:hint="eastAsia" w:ascii="微软雅黑" w:hAnsi="微软雅黑" w:eastAsia="微软雅黑" w:cs="宋体"/>
          <w:szCs w:val="21"/>
        </w:rPr>
        <w:t>（</w:t>
      </w:r>
      <w:r>
        <w:rPr>
          <w:rFonts w:ascii="微软雅黑" w:hAnsi="微软雅黑" w:eastAsia="微软雅黑" w:cs="宋体"/>
          <w:szCs w:val="21"/>
        </w:rPr>
        <w:t>V/M</w:t>
      </w:r>
      <w:r>
        <w:rPr>
          <w:rFonts w:hint="eastAsia" w:ascii="微软雅黑" w:hAnsi="微软雅黑" w:eastAsia="微软雅黑" w:cs="宋体"/>
          <w:szCs w:val="21"/>
        </w:rPr>
        <w:t>）</w:t>
      </w:r>
      <w:r>
        <w:rPr>
          <w:rFonts w:ascii="微软雅黑" w:hAnsi="微软雅黑" w:eastAsia="微软雅黑" w:cs="宋体"/>
          <w:szCs w:val="21"/>
        </w:rPr>
        <w:t>MHz</w:t>
      </w:r>
      <w:r>
        <w:rPr>
          <w:rFonts w:hint="eastAsia" w:ascii="微软雅黑" w:hAnsi="微软雅黑" w:eastAsia="微软雅黑" w:cs="宋体"/>
          <w:szCs w:val="21"/>
        </w:rPr>
        <w:t>。</w:t>
      </w:r>
    </w:p>
    <w:p w14:paraId="13EC15E2">
      <w:pPr>
        <w:spacing w:line="400" w:lineRule="exact"/>
        <w:jc w:val="left"/>
        <w:rPr>
          <w:rFonts w:ascii="微软雅黑" w:hAnsi="微软雅黑" w:eastAsia="微软雅黑" w:cs="宋体"/>
          <w:szCs w:val="21"/>
        </w:rPr>
      </w:pPr>
      <w:r>
        <w:rPr>
          <w:rFonts w:ascii="微软雅黑" w:hAnsi="微软雅黑" w:eastAsia="微软雅黑" w:cs="宋体"/>
          <w:szCs w:val="21"/>
        </w:rPr>
        <w:t>1.5.3</w:t>
      </w:r>
      <w:r>
        <w:rPr>
          <w:rFonts w:hint="eastAsia" w:ascii="微软雅黑" w:hAnsi="微软雅黑" w:eastAsia="微软雅黑" w:cs="宋体"/>
          <w:szCs w:val="21"/>
        </w:rPr>
        <w:t>振动要求满足国标</w:t>
      </w:r>
      <w:r>
        <w:rPr>
          <w:rFonts w:ascii="微软雅黑" w:hAnsi="微软雅黑" w:eastAsia="微软雅黑" w:cs="宋体"/>
          <w:szCs w:val="21"/>
        </w:rPr>
        <w:t xml:space="preserve">GB11287-98 </w:t>
      </w:r>
      <w:r>
        <w:rPr>
          <w:rFonts w:hint="eastAsia" w:ascii="微软雅黑" w:hAnsi="微软雅黑" w:eastAsia="微软雅黑" w:cs="宋体"/>
          <w:szCs w:val="21"/>
        </w:rPr>
        <w:t>的要求。</w:t>
      </w:r>
    </w:p>
    <w:p w14:paraId="0084D1E5">
      <w:pPr>
        <w:spacing w:line="400" w:lineRule="exact"/>
        <w:jc w:val="left"/>
        <w:rPr>
          <w:rFonts w:ascii="微软雅黑" w:hAnsi="微软雅黑" w:eastAsia="微软雅黑" w:cs="宋体"/>
          <w:szCs w:val="21"/>
        </w:rPr>
      </w:pPr>
      <w:r>
        <w:rPr>
          <w:rFonts w:ascii="微软雅黑" w:hAnsi="微软雅黑" w:eastAsia="微软雅黑" w:cs="宋体"/>
          <w:szCs w:val="21"/>
        </w:rPr>
        <w:t>1.5.4</w:t>
      </w:r>
      <w:r>
        <w:rPr>
          <w:rFonts w:hint="eastAsia" w:ascii="微软雅黑" w:hAnsi="微软雅黑" w:eastAsia="微软雅黑" w:cs="宋体"/>
          <w:szCs w:val="21"/>
        </w:rPr>
        <w:t>同型产品内额定值和结构相同的组件可以互换，</w:t>
      </w:r>
    </w:p>
    <w:p w14:paraId="58AD6489">
      <w:pPr>
        <w:spacing w:line="400" w:lineRule="exact"/>
        <w:jc w:val="left"/>
        <w:rPr>
          <w:rFonts w:ascii="微软雅黑" w:hAnsi="微软雅黑" w:eastAsia="微软雅黑" w:cs="宋体"/>
          <w:szCs w:val="21"/>
        </w:rPr>
      </w:pPr>
      <w:r>
        <w:rPr>
          <w:rFonts w:ascii="微软雅黑" w:hAnsi="微软雅黑" w:eastAsia="微软雅黑" w:cs="宋体"/>
          <w:szCs w:val="21"/>
        </w:rPr>
        <w:t>1.5.5</w:t>
      </w:r>
      <w:r>
        <w:rPr>
          <w:rFonts w:hint="eastAsia" w:ascii="微软雅黑" w:hAnsi="微软雅黑" w:eastAsia="微软雅黑" w:cs="宋体"/>
          <w:szCs w:val="21"/>
        </w:rPr>
        <w:t>高压开关柜所安装的高压电器组件，均具有耐久而清晰的铭牌。</w:t>
      </w:r>
    </w:p>
    <w:p w14:paraId="04D7A74E">
      <w:pPr>
        <w:spacing w:line="400" w:lineRule="exact"/>
        <w:jc w:val="left"/>
        <w:rPr>
          <w:rFonts w:ascii="微软雅黑" w:hAnsi="微软雅黑" w:eastAsia="微软雅黑" w:cs="宋体"/>
          <w:szCs w:val="21"/>
        </w:rPr>
      </w:pPr>
      <w:r>
        <w:rPr>
          <w:rFonts w:ascii="微软雅黑" w:hAnsi="微软雅黑" w:eastAsia="微软雅黑" w:cs="宋体"/>
          <w:szCs w:val="21"/>
        </w:rPr>
        <w:t>1.5.6</w:t>
      </w:r>
      <w:r>
        <w:rPr>
          <w:rFonts w:hint="eastAsia" w:ascii="微软雅黑" w:hAnsi="微软雅黑" w:eastAsia="微软雅黑" w:cs="宋体"/>
          <w:szCs w:val="21"/>
        </w:rPr>
        <w:t>安全净距</w:t>
      </w:r>
    </w:p>
    <w:p w14:paraId="2BBD0A07">
      <w:pPr>
        <w:spacing w:line="400" w:lineRule="exact"/>
        <w:ind w:firstLine="420" w:firstLineChars="200"/>
        <w:jc w:val="left"/>
        <w:rPr>
          <w:rFonts w:ascii="微软雅黑" w:hAnsi="微软雅黑" w:eastAsia="微软雅黑" w:cs="宋体"/>
          <w:szCs w:val="21"/>
        </w:rPr>
      </w:pPr>
      <w:r>
        <w:rPr>
          <w:rFonts w:hint="eastAsia" w:ascii="微软雅黑" w:hAnsi="微软雅黑" w:eastAsia="微软雅黑" w:cs="宋体"/>
          <w:szCs w:val="21"/>
        </w:rPr>
        <w:t>柜内各相导体的相间与对地净距符合国家标准。</w:t>
      </w:r>
    </w:p>
    <w:p w14:paraId="01240B47">
      <w:pPr>
        <w:pStyle w:val="5"/>
        <w:spacing w:line="360" w:lineRule="exact"/>
        <w:ind w:firstLine="420" w:firstLineChars="200"/>
        <w:rPr>
          <w:rFonts w:ascii="微软雅黑" w:hAnsi="微软雅黑" w:eastAsia="微软雅黑"/>
          <w:kern w:val="2"/>
          <w:szCs w:val="21"/>
        </w:rPr>
      </w:pPr>
      <w:r>
        <w:rPr>
          <w:rFonts w:hint="eastAsia" w:ascii="微软雅黑" w:hAnsi="微软雅黑" w:eastAsia="微软雅黑"/>
          <w:kern w:val="2"/>
          <w:szCs w:val="21"/>
        </w:rPr>
        <w:t>（</w:t>
      </w:r>
      <w:r>
        <w:rPr>
          <w:rFonts w:ascii="微软雅黑" w:hAnsi="微软雅黑" w:eastAsia="微软雅黑"/>
          <w:kern w:val="2"/>
          <w:szCs w:val="21"/>
        </w:rPr>
        <w:t>1</w:t>
      </w:r>
      <w:r>
        <w:rPr>
          <w:rFonts w:hint="eastAsia" w:ascii="微软雅黑" w:hAnsi="微软雅黑" w:eastAsia="微软雅黑"/>
          <w:kern w:val="2"/>
          <w:szCs w:val="21"/>
        </w:rPr>
        <w:t>）空气绝缘净距离应满足下表要求：</w:t>
      </w:r>
    </w:p>
    <w:p w14:paraId="1D567789">
      <w:pPr>
        <w:autoSpaceDE w:val="0"/>
        <w:autoSpaceDN w:val="0"/>
        <w:adjustRightInd w:val="0"/>
        <w:jc w:val="center"/>
        <w:rPr>
          <w:rFonts w:ascii="宋体" w:hAnsi="宋体" w:cs="宋体"/>
          <w:sz w:val="28"/>
          <w:szCs w:val="28"/>
        </w:rPr>
      </w:pPr>
      <w:r>
        <w:drawing>
          <wp:inline distT="0" distB="0" distL="0" distR="0">
            <wp:extent cx="5486400" cy="1002665"/>
            <wp:effectExtent l="0" t="0" r="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486400" cy="1002665"/>
                    </a:xfrm>
                    <a:prstGeom prst="rect">
                      <a:avLst/>
                    </a:prstGeom>
                  </pic:spPr>
                </pic:pic>
              </a:graphicData>
            </a:graphic>
          </wp:inline>
        </w:drawing>
      </w:r>
    </w:p>
    <w:p w14:paraId="7F260C97">
      <w:pPr>
        <w:pStyle w:val="5"/>
        <w:spacing w:line="360" w:lineRule="exact"/>
        <w:ind w:firstLine="420" w:firstLineChars="200"/>
        <w:rPr>
          <w:rFonts w:ascii="微软雅黑" w:hAnsi="微软雅黑" w:eastAsia="微软雅黑"/>
          <w:kern w:val="2"/>
          <w:szCs w:val="21"/>
        </w:rPr>
      </w:pPr>
      <w:r>
        <w:rPr>
          <w:rFonts w:hint="eastAsia" w:ascii="微软雅黑" w:hAnsi="微软雅黑" w:eastAsia="微软雅黑"/>
          <w:kern w:val="2"/>
          <w:szCs w:val="21"/>
        </w:rPr>
        <w:t>（</w:t>
      </w:r>
      <w:r>
        <w:rPr>
          <w:rFonts w:ascii="微软雅黑" w:hAnsi="微软雅黑" w:eastAsia="微软雅黑"/>
          <w:kern w:val="2"/>
          <w:szCs w:val="21"/>
        </w:rPr>
        <w:t>2</w:t>
      </w:r>
      <w:r>
        <w:rPr>
          <w:rFonts w:hint="eastAsia" w:ascii="微软雅黑" w:hAnsi="微软雅黑" w:eastAsia="微软雅黑"/>
          <w:kern w:val="2"/>
          <w:szCs w:val="21"/>
        </w:rPr>
        <w:t>）开关柜内最小标称统一爬电比距：≥</w:t>
      </w:r>
      <w:r>
        <w:rPr>
          <w:rFonts w:ascii="微软雅黑" w:hAnsi="微软雅黑" w:eastAsia="微软雅黑"/>
          <w:kern w:val="2"/>
          <w:szCs w:val="21"/>
        </w:rPr>
        <w:t>20mm/kV（有机绝缘）</w:t>
      </w:r>
    </w:p>
    <w:p w14:paraId="438D1865">
      <w:pPr>
        <w:pStyle w:val="5"/>
        <w:spacing w:line="360" w:lineRule="exact"/>
        <w:ind w:firstLine="420" w:firstLineChars="200"/>
      </w:pPr>
      <w:r>
        <w:rPr>
          <w:rFonts w:hint="eastAsia" w:ascii="微软雅黑" w:hAnsi="微软雅黑" w:eastAsia="微软雅黑"/>
          <w:kern w:val="2"/>
          <w:szCs w:val="21"/>
        </w:rPr>
        <w:t>（</w:t>
      </w:r>
      <w:r>
        <w:rPr>
          <w:rFonts w:ascii="微软雅黑" w:hAnsi="微软雅黑" w:eastAsia="微软雅黑"/>
          <w:kern w:val="2"/>
          <w:szCs w:val="21"/>
        </w:rPr>
        <w:t>3</w:t>
      </w:r>
      <w:r>
        <w:rPr>
          <w:rFonts w:hint="eastAsia" w:ascii="微软雅黑" w:hAnsi="微软雅黑" w:eastAsia="微软雅黑"/>
          <w:kern w:val="2"/>
          <w:szCs w:val="21"/>
        </w:rPr>
        <w:t>）开关柜不应使用绝缘隔板。母线加装绝缘护套和热缩绝缘材料后，空气绝缘净距离也应满足要求。</w:t>
      </w:r>
    </w:p>
    <w:p w14:paraId="16844374">
      <w:pPr>
        <w:spacing w:line="400" w:lineRule="exact"/>
        <w:jc w:val="left"/>
        <w:rPr>
          <w:rFonts w:ascii="微软雅黑" w:hAnsi="微软雅黑" w:eastAsia="微软雅黑" w:cs="宋体"/>
          <w:szCs w:val="21"/>
        </w:rPr>
      </w:pPr>
      <w:r>
        <w:rPr>
          <w:rFonts w:ascii="微软雅黑" w:hAnsi="微软雅黑" w:eastAsia="微软雅黑" w:cs="宋体"/>
          <w:szCs w:val="21"/>
        </w:rPr>
        <w:t>1.5.7</w:t>
      </w:r>
      <w:r>
        <w:rPr>
          <w:rFonts w:hint="eastAsia" w:ascii="微软雅黑" w:hAnsi="微软雅黑" w:eastAsia="微软雅黑" w:cs="宋体"/>
          <w:szCs w:val="21"/>
        </w:rPr>
        <w:t>所有小车都有定位机构，定位灵活可靠，导向装置应准确，同类手车具有互换性。</w:t>
      </w:r>
    </w:p>
    <w:p w14:paraId="7B03F73A">
      <w:pPr>
        <w:spacing w:line="400" w:lineRule="exact"/>
        <w:jc w:val="left"/>
        <w:rPr>
          <w:rFonts w:ascii="微软雅黑" w:hAnsi="微软雅黑" w:eastAsia="微软雅黑" w:cs="宋体"/>
          <w:szCs w:val="21"/>
        </w:rPr>
      </w:pPr>
      <w:r>
        <w:rPr>
          <w:rFonts w:ascii="微软雅黑" w:hAnsi="微软雅黑" w:eastAsia="微软雅黑" w:cs="宋体"/>
          <w:szCs w:val="21"/>
        </w:rPr>
        <w:t>1.5.8</w:t>
      </w:r>
      <w:r>
        <w:rPr>
          <w:rFonts w:hint="eastAsia" w:ascii="微软雅黑" w:hAnsi="微软雅黑" w:eastAsia="微软雅黑" w:cs="宋体"/>
          <w:szCs w:val="21"/>
        </w:rPr>
        <w:t>定位机构与二次插头之间，断路器与一次隔离触头，接地开关之间，手车与活门以及柜后上、下门之间均有可靠的机械联锁。</w:t>
      </w:r>
    </w:p>
    <w:p w14:paraId="02ED9965">
      <w:pPr>
        <w:spacing w:line="400" w:lineRule="exact"/>
        <w:jc w:val="left"/>
        <w:rPr>
          <w:rFonts w:ascii="微软雅黑" w:hAnsi="微软雅黑" w:eastAsia="微软雅黑" w:cs="宋体"/>
          <w:szCs w:val="21"/>
        </w:rPr>
      </w:pPr>
      <w:r>
        <w:rPr>
          <w:rFonts w:ascii="微软雅黑" w:hAnsi="微软雅黑" w:eastAsia="微软雅黑" w:cs="宋体"/>
          <w:szCs w:val="21"/>
        </w:rPr>
        <w:t>1.5.9</w:t>
      </w:r>
      <w:r>
        <w:rPr>
          <w:rFonts w:hint="eastAsia" w:ascii="微软雅黑" w:hAnsi="微软雅黑" w:eastAsia="微软雅黑" w:cs="宋体"/>
          <w:szCs w:val="21"/>
        </w:rPr>
        <w:t>手车推入工作位置后，应保证动、静触头接触良好。</w:t>
      </w:r>
    </w:p>
    <w:p w14:paraId="4AB24EC8">
      <w:pPr>
        <w:spacing w:line="400" w:lineRule="exact"/>
        <w:jc w:val="left"/>
        <w:rPr>
          <w:rFonts w:ascii="微软雅黑" w:hAnsi="微软雅黑" w:eastAsia="微软雅黑" w:cs="宋体"/>
          <w:szCs w:val="21"/>
        </w:rPr>
      </w:pPr>
      <w:r>
        <w:rPr>
          <w:rFonts w:hint="eastAsia" w:ascii="微软雅黑" w:hAnsi="微软雅黑" w:eastAsia="微软雅黑" w:cs="宋体"/>
          <w:szCs w:val="21"/>
        </w:rPr>
        <w:t>1.5.10保护装置、表计等二次元器件布置合理、安全可靠。</w:t>
      </w:r>
    </w:p>
    <w:p w14:paraId="2062C21D">
      <w:pPr>
        <w:spacing w:line="400" w:lineRule="exact"/>
        <w:jc w:val="left"/>
        <w:rPr>
          <w:rFonts w:ascii="微软雅黑" w:hAnsi="微软雅黑" w:eastAsia="微软雅黑" w:cs="宋体"/>
          <w:szCs w:val="21"/>
        </w:rPr>
      </w:pPr>
      <w:r>
        <w:rPr>
          <w:rFonts w:hint="eastAsia" w:ascii="微软雅黑" w:hAnsi="微软雅黑" w:eastAsia="微软雅黑" w:cs="宋体"/>
          <w:szCs w:val="21"/>
        </w:rPr>
        <w:t>1.5.11进线柜、母联柜装接地刀，进线柜、母联柜、隔离柜装闭锁电磁铁，接地刀后门联锁采用扁钢联锁。</w:t>
      </w:r>
    </w:p>
    <w:p w14:paraId="5A8D4D1E">
      <w:pPr>
        <w:spacing w:line="400" w:lineRule="exact"/>
        <w:jc w:val="left"/>
        <w:rPr>
          <w:rFonts w:ascii="微软雅黑" w:hAnsi="微软雅黑" w:eastAsia="微软雅黑" w:cs="宋体"/>
          <w:szCs w:val="21"/>
        </w:rPr>
      </w:pPr>
      <w:r>
        <w:rPr>
          <w:rFonts w:ascii="微软雅黑" w:hAnsi="微软雅黑" w:eastAsia="微软雅黑" w:cs="宋体"/>
          <w:szCs w:val="21"/>
        </w:rPr>
        <w:t xml:space="preserve">1.6 </w:t>
      </w:r>
      <w:r>
        <w:rPr>
          <w:rFonts w:hint="eastAsia" w:ascii="微软雅黑" w:hAnsi="微软雅黑" w:eastAsia="微软雅黑" w:cs="宋体"/>
          <w:szCs w:val="21"/>
        </w:rPr>
        <w:t>其他要求（一）：</w:t>
      </w:r>
    </w:p>
    <w:p w14:paraId="4049611C">
      <w:pPr>
        <w:spacing w:line="400" w:lineRule="exact"/>
        <w:jc w:val="left"/>
        <w:rPr>
          <w:rFonts w:ascii="微软雅黑" w:hAnsi="微软雅黑" w:eastAsia="微软雅黑" w:cs="宋体"/>
          <w:szCs w:val="21"/>
        </w:rPr>
      </w:pPr>
      <w:r>
        <w:rPr>
          <w:rFonts w:ascii="微软雅黑" w:hAnsi="微软雅黑" w:eastAsia="微软雅黑" w:cs="宋体"/>
          <w:szCs w:val="21"/>
        </w:rPr>
        <w:t>1.6.1</w:t>
      </w:r>
      <w:r>
        <w:rPr>
          <w:rFonts w:hint="eastAsia" w:ascii="微软雅黑" w:hAnsi="微软雅黑" w:eastAsia="微软雅黑" w:cs="宋体"/>
          <w:szCs w:val="21"/>
        </w:rPr>
        <w:t>本项目中各开关容量及母线距离，在设备制造时要着重考虑以下几方面问题：</w:t>
      </w:r>
    </w:p>
    <w:p w14:paraId="0599216B">
      <w:pPr>
        <w:spacing w:line="400" w:lineRule="exact"/>
        <w:jc w:val="left"/>
        <w:rPr>
          <w:rFonts w:ascii="微软雅黑" w:hAnsi="微软雅黑" w:eastAsia="微软雅黑" w:cs="宋体"/>
          <w:szCs w:val="21"/>
        </w:rPr>
      </w:pPr>
      <w:r>
        <w:rPr>
          <w:rFonts w:ascii="微软雅黑" w:hAnsi="微软雅黑" w:eastAsia="微软雅黑" w:cs="宋体"/>
          <w:szCs w:val="21"/>
        </w:rPr>
        <w:t xml:space="preserve">1.6.1.1 </w:t>
      </w:r>
      <w:r>
        <w:rPr>
          <w:rFonts w:hint="eastAsia" w:ascii="微软雅黑" w:hAnsi="微软雅黑" w:eastAsia="微软雅黑" w:cs="宋体"/>
          <w:szCs w:val="21"/>
        </w:rPr>
        <w:t>制造中不仅要考虑母线的散热，同时要考虑电磁感应的影响，即要考虑电磁干扰、噪音及壳体发热等因素和解决、消除措施；</w:t>
      </w:r>
    </w:p>
    <w:p w14:paraId="03DE1649">
      <w:pPr>
        <w:spacing w:line="400" w:lineRule="exact"/>
        <w:jc w:val="left"/>
        <w:rPr>
          <w:rFonts w:ascii="微软雅黑" w:hAnsi="微软雅黑" w:eastAsia="微软雅黑" w:cs="宋体"/>
          <w:szCs w:val="21"/>
        </w:rPr>
      </w:pPr>
      <w:r>
        <w:rPr>
          <w:rFonts w:ascii="微软雅黑" w:hAnsi="微软雅黑" w:eastAsia="微软雅黑" w:cs="宋体"/>
          <w:szCs w:val="21"/>
        </w:rPr>
        <w:t xml:space="preserve">1.6.1.2 </w:t>
      </w:r>
      <w:r>
        <w:rPr>
          <w:rFonts w:hint="eastAsia" w:ascii="微软雅黑" w:hAnsi="微软雅黑" w:eastAsia="微软雅黑" w:cs="宋体"/>
          <w:szCs w:val="21"/>
        </w:rPr>
        <w:t>考虑多根大截面电力电缆进、出开关柜的方便性和可检修、可维护性；</w:t>
      </w:r>
    </w:p>
    <w:p w14:paraId="586B4F25">
      <w:pPr>
        <w:spacing w:line="400" w:lineRule="exact"/>
        <w:jc w:val="left"/>
        <w:rPr>
          <w:rFonts w:ascii="微软雅黑" w:hAnsi="微软雅黑" w:eastAsia="微软雅黑" w:cs="宋体"/>
          <w:szCs w:val="21"/>
        </w:rPr>
      </w:pPr>
      <w:r>
        <w:rPr>
          <w:rFonts w:ascii="微软雅黑" w:hAnsi="微软雅黑" w:eastAsia="微软雅黑" w:cs="宋体"/>
          <w:szCs w:val="21"/>
        </w:rPr>
        <w:t xml:space="preserve">1.6.1.3 </w:t>
      </w:r>
      <w:r>
        <w:rPr>
          <w:rFonts w:hint="eastAsia" w:ascii="微软雅黑" w:hAnsi="微软雅黑" w:eastAsia="微软雅黑" w:cs="宋体"/>
          <w:szCs w:val="21"/>
        </w:rPr>
        <w:t>开关柜内的强电磁干扰、温升环境对综合保护装置的影响；</w:t>
      </w:r>
    </w:p>
    <w:p w14:paraId="64608277">
      <w:pPr>
        <w:spacing w:line="400" w:lineRule="exact"/>
        <w:jc w:val="left"/>
        <w:rPr>
          <w:rFonts w:ascii="微软雅黑" w:hAnsi="微软雅黑" w:eastAsia="微软雅黑" w:cs="宋体"/>
          <w:szCs w:val="21"/>
        </w:rPr>
      </w:pPr>
      <w:r>
        <w:rPr>
          <w:rFonts w:ascii="微软雅黑" w:hAnsi="微软雅黑" w:eastAsia="微软雅黑" w:cs="宋体"/>
          <w:szCs w:val="21"/>
        </w:rPr>
        <w:t xml:space="preserve">1.6.1.4 </w:t>
      </w:r>
      <w:r>
        <w:rPr>
          <w:rFonts w:hint="eastAsia" w:ascii="微软雅黑" w:hAnsi="微软雅黑" w:eastAsia="微软雅黑" w:cs="宋体"/>
          <w:szCs w:val="21"/>
        </w:rPr>
        <w:t>高海拔、高温差对开关柜内各电器元件的影响；</w:t>
      </w:r>
    </w:p>
    <w:p w14:paraId="012D4905">
      <w:pPr>
        <w:spacing w:line="400" w:lineRule="exact"/>
        <w:jc w:val="left"/>
        <w:rPr>
          <w:rFonts w:ascii="微软雅黑" w:hAnsi="微软雅黑" w:eastAsia="微软雅黑" w:cs="宋体"/>
          <w:szCs w:val="21"/>
        </w:rPr>
      </w:pPr>
      <w:r>
        <w:rPr>
          <w:rFonts w:ascii="微软雅黑" w:hAnsi="微软雅黑" w:eastAsia="微软雅黑" w:cs="宋体"/>
          <w:szCs w:val="21"/>
        </w:rPr>
        <w:t xml:space="preserve">1.6.1.5 </w:t>
      </w:r>
      <w:r>
        <w:rPr>
          <w:rFonts w:hint="eastAsia" w:ascii="微软雅黑" w:hAnsi="微软雅黑" w:eastAsia="微软雅黑" w:cs="宋体"/>
          <w:szCs w:val="21"/>
        </w:rPr>
        <w:t>开关柜外壳：敷铝锌薄钢板厚度不小于</w:t>
      </w:r>
      <w:r>
        <w:rPr>
          <w:rFonts w:ascii="微软雅黑" w:hAnsi="微软雅黑" w:eastAsia="微软雅黑" w:cs="宋体"/>
          <w:szCs w:val="21"/>
        </w:rPr>
        <w:t xml:space="preserve"> 2.0mm</w:t>
      </w:r>
      <w:r>
        <w:rPr>
          <w:rFonts w:hint="eastAsia" w:ascii="微软雅黑" w:hAnsi="微软雅黑" w:eastAsia="微软雅黑" w:cs="宋体"/>
          <w:szCs w:val="21"/>
        </w:rPr>
        <w:t>，柜门冷轧板厚度不小于</w:t>
      </w:r>
      <w:r>
        <w:rPr>
          <w:rFonts w:ascii="微软雅黑" w:hAnsi="微软雅黑" w:eastAsia="微软雅黑" w:cs="宋体"/>
          <w:szCs w:val="21"/>
        </w:rPr>
        <w:t>2.0mm</w:t>
      </w:r>
      <w:r>
        <w:rPr>
          <w:rFonts w:hint="eastAsia" w:ascii="微软雅黑" w:hAnsi="微软雅黑" w:eastAsia="微软雅黑" w:cs="宋体"/>
          <w:szCs w:val="21"/>
        </w:rPr>
        <w:t>；</w:t>
      </w:r>
    </w:p>
    <w:p w14:paraId="48A429D9">
      <w:pPr>
        <w:spacing w:line="400" w:lineRule="exact"/>
        <w:jc w:val="left"/>
        <w:rPr>
          <w:rFonts w:ascii="微软雅黑" w:hAnsi="微软雅黑" w:eastAsia="微软雅黑" w:cs="宋体"/>
          <w:szCs w:val="21"/>
        </w:rPr>
      </w:pPr>
      <w:r>
        <w:rPr>
          <w:rFonts w:ascii="微软雅黑" w:hAnsi="微软雅黑" w:eastAsia="微软雅黑" w:cs="宋体"/>
          <w:szCs w:val="21"/>
        </w:rPr>
        <w:t>1.6.1.</w:t>
      </w:r>
      <w:r>
        <w:rPr>
          <w:rFonts w:hint="eastAsia" w:ascii="微软雅黑" w:hAnsi="微软雅黑" w:eastAsia="微软雅黑" w:cs="宋体"/>
          <w:szCs w:val="21"/>
        </w:rPr>
        <w:t>6</w:t>
      </w:r>
      <w:r>
        <w:rPr>
          <w:rFonts w:ascii="微软雅黑" w:hAnsi="微软雅黑" w:eastAsia="微软雅黑" w:cs="宋体"/>
          <w:szCs w:val="21"/>
        </w:rPr>
        <w:t xml:space="preserve"> </w:t>
      </w:r>
      <w:r>
        <w:rPr>
          <w:rFonts w:hint="eastAsia" w:ascii="微软雅黑" w:hAnsi="微软雅黑" w:eastAsia="微软雅黑" w:cs="宋体"/>
          <w:szCs w:val="21"/>
        </w:rPr>
        <w:t>开关柜外壳及其支架结构应牢固、不变形；</w:t>
      </w:r>
    </w:p>
    <w:p w14:paraId="401581C2">
      <w:pPr>
        <w:spacing w:line="400" w:lineRule="exact"/>
        <w:jc w:val="left"/>
        <w:rPr>
          <w:rFonts w:ascii="微软雅黑" w:hAnsi="微软雅黑" w:eastAsia="微软雅黑" w:cs="宋体"/>
          <w:szCs w:val="21"/>
        </w:rPr>
      </w:pPr>
      <w:r>
        <w:rPr>
          <w:rFonts w:ascii="微软雅黑" w:hAnsi="微软雅黑" w:eastAsia="微软雅黑" w:cs="宋体"/>
          <w:szCs w:val="21"/>
        </w:rPr>
        <w:t>1.6.1.</w:t>
      </w:r>
      <w:r>
        <w:rPr>
          <w:rFonts w:hint="eastAsia" w:ascii="微软雅黑" w:hAnsi="微软雅黑" w:eastAsia="微软雅黑" w:cs="宋体"/>
          <w:szCs w:val="21"/>
        </w:rPr>
        <w:t>7</w:t>
      </w:r>
      <w:r>
        <w:rPr>
          <w:rFonts w:ascii="微软雅黑" w:hAnsi="微软雅黑" w:eastAsia="微软雅黑" w:cs="宋体"/>
          <w:szCs w:val="21"/>
        </w:rPr>
        <w:t xml:space="preserve"> </w:t>
      </w:r>
      <w:r>
        <w:rPr>
          <w:rFonts w:hint="eastAsia" w:ascii="微软雅黑" w:hAnsi="微软雅黑" w:eastAsia="微软雅黑" w:cs="宋体"/>
          <w:szCs w:val="21"/>
        </w:rPr>
        <w:t>开关柜内的组装零部件应安全、可靠、灵活，机械强度及刚性应满足开关柜正常的联锁、互动的要求；</w:t>
      </w:r>
    </w:p>
    <w:p w14:paraId="49D89B70">
      <w:pPr>
        <w:spacing w:line="400" w:lineRule="exact"/>
        <w:jc w:val="left"/>
        <w:rPr>
          <w:rFonts w:ascii="微软雅黑" w:hAnsi="微软雅黑" w:eastAsia="微软雅黑" w:cs="宋体"/>
          <w:szCs w:val="21"/>
        </w:rPr>
      </w:pPr>
      <w:r>
        <w:rPr>
          <w:rFonts w:ascii="微软雅黑" w:hAnsi="微软雅黑" w:eastAsia="微软雅黑" w:cs="宋体"/>
          <w:szCs w:val="21"/>
        </w:rPr>
        <w:t>1.6.1.</w:t>
      </w:r>
      <w:r>
        <w:rPr>
          <w:rFonts w:hint="eastAsia" w:ascii="微软雅黑" w:hAnsi="微软雅黑" w:eastAsia="微软雅黑" w:cs="宋体"/>
          <w:szCs w:val="21"/>
        </w:rPr>
        <w:t>8</w:t>
      </w:r>
      <w:r>
        <w:rPr>
          <w:rFonts w:ascii="微软雅黑" w:hAnsi="微软雅黑" w:eastAsia="微软雅黑" w:cs="宋体"/>
          <w:szCs w:val="21"/>
        </w:rPr>
        <w:t xml:space="preserve"> </w:t>
      </w:r>
      <w:r>
        <w:rPr>
          <w:rFonts w:hint="eastAsia" w:ascii="微软雅黑" w:hAnsi="微软雅黑" w:eastAsia="微软雅黑" w:cs="宋体"/>
          <w:szCs w:val="21"/>
        </w:rPr>
        <w:t>具有紧急跳闸机构，具备紧急状态下的手动跳闸，</w:t>
      </w:r>
      <w:r>
        <w:rPr>
          <w:rFonts w:hint="eastAsia" w:ascii="微软雅黑" w:hAnsi="微软雅黑" w:eastAsia="微软雅黑"/>
        </w:rPr>
        <w:t>并且具备防误碰功能；</w:t>
      </w:r>
    </w:p>
    <w:p w14:paraId="0450B188">
      <w:pPr>
        <w:spacing w:line="400" w:lineRule="exact"/>
        <w:jc w:val="left"/>
        <w:rPr>
          <w:rFonts w:ascii="微软雅黑" w:hAnsi="微软雅黑" w:eastAsia="微软雅黑" w:cs="宋体"/>
          <w:szCs w:val="21"/>
        </w:rPr>
      </w:pPr>
      <w:r>
        <w:rPr>
          <w:rFonts w:hint="eastAsia" w:ascii="微软雅黑" w:hAnsi="微软雅黑" w:eastAsia="微软雅黑" w:cs="宋体"/>
          <w:szCs w:val="21"/>
        </w:rPr>
        <w:t>1.6.2 顶部进线或者架设母线桥的柜体，返出母排均要加绝缘子支撑，并且柜顶要安装穿墙套管；</w:t>
      </w:r>
    </w:p>
    <w:p w14:paraId="498119D8">
      <w:pPr>
        <w:spacing w:line="400" w:lineRule="exact"/>
        <w:jc w:val="left"/>
        <w:rPr>
          <w:rFonts w:ascii="微软雅黑" w:hAnsi="微软雅黑" w:eastAsia="微软雅黑" w:cs="宋体"/>
          <w:szCs w:val="21"/>
        </w:rPr>
      </w:pPr>
      <w:r>
        <w:rPr>
          <w:rFonts w:hint="eastAsia" w:ascii="微软雅黑" w:hAnsi="微软雅黑" w:eastAsia="微软雅黑" w:cs="宋体"/>
          <w:szCs w:val="21"/>
        </w:rPr>
        <w:t>1.6.3 开关柜前后设置眉头（柜后设置在下门上），以便与操作人员前后都能辨识，内容要按甲方要求印制；</w:t>
      </w:r>
    </w:p>
    <w:p w14:paraId="2B4AF0C3">
      <w:pPr>
        <w:spacing w:line="400" w:lineRule="exact"/>
        <w:jc w:val="left"/>
        <w:rPr>
          <w:rFonts w:ascii="微软雅黑" w:hAnsi="微软雅黑" w:eastAsia="微软雅黑" w:cs="宋体"/>
          <w:szCs w:val="21"/>
        </w:rPr>
      </w:pPr>
      <w:r>
        <w:rPr>
          <w:rFonts w:hint="eastAsia" w:ascii="微软雅黑" w:hAnsi="微软雅黑" w:eastAsia="微软雅黑" w:cs="宋体"/>
          <w:szCs w:val="21"/>
        </w:rPr>
        <w:t>1.6.4 开关柜的接地开关为柜前手动操作，可快速分合闸，有明显的位置指示，与断路器等功能单元有可靠的防误机械联锁；接地开关必须要带辅助触点；如无特殊要求，接地开关安装在开关柜体中部；</w:t>
      </w:r>
    </w:p>
    <w:p w14:paraId="0F72F9C2">
      <w:pPr>
        <w:spacing w:line="400" w:lineRule="exact"/>
        <w:jc w:val="left"/>
        <w:rPr>
          <w:rFonts w:ascii="微软雅黑" w:hAnsi="微软雅黑" w:eastAsia="微软雅黑" w:cs="宋体"/>
          <w:szCs w:val="21"/>
        </w:rPr>
      </w:pPr>
      <w:r>
        <w:rPr>
          <w:rFonts w:hint="eastAsia" w:ascii="微软雅黑" w:hAnsi="微软雅黑" w:eastAsia="微软雅黑" w:cs="宋体"/>
          <w:szCs w:val="21"/>
        </w:rPr>
        <w:t>1.6.5 所有开关柜柜门焊接M6栽钉，便于柜门接地；</w:t>
      </w:r>
    </w:p>
    <w:p w14:paraId="1CAF4D62">
      <w:pPr>
        <w:spacing w:line="400" w:lineRule="exact"/>
        <w:jc w:val="left"/>
        <w:rPr>
          <w:rFonts w:ascii="微软雅黑" w:hAnsi="微软雅黑" w:eastAsia="微软雅黑" w:cs="宋体"/>
          <w:szCs w:val="21"/>
        </w:rPr>
      </w:pPr>
      <w:r>
        <w:rPr>
          <w:rFonts w:hint="eastAsia" w:ascii="微软雅黑" w:hAnsi="微软雅黑" w:eastAsia="微软雅黑" w:cs="宋体"/>
          <w:szCs w:val="21"/>
        </w:rPr>
        <w:t>1.6.6 电流互感器一般吊装在大弯板底部，其安装板制作成推拉可拆卸式，方便互感器的安装与更换；零序互感器一般在柜内安装，孔与底板电缆进线柜对正；</w:t>
      </w:r>
    </w:p>
    <w:p w14:paraId="673888DF">
      <w:pPr>
        <w:spacing w:line="400" w:lineRule="exact"/>
        <w:jc w:val="left"/>
        <w:rPr>
          <w:rFonts w:ascii="微软雅黑" w:hAnsi="微软雅黑" w:eastAsia="微软雅黑" w:cs="宋体"/>
          <w:szCs w:val="21"/>
        </w:rPr>
      </w:pPr>
      <w:r>
        <w:rPr>
          <w:rFonts w:hint="eastAsia" w:ascii="微软雅黑" w:hAnsi="微软雅黑" w:eastAsia="微软雅黑" w:cs="宋体"/>
          <w:szCs w:val="21"/>
        </w:rPr>
        <w:t>1.6.7柜内采用大爬距绝缘件，满足海拔要求；</w:t>
      </w:r>
    </w:p>
    <w:p w14:paraId="79567FD6">
      <w:pPr>
        <w:spacing w:line="400" w:lineRule="exact"/>
        <w:jc w:val="left"/>
        <w:rPr>
          <w:rFonts w:ascii="微软雅黑" w:hAnsi="微软雅黑" w:eastAsia="微软雅黑" w:cs="宋体"/>
          <w:szCs w:val="21"/>
        </w:rPr>
      </w:pPr>
      <w:r>
        <w:rPr>
          <w:rFonts w:hint="eastAsia" w:ascii="微软雅黑" w:hAnsi="微软雅黑" w:eastAsia="微软雅黑" w:cs="宋体"/>
          <w:szCs w:val="21"/>
        </w:rPr>
        <w:t>1.6.8 仪表室顶部应设二次小母线室，能够安装不小于15根Ø6铜棒，并延伸至整个开关柜长度，小母线具有单独的隔离小室，端部的小母线室侧面应该是封闭的。小母线室预留专用接地母线位置，母线规格为30x5，绝缘子固定，预留绝缘子安装孔，孔径Ø10mm，注意保证与小母线端子的安全距离。仪表室内二次接地要贯穿整列柜体；</w:t>
      </w:r>
    </w:p>
    <w:p w14:paraId="6A33CB92">
      <w:pPr>
        <w:spacing w:line="400" w:lineRule="exact"/>
        <w:jc w:val="left"/>
        <w:rPr>
          <w:rFonts w:ascii="微软雅黑" w:hAnsi="微软雅黑" w:eastAsia="微软雅黑" w:cs="宋体"/>
          <w:szCs w:val="21"/>
        </w:rPr>
      </w:pPr>
      <w:r>
        <w:rPr>
          <w:rFonts w:hint="eastAsia" w:ascii="微软雅黑" w:hAnsi="微软雅黑" w:eastAsia="微软雅黑" w:cs="宋体"/>
          <w:szCs w:val="21"/>
        </w:rPr>
        <w:t>1.6.9 仪表室和手车室都要安装加热器（仪表室加热器要带防护罩）、温湿度传感器安装板，不少于2个；</w:t>
      </w:r>
    </w:p>
    <w:p w14:paraId="595580D7">
      <w:pPr>
        <w:spacing w:line="400" w:lineRule="exact"/>
        <w:jc w:val="left"/>
        <w:rPr>
          <w:rFonts w:ascii="微软雅黑" w:hAnsi="微软雅黑" w:eastAsia="微软雅黑" w:cs="宋体"/>
          <w:szCs w:val="21"/>
        </w:rPr>
      </w:pPr>
      <w:r>
        <w:rPr>
          <w:rFonts w:hint="eastAsia" w:ascii="微软雅黑" w:hAnsi="微软雅黑" w:eastAsia="微软雅黑" w:cs="宋体"/>
          <w:szCs w:val="21"/>
        </w:rPr>
        <w:t>1.6.10 仪表门门板上开综合保护装置、带电显示器、信号灯、按钮、连接片等元器件的安装孔，详见配置清单，门内焊接过线支架；</w:t>
      </w:r>
    </w:p>
    <w:p w14:paraId="170DB348">
      <w:pPr>
        <w:spacing w:line="400" w:lineRule="exact"/>
        <w:jc w:val="left"/>
        <w:rPr>
          <w:rFonts w:ascii="微软雅黑" w:hAnsi="微软雅黑" w:eastAsia="微软雅黑" w:cs="宋体"/>
          <w:szCs w:val="21"/>
        </w:rPr>
      </w:pPr>
      <w:r>
        <w:rPr>
          <w:rFonts w:hint="eastAsia" w:ascii="微软雅黑" w:hAnsi="微软雅黑" w:eastAsia="微软雅黑" w:cs="宋体"/>
          <w:szCs w:val="21"/>
        </w:rPr>
        <w:t>1.6.11 仪表室安装板为免打孔型，设计为可开启式“T”型网孔；</w:t>
      </w:r>
    </w:p>
    <w:p w14:paraId="7BCBC126">
      <w:pPr>
        <w:spacing w:line="400" w:lineRule="exact"/>
        <w:jc w:val="left"/>
        <w:rPr>
          <w:rFonts w:ascii="微软雅黑" w:hAnsi="微软雅黑" w:eastAsia="微软雅黑" w:cs="宋体"/>
          <w:szCs w:val="21"/>
        </w:rPr>
      </w:pPr>
      <w:r>
        <w:rPr>
          <w:rFonts w:hint="eastAsia" w:ascii="微软雅黑" w:hAnsi="微软雅黑" w:eastAsia="微软雅黑" w:cs="宋体"/>
          <w:szCs w:val="21"/>
        </w:rPr>
        <w:t>1.6.12 出厂铭牌孔开在断路器室门板或前下门的合适位置，其开孔尺寸由甲方提供；</w:t>
      </w:r>
    </w:p>
    <w:p w14:paraId="456A1E51">
      <w:pPr>
        <w:spacing w:line="400" w:lineRule="exact"/>
        <w:jc w:val="left"/>
        <w:rPr>
          <w:rFonts w:ascii="微软雅黑" w:hAnsi="微软雅黑" w:eastAsia="微软雅黑" w:cs="宋体"/>
          <w:szCs w:val="21"/>
        </w:rPr>
      </w:pPr>
      <w:r>
        <w:rPr>
          <w:rFonts w:hint="eastAsia" w:ascii="微软雅黑" w:hAnsi="微软雅黑" w:eastAsia="微软雅黑" w:cs="宋体"/>
          <w:szCs w:val="21"/>
        </w:rPr>
        <w:t>1.6.13 柜内如果没有接地开关，要配齐传感器、带电显示器，门板上装好电磁锁。本批柜体综合状态显示仪不带带电显示功能，柜体厂家要配带电显示器，带核相验电功能，配齐传感器；</w:t>
      </w:r>
    </w:p>
    <w:p w14:paraId="3CB929F9">
      <w:pPr>
        <w:spacing w:line="400" w:lineRule="exact"/>
        <w:jc w:val="left"/>
        <w:rPr>
          <w:rFonts w:ascii="微软雅黑" w:hAnsi="微软雅黑" w:eastAsia="微软雅黑" w:cs="宋体"/>
          <w:szCs w:val="21"/>
        </w:rPr>
      </w:pPr>
      <w:r>
        <w:rPr>
          <w:rFonts w:hint="eastAsia" w:ascii="微软雅黑" w:hAnsi="微软雅黑" w:eastAsia="微软雅黑" w:cs="宋体"/>
          <w:szCs w:val="21"/>
        </w:rPr>
        <w:t>1.6.14 所有操作开关、手柄，都应有明确的、永久的标志，并标明操作方向。配齐个柜体上的电气指示标识；</w:t>
      </w:r>
    </w:p>
    <w:p w14:paraId="7E5B3244">
      <w:pPr>
        <w:spacing w:line="400" w:lineRule="exact"/>
        <w:jc w:val="left"/>
        <w:rPr>
          <w:rFonts w:ascii="微软雅黑" w:hAnsi="微软雅黑" w:eastAsia="微软雅黑" w:cs="宋体"/>
          <w:szCs w:val="21"/>
        </w:rPr>
      </w:pPr>
      <w:r>
        <w:rPr>
          <w:rFonts w:hint="eastAsia" w:ascii="微软雅黑" w:hAnsi="微软雅黑" w:eastAsia="微软雅黑" w:cs="宋体"/>
          <w:szCs w:val="21"/>
        </w:rPr>
        <w:t>1.6.15 所有相同规格的小车具有完全的互换性；</w:t>
      </w:r>
    </w:p>
    <w:p w14:paraId="4BC57042">
      <w:pPr>
        <w:spacing w:line="400" w:lineRule="exact"/>
        <w:jc w:val="left"/>
        <w:rPr>
          <w:rFonts w:ascii="微软雅黑" w:hAnsi="微软雅黑" w:eastAsia="微软雅黑" w:cs="宋体"/>
          <w:szCs w:val="21"/>
        </w:rPr>
      </w:pPr>
      <w:r>
        <w:rPr>
          <w:rFonts w:hint="eastAsia" w:ascii="微软雅黑" w:hAnsi="微软雅黑" w:eastAsia="微软雅黑" w:cs="宋体"/>
          <w:szCs w:val="21"/>
        </w:rPr>
        <w:t>1.6.16 按照电气一次系统图配齐各柜体上的电气安装所需的各种安装梁、支架或安装板；</w:t>
      </w:r>
    </w:p>
    <w:p w14:paraId="060D7E22">
      <w:pPr>
        <w:spacing w:line="400" w:lineRule="exact"/>
        <w:jc w:val="left"/>
        <w:rPr>
          <w:rFonts w:ascii="微软雅黑" w:hAnsi="微软雅黑" w:eastAsia="微软雅黑" w:cs="宋体"/>
          <w:szCs w:val="21"/>
        </w:rPr>
      </w:pPr>
      <w:r>
        <w:rPr>
          <w:rFonts w:hint="eastAsia" w:ascii="微软雅黑" w:hAnsi="微软雅黑" w:eastAsia="微软雅黑" w:cs="宋体"/>
          <w:szCs w:val="21"/>
        </w:rPr>
        <w:t>1.6.17 配置好模拟牌；</w:t>
      </w:r>
    </w:p>
    <w:p w14:paraId="09F64D8E">
      <w:pPr>
        <w:spacing w:line="360" w:lineRule="exact"/>
        <w:rPr>
          <w:rFonts w:ascii="微软雅黑" w:hAnsi="微软雅黑" w:eastAsia="微软雅黑" w:cs="宋体"/>
          <w:szCs w:val="21"/>
        </w:rPr>
      </w:pPr>
      <w:r>
        <w:rPr>
          <w:rFonts w:hint="eastAsia" w:ascii="微软雅黑" w:hAnsi="微软雅黑" w:eastAsia="微软雅黑" w:cs="宋体"/>
          <w:szCs w:val="21"/>
        </w:rPr>
        <w:t>1.6.18 如果方案为PT手车，则手车及所有安装附件由乙方提供。如果</w:t>
      </w:r>
      <w:r>
        <w:rPr>
          <w:rFonts w:hint="eastAsia" w:ascii="微软雅黑" w:hAnsi="微软雅黑" w:eastAsia="微软雅黑"/>
          <w:szCs w:val="21"/>
        </w:rPr>
        <w:t>母线电压互感器安装在开关柜电缆室内，则配置熔断器手车，各隔室有效隔离；要求乙方配好所有熔断器卡子，</w:t>
      </w:r>
      <w:r>
        <w:rPr>
          <w:rFonts w:hint="eastAsia" w:ascii="微软雅黑" w:hAnsi="微软雅黑" w:eastAsia="微软雅黑" w:cs="宋体"/>
          <w:szCs w:val="21"/>
        </w:rPr>
        <w:t>甲方只配置熔断器及互感器；</w:t>
      </w:r>
    </w:p>
    <w:p w14:paraId="652D1C2D">
      <w:pPr>
        <w:spacing w:line="400" w:lineRule="exact"/>
        <w:jc w:val="left"/>
        <w:rPr>
          <w:rFonts w:ascii="微软雅黑" w:hAnsi="微软雅黑" w:eastAsia="微软雅黑" w:cs="宋体"/>
          <w:szCs w:val="21"/>
        </w:rPr>
      </w:pPr>
      <w:r>
        <w:rPr>
          <w:rFonts w:hint="eastAsia" w:ascii="微软雅黑" w:hAnsi="微软雅黑" w:eastAsia="微软雅黑" w:cs="宋体"/>
          <w:szCs w:val="21"/>
        </w:rPr>
        <w:t>1.6.19 进出线柜安装有能反映出出线侧有无电压，并具有自检带核相验电功能的带电显示装置；</w:t>
      </w:r>
    </w:p>
    <w:p w14:paraId="1641DF64">
      <w:pPr>
        <w:spacing w:line="400" w:lineRule="exact"/>
        <w:jc w:val="left"/>
        <w:rPr>
          <w:rFonts w:ascii="微软雅黑" w:hAnsi="微软雅黑" w:eastAsia="微软雅黑" w:cs="宋体"/>
          <w:szCs w:val="21"/>
        </w:rPr>
      </w:pPr>
      <w:r>
        <w:rPr>
          <w:rFonts w:hint="eastAsia" w:ascii="微软雅黑" w:hAnsi="微软雅黑" w:eastAsia="微软雅黑" w:cs="宋体"/>
          <w:szCs w:val="21"/>
        </w:rPr>
        <w:t>1.6.20 主母线、下联络穿墙套管安装板如无特殊注明，采用不小于3.00mm厚铝板。</w:t>
      </w:r>
    </w:p>
    <w:p w14:paraId="7A6B76F2">
      <w:pPr>
        <w:spacing w:line="400" w:lineRule="exact"/>
        <w:jc w:val="left"/>
        <w:rPr>
          <w:rFonts w:ascii="微软雅黑" w:hAnsi="微软雅黑" w:eastAsia="微软雅黑" w:cs="宋体"/>
          <w:szCs w:val="21"/>
        </w:rPr>
      </w:pPr>
      <w:r>
        <w:rPr>
          <w:rFonts w:hint="eastAsia" w:ascii="微软雅黑" w:hAnsi="微软雅黑" w:eastAsia="微软雅黑" w:cs="宋体"/>
          <w:szCs w:val="21"/>
        </w:rPr>
        <w:t>1.6.21各柜均带五防功能，柜后上下为门板，上下门有机械连锁装置，关闭上门后，方可关闭下门；</w:t>
      </w:r>
    </w:p>
    <w:p w14:paraId="6148DA02">
      <w:pPr>
        <w:spacing w:line="440" w:lineRule="exact"/>
        <w:rPr>
          <w:rFonts w:ascii="微软雅黑" w:hAnsi="微软雅黑" w:eastAsia="微软雅黑"/>
          <w:szCs w:val="21"/>
        </w:rPr>
      </w:pPr>
      <w:r>
        <w:rPr>
          <w:rFonts w:hint="eastAsia" w:ascii="微软雅黑" w:hAnsi="微软雅黑" w:eastAsia="微软雅黑" w:cs="宋体"/>
          <w:szCs w:val="21"/>
        </w:rPr>
        <w:t>1.6.22</w:t>
      </w:r>
      <w:r>
        <w:rPr>
          <w:rFonts w:hint="eastAsia" w:ascii="微软雅黑" w:hAnsi="微软雅黑" w:eastAsia="微软雅黑"/>
          <w:szCs w:val="21"/>
        </w:rPr>
        <w:t>接地开关本体配3开3闭辅助开关；柜体前部右侧板操作接地开关处配3开2闭辅助开关；</w:t>
      </w:r>
    </w:p>
    <w:p w14:paraId="0F7A5E8C">
      <w:pPr>
        <w:spacing w:line="360" w:lineRule="exact"/>
        <w:rPr>
          <w:rFonts w:ascii="微软雅黑" w:hAnsi="微软雅黑" w:eastAsia="微软雅黑"/>
          <w:szCs w:val="21"/>
        </w:rPr>
      </w:pPr>
      <w:r>
        <w:rPr>
          <w:rFonts w:hint="eastAsia" w:ascii="微软雅黑" w:hAnsi="微软雅黑" w:eastAsia="微软雅黑" w:cs="宋体"/>
          <w:szCs w:val="21"/>
        </w:rPr>
        <w:t>1.6.23</w:t>
      </w:r>
      <w:r>
        <w:rPr>
          <w:rFonts w:hint="eastAsia" w:ascii="微软雅黑" w:hAnsi="微软雅黑" w:eastAsia="微软雅黑"/>
          <w:szCs w:val="21"/>
        </w:rPr>
        <w:t>二次回路的带电体间或带电体与金属骨架间的电气距离不小于</w:t>
      </w:r>
      <w:r>
        <w:rPr>
          <w:rFonts w:ascii="微软雅黑" w:hAnsi="微软雅黑" w:eastAsia="微软雅黑"/>
          <w:szCs w:val="21"/>
        </w:rPr>
        <w:t>4mm</w:t>
      </w:r>
      <w:r>
        <w:rPr>
          <w:rFonts w:hint="eastAsia" w:ascii="微软雅黑" w:hAnsi="微软雅黑" w:eastAsia="微软雅黑"/>
          <w:szCs w:val="21"/>
        </w:rPr>
        <w:t>，爬电距离不小于</w:t>
      </w:r>
      <w:r>
        <w:rPr>
          <w:rFonts w:ascii="微软雅黑" w:hAnsi="微软雅黑" w:eastAsia="微软雅黑"/>
          <w:szCs w:val="21"/>
        </w:rPr>
        <w:t>6mm</w:t>
      </w:r>
      <w:r>
        <w:rPr>
          <w:rFonts w:hint="eastAsia" w:ascii="微软雅黑" w:hAnsi="微软雅黑" w:eastAsia="微软雅黑"/>
          <w:szCs w:val="21"/>
        </w:rPr>
        <w:t>；</w:t>
      </w:r>
    </w:p>
    <w:p w14:paraId="081C0EBC">
      <w:pPr>
        <w:spacing w:line="360" w:lineRule="exact"/>
        <w:rPr>
          <w:rFonts w:ascii="微软雅黑" w:hAnsi="微软雅黑" w:eastAsia="微软雅黑"/>
          <w:szCs w:val="21"/>
        </w:rPr>
      </w:pPr>
      <w:r>
        <w:rPr>
          <w:rFonts w:hint="eastAsia" w:ascii="微软雅黑" w:hAnsi="微软雅黑" w:eastAsia="微软雅黑" w:cs="宋体"/>
          <w:szCs w:val="21"/>
        </w:rPr>
        <w:t>1.6.24</w:t>
      </w:r>
      <w:r>
        <w:rPr>
          <w:rFonts w:hint="eastAsia" w:ascii="微软雅黑" w:hAnsi="微软雅黑" w:eastAsia="微软雅黑"/>
          <w:szCs w:val="21"/>
        </w:rPr>
        <w:t>断路器转运小车的升高与降低应有一定的调整裕度, 必须满足现场柜体安装后的正常使用；</w:t>
      </w:r>
    </w:p>
    <w:p w14:paraId="79C7A92C">
      <w:pPr>
        <w:spacing w:line="360" w:lineRule="exact"/>
        <w:rPr>
          <w:rFonts w:ascii="微软雅黑" w:hAnsi="微软雅黑" w:eastAsia="微软雅黑"/>
          <w:szCs w:val="21"/>
        </w:rPr>
      </w:pPr>
      <w:r>
        <w:rPr>
          <w:rFonts w:hint="eastAsia" w:ascii="微软雅黑" w:hAnsi="微软雅黑" w:eastAsia="微软雅黑" w:cs="宋体"/>
          <w:szCs w:val="21"/>
        </w:rPr>
        <w:t>1.6.25</w:t>
      </w:r>
      <w:r>
        <w:rPr>
          <w:rFonts w:hint="eastAsia" w:ascii="微软雅黑" w:hAnsi="微软雅黑" w:eastAsia="微软雅黑"/>
          <w:szCs w:val="21"/>
        </w:rPr>
        <w:t>穿墙套管安装板、静触头盒安装板均采用无磁材料，小于2000A采用铝板，大于等于2000A采用不锈钢板；对于1000宽柜体，不管电流多大，静触头盒安装板均采用不锈钢板，、柜底电缆进线封板（可拆卸活动封板，采用抗涡流不锈钢板或绝缘板）；</w:t>
      </w:r>
    </w:p>
    <w:p w14:paraId="0919A4A1">
      <w:pPr>
        <w:spacing w:line="360" w:lineRule="exact"/>
        <w:rPr>
          <w:rFonts w:ascii="微软雅黑" w:hAnsi="微软雅黑" w:eastAsia="微软雅黑"/>
          <w:szCs w:val="21"/>
        </w:rPr>
      </w:pPr>
      <w:r>
        <w:rPr>
          <w:rFonts w:hint="eastAsia" w:ascii="微软雅黑" w:hAnsi="微软雅黑" w:eastAsia="微软雅黑" w:cs="宋体"/>
          <w:szCs w:val="21"/>
        </w:rPr>
        <w:t>1.6.26</w:t>
      </w:r>
      <w:r>
        <w:rPr>
          <w:rFonts w:hint="eastAsia" w:ascii="微软雅黑" w:hAnsi="微软雅黑" w:eastAsia="微软雅黑"/>
          <w:szCs w:val="21"/>
        </w:rPr>
        <w:t>额定电流大于等于</w:t>
      </w:r>
      <w:r>
        <w:rPr>
          <w:rFonts w:ascii="微软雅黑" w:hAnsi="微软雅黑" w:eastAsia="微软雅黑"/>
          <w:szCs w:val="21"/>
        </w:rPr>
        <w:t xml:space="preserve">2500A </w:t>
      </w:r>
      <w:r>
        <w:rPr>
          <w:rFonts w:hint="eastAsia" w:ascii="微软雅黑" w:hAnsi="微软雅黑" w:eastAsia="微软雅黑"/>
          <w:szCs w:val="21"/>
        </w:rPr>
        <w:t>柜体采取加装静音风机强制通风，并安装防护罩，防止异物掉入风机后进入柜体；断路器和母线室底部及后门下部合适位置开进风窗，并使用绝缘材料做导风板，通风孔应保证外壳应有的防护等级，通风孔的布置应考虑到柜内的外逸气体不致危及操作者。</w:t>
      </w:r>
    </w:p>
    <w:p w14:paraId="61A90C59">
      <w:pPr>
        <w:spacing w:line="360" w:lineRule="exact"/>
        <w:rPr>
          <w:rFonts w:ascii="微软雅黑" w:hAnsi="微软雅黑" w:eastAsia="微软雅黑"/>
          <w:szCs w:val="21"/>
        </w:rPr>
      </w:pPr>
      <w:r>
        <w:rPr>
          <w:rFonts w:hint="eastAsia" w:ascii="微软雅黑" w:hAnsi="微软雅黑" w:eastAsia="微软雅黑" w:cs="宋体"/>
          <w:szCs w:val="21"/>
        </w:rPr>
        <w:t>1.6.27</w:t>
      </w:r>
      <w:r>
        <w:rPr>
          <w:rFonts w:hint="eastAsia" w:ascii="微软雅黑" w:hAnsi="微软雅黑" w:eastAsia="微软雅黑"/>
          <w:szCs w:val="21"/>
        </w:rPr>
        <w:t>每柜A/B/C相水平排均要用绝缘子固定，设置在B相分支与C相分支中间；A相分支母线加绝缘子支撑；对于顶部进线柜及架母线桥的柜体，返出母排均要加绝缘子支撑，并且柜顶要安装穿墙套管,预留母线桥外壳与柜体的对接孔；绝缘子支撑要模拟好高度；</w:t>
      </w:r>
    </w:p>
    <w:p w14:paraId="3E876341">
      <w:pPr>
        <w:spacing w:line="360" w:lineRule="exact"/>
        <w:rPr>
          <w:rFonts w:ascii="微软雅黑" w:hAnsi="微软雅黑" w:eastAsia="微软雅黑"/>
          <w:szCs w:val="21"/>
        </w:rPr>
      </w:pPr>
      <w:r>
        <w:rPr>
          <w:rFonts w:hint="eastAsia" w:ascii="微软雅黑" w:hAnsi="微软雅黑" w:eastAsia="微软雅黑"/>
          <w:szCs w:val="21"/>
        </w:rPr>
        <w:t>1.6.28配置附件时请注意，所有母排均要套装10KV高压热缩套管，热缩管厚度按为2.00mm考虑；</w:t>
      </w:r>
    </w:p>
    <w:p w14:paraId="35E1052C">
      <w:pPr>
        <w:spacing w:line="360" w:lineRule="exact"/>
        <w:rPr>
          <w:rFonts w:ascii="微软雅黑" w:hAnsi="微软雅黑" w:eastAsia="微软雅黑"/>
          <w:szCs w:val="21"/>
        </w:rPr>
      </w:pPr>
      <w:r>
        <w:rPr>
          <w:rFonts w:hint="eastAsia" w:ascii="微软雅黑" w:hAnsi="微软雅黑" w:eastAsia="微软雅黑"/>
          <w:szCs w:val="21"/>
        </w:rPr>
        <w:t>1.6.29提供断路器触臂、动、静触头镀银层测试报告，现场进行抽检复测，不满足协议要求的进行更换或退货。提供断路器触臂、动、静触头材质监测报告。</w:t>
      </w:r>
    </w:p>
    <w:p w14:paraId="286C7EDD">
      <w:pPr>
        <w:spacing w:line="360" w:lineRule="exact"/>
        <w:rPr>
          <w:rFonts w:ascii="微软雅黑" w:hAnsi="微软雅黑" w:eastAsia="微软雅黑"/>
          <w:szCs w:val="21"/>
        </w:rPr>
      </w:pPr>
      <w:r>
        <w:rPr>
          <w:rFonts w:hint="eastAsia" w:ascii="微软雅黑" w:hAnsi="微软雅黑" w:eastAsia="微软雅黑"/>
          <w:szCs w:val="21"/>
        </w:rPr>
        <w:t>1.6.30开关柜后面板采用上下两扇门结构，电缆室照明灯应能在不开门状态下方便更换。</w:t>
      </w:r>
    </w:p>
    <w:p w14:paraId="44693537">
      <w:pPr>
        <w:spacing w:line="360" w:lineRule="exact"/>
      </w:pPr>
      <w:r>
        <w:rPr>
          <w:rFonts w:hint="eastAsia" w:ascii="微软雅黑" w:hAnsi="微软雅黑" w:eastAsia="微软雅黑"/>
          <w:szCs w:val="21"/>
        </w:rPr>
        <w:t>1.6.31观察窗位置应使观察者便于观察必须监视的组件及关键部位的任意工作位置，观察窗须达到外壳所规定的防护等级。每台开关柜柜后电缆室配观察窗。</w:t>
      </w:r>
    </w:p>
    <w:p w14:paraId="5E1066B8">
      <w:pPr>
        <w:spacing w:line="360" w:lineRule="exact"/>
        <w:rPr>
          <w:rFonts w:ascii="微软雅黑" w:hAnsi="微软雅黑" w:eastAsia="微软雅黑" w:cs="宋体"/>
          <w:kern w:val="0"/>
          <w:szCs w:val="21"/>
        </w:rPr>
      </w:pPr>
      <w:r>
        <w:rPr>
          <w:rFonts w:hint="eastAsia" w:ascii="微软雅黑" w:hAnsi="微软雅黑" w:eastAsia="微软雅黑"/>
          <w:szCs w:val="21"/>
        </w:rPr>
        <w:t>1.6.32柜内元件型号参考配置清单，中标后，图纸及清单按照我方提供的最终版为准，在不改变柜体尺寸和断路器容量的情况下</w:t>
      </w:r>
      <w:r>
        <w:rPr>
          <w:rFonts w:hint="eastAsia" w:ascii="微软雅黑" w:hAnsi="微软雅黑" w:eastAsia="微软雅黑" w:cs="宋体"/>
          <w:szCs w:val="21"/>
        </w:rPr>
        <w:t>，</w:t>
      </w:r>
      <w:r>
        <w:rPr>
          <w:rFonts w:hint="eastAsia" w:ascii="微软雅黑" w:hAnsi="微软雅黑" w:eastAsia="微软雅黑" w:cs="宋体"/>
          <w:kern w:val="0"/>
          <w:szCs w:val="21"/>
        </w:rPr>
        <w:t>所有变更及结构方案的调整甲方将不再增加任何费用，请知悉；</w:t>
      </w:r>
    </w:p>
    <w:p w14:paraId="03CA12B2">
      <w:pPr>
        <w:spacing w:line="360" w:lineRule="exact"/>
        <w:rPr>
          <w:rFonts w:ascii="微软雅黑" w:hAnsi="微软雅黑" w:eastAsia="微软雅黑"/>
          <w:szCs w:val="21"/>
        </w:rPr>
      </w:pPr>
      <w:r>
        <w:rPr>
          <w:rFonts w:hint="eastAsia" w:ascii="微软雅黑" w:hAnsi="微软雅黑" w:eastAsia="微软雅黑"/>
          <w:szCs w:val="21"/>
        </w:rPr>
        <w:t>1.6.33端柜要配置大侧封板，端柜的母线室要用可拆卸的小封板封闭，外侧再加装大侧封板。</w:t>
      </w:r>
    </w:p>
    <w:p w14:paraId="3CCEC3A5">
      <w:pPr>
        <w:pStyle w:val="5"/>
        <w:spacing w:line="360" w:lineRule="exact"/>
        <w:ind w:firstLine="0"/>
        <w:rPr>
          <w:rFonts w:ascii="微软雅黑" w:hAnsi="微软雅黑" w:eastAsia="微软雅黑"/>
          <w:kern w:val="2"/>
          <w:szCs w:val="21"/>
        </w:rPr>
      </w:pPr>
      <w:r>
        <w:rPr>
          <w:rFonts w:hint="eastAsia" w:ascii="微软雅黑" w:hAnsi="微软雅黑" w:eastAsia="微软雅黑"/>
          <w:szCs w:val="21"/>
        </w:rPr>
        <w:t>1.6.34</w:t>
      </w:r>
      <w:r>
        <w:rPr>
          <w:rFonts w:hint="eastAsia" w:ascii="微软雅黑" w:hAnsi="微软雅黑" w:eastAsia="微软雅黑"/>
          <w:kern w:val="2"/>
          <w:szCs w:val="21"/>
        </w:rPr>
        <w:t>柜内所有位置必须保证按海拔修正后的电气安全距离，不采用复合绝缘，柜内禁止使用绝缘板。</w:t>
      </w:r>
    </w:p>
    <w:p w14:paraId="0C82761E">
      <w:pPr>
        <w:pStyle w:val="5"/>
        <w:spacing w:line="360" w:lineRule="exact"/>
        <w:ind w:firstLine="0"/>
        <w:rPr>
          <w:rFonts w:ascii="微软雅黑" w:hAnsi="微软雅黑" w:eastAsia="微软雅黑"/>
          <w:kern w:val="2"/>
          <w:szCs w:val="21"/>
        </w:rPr>
      </w:pPr>
      <w:r>
        <w:rPr>
          <w:rFonts w:hint="eastAsia" w:ascii="微软雅黑" w:hAnsi="微软雅黑" w:eastAsia="微软雅黑"/>
          <w:szCs w:val="21"/>
        </w:rPr>
        <w:t>1.6.35</w:t>
      </w:r>
      <w:r>
        <w:rPr>
          <w:rFonts w:hint="eastAsia" w:ascii="微软雅黑" w:hAnsi="微软雅黑" w:eastAsia="微软雅黑"/>
          <w:kern w:val="2"/>
          <w:szCs w:val="21"/>
        </w:rPr>
        <w:t>对于需要与现场原有柜体并柜的柜体，柜体尺寸必须与现场一致，需要乙方到现场实际测绘，柜体宽度、高度、深度、主母线位置、一二次接地母线位置、门板高度、门板厚度、眉头尺寸及样式、小母线室位置尺寸等均要与现场保持一致。</w:t>
      </w:r>
    </w:p>
    <w:p w14:paraId="590BA1DD">
      <w:pPr>
        <w:pStyle w:val="5"/>
        <w:spacing w:line="360" w:lineRule="exact"/>
        <w:ind w:firstLine="0"/>
        <w:rPr>
          <w:rFonts w:ascii="微软雅黑" w:hAnsi="微软雅黑" w:eastAsia="微软雅黑"/>
          <w:kern w:val="2"/>
          <w:szCs w:val="21"/>
        </w:rPr>
      </w:pPr>
      <w:r>
        <w:rPr>
          <w:rFonts w:hint="eastAsia" w:ascii="微软雅黑" w:hAnsi="微软雅黑" w:eastAsia="微软雅黑"/>
          <w:szCs w:val="21"/>
        </w:rPr>
        <w:t>1.6.36</w:t>
      </w:r>
      <w:r>
        <w:rPr>
          <w:rFonts w:hint="eastAsia" w:ascii="微软雅黑" w:hAnsi="微软雅黑" w:eastAsia="微软雅黑"/>
          <w:kern w:val="2"/>
          <w:szCs w:val="21"/>
        </w:rPr>
        <w:t>所有隔离手车、PT手车、熔断器手车需要加装闭锁装置。</w:t>
      </w:r>
    </w:p>
    <w:p w14:paraId="71CF57FE">
      <w:pPr>
        <w:pStyle w:val="5"/>
        <w:spacing w:line="360" w:lineRule="exact"/>
        <w:ind w:firstLine="0"/>
        <w:rPr>
          <w:rFonts w:ascii="微软雅黑" w:hAnsi="微软雅黑" w:eastAsia="微软雅黑"/>
          <w:kern w:val="2"/>
          <w:szCs w:val="21"/>
        </w:rPr>
      </w:pPr>
      <w:r>
        <w:rPr>
          <w:rFonts w:hint="eastAsia" w:ascii="微软雅黑" w:hAnsi="微软雅黑" w:eastAsia="微软雅黑"/>
          <w:szCs w:val="21"/>
        </w:rPr>
        <w:t>1.6.37</w:t>
      </w:r>
      <w:r>
        <w:rPr>
          <w:rFonts w:ascii="微软雅黑" w:hAnsi="微软雅黑" w:eastAsia="微软雅黑"/>
          <w:kern w:val="2"/>
          <w:szCs w:val="21"/>
        </w:rPr>
        <w:t>所有断路器柜要配置紧急分闸装置，前中柜门紧急分闸按钮要加装透明防护罩，并配置旋转式插线铅封。</w:t>
      </w:r>
    </w:p>
    <w:p w14:paraId="35F6A98D">
      <w:pPr>
        <w:pStyle w:val="5"/>
        <w:spacing w:line="360" w:lineRule="exact"/>
        <w:ind w:firstLine="0"/>
        <w:rPr>
          <w:rFonts w:ascii="微软雅黑" w:hAnsi="微软雅黑" w:eastAsia="微软雅黑"/>
          <w:kern w:val="2"/>
          <w:szCs w:val="21"/>
        </w:rPr>
      </w:pPr>
      <w:r>
        <w:rPr>
          <w:rFonts w:hint="eastAsia" w:ascii="微软雅黑" w:hAnsi="微软雅黑" w:eastAsia="微软雅黑"/>
          <w:kern w:val="2"/>
          <w:szCs w:val="21"/>
        </w:rPr>
        <w:t>1.7 断路器/隔离手车动、静触头及触臂技术要求</w:t>
      </w:r>
    </w:p>
    <w:p w14:paraId="5EE3FB51">
      <w:pPr>
        <w:pStyle w:val="5"/>
        <w:spacing w:line="360" w:lineRule="exact"/>
        <w:ind w:firstLine="0"/>
        <w:rPr>
          <w:rFonts w:ascii="微软雅黑" w:hAnsi="微软雅黑" w:eastAsia="微软雅黑"/>
          <w:kern w:val="2"/>
          <w:szCs w:val="21"/>
        </w:rPr>
      </w:pPr>
      <w:r>
        <w:rPr>
          <w:rFonts w:hint="eastAsia" w:ascii="微软雅黑" w:hAnsi="微软雅黑" w:eastAsia="微软雅黑"/>
          <w:kern w:val="2"/>
          <w:szCs w:val="21"/>
        </w:rPr>
        <w:t>1.7.1断路器/隔离手车动触头技术要求：</w:t>
      </w:r>
    </w:p>
    <w:p w14:paraId="3B78D03B">
      <w:pPr>
        <w:pStyle w:val="5"/>
        <w:spacing w:line="360" w:lineRule="exact"/>
        <w:ind w:firstLine="0"/>
        <w:rPr>
          <w:rFonts w:ascii="微软雅黑" w:hAnsi="微软雅黑" w:eastAsia="微软雅黑"/>
          <w:kern w:val="2"/>
          <w:szCs w:val="21"/>
        </w:rPr>
      </w:pPr>
      <w:r>
        <w:rPr>
          <w:rFonts w:hint="eastAsia" w:ascii="微软雅黑" w:hAnsi="微软雅黑" w:eastAsia="微软雅黑"/>
          <w:kern w:val="2"/>
          <w:szCs w:val="21"/>
        </w:rPr>
        <w:t>材质要求：梅花触头材料为T2Y铜，单片触指厚度2.8±0.15mm（1250A及以下），3.0±0.15mm（1250A及以上）；弹簧材料：弹簧用不锈钢丝，无磁。</w:t>
      </w:r>
    </w:p>
    <w:p w14:paraId="481329D8">
      <w:pPr>
        <w:pStyle w:val="5"/>
        <w:spacing w:line="360" w:lineRule="exact"/>
        <w:ind w:firstLine="0"/>
        <w:rPr>
          <w:rFonts w:ascii="微软雅黑" w:hAnsi="微软雅黑" w:eastAsia="微软雅黑"/>
          <w:kern w:val="2"/>
          <w:szCs w:val="21"/>
        </w:rPr>
      </w:pPr>
      <w:r>
        <w:rPr>
          <w:rFonts w:hint="eastAsia" w:ascii="微软雅黑" w:hAnsi="微软雅黑" w:eastAsia="微软雅黑"/>
          <w:kern w:val="2"/>
          <w:szCs w:val="21"/>
        </w:rPr>
        <mc:AlternateContent>
          <mc:Choice Requires="wps">
            <w:drawing>
              <wp:anchor distT="0" distB="0" distL="114300" distR="114300" simplePos="0" relativeHeight="251659264" behindDoc="0" locked="0" layoutInCell="1" allowOverlap="1">
                <wp:simplePos x="0" y="0"/>
                <wp:positionH relativeFrom="column">
                  <wp:posOffset>7296150</wp:posOffset>
                </wp:positionH>
                <wp:positionV relativeFrom="paragraph">
                  <wp:posOffset>274955</wp:posOffset>
                </wp:positionV>
                <wp:extent cx="972820" cy="760095"/>
                <wp:effectExtent l="0" t="0" r="0" b="0"/>
                <wp:wrapNone/>
                <wp:docPr id="4" name="矩形 4"/>
                <wp:cNvGraphicFramePr/>
                <a:graphic xmlns:a="http://schemas.openxmlformats.org/drawingml/2006/main">
                  <a:graphicData uri="http://schemas.microsoft.com/office/word/2010/wordprocessingShape">
                    <wps:wsp>
                      <wps:cNvSpPr>
                        <a:spLocks noChangeArrowheads="1"/>
                      </wps:cNvSpPr>
                      <wps:spPr bwMode="auto">
                        <a:xfrm>
                          <a:off x="0" y="0"/>
                          <a:ext cx="972820" cy="760095"/>
                        </a:xfrm>
                        <a:prstGeom prst="rect">
                          <a:avLst/>
                        </a:prstGeom>
                        <a:no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74.5pt;margin-top:21.65pt;height:59.85pt;width:76.6pt;z-index:251659264;mso-width-relative:page;mso-height-relative:page;" filled="f" stroked="f" coordsize="21600,21600" o:gfxdata="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awpNfcAAAADAEAAA8AAAAAAAAAAQAgAAAA&#10;IgAAAGRycy9kb3ducmV2LnhtbFBLAQIUABQAAAAIAIdO4kCSuLTkBwIAAPwDAAAOAAAAAAAAAAEA&#10;IAAAACsBAABkcnMvZTJvRG9jLnhtbFBLBQYAAAAABgAGAFkBAACkBQAAAAA=&#10;">
                <v:fill on="f" focussize="0,0"/>
                <v:stroke on="f"/>
                <v:imagedata o:title=""/>
                <o:lock v:ext="edit" aspectratio="f"/>
              </v:rect>
            </w:pict>
          </mc:Fallback>
        </mc:AlternateContent>
      </w:r>
      <w:r>
        <w:rPr>
          <w:rFonts w:hint="eastAsia" w:ascii="微软雅黑" w:hAnsi="微软雅黑" w:eastAsia="微软雅黑"/>
          <w:kern w:val="2"/>
          <w:szCs w:val="21"/>
        </w:rPr>
        <w:t>梅花触头表面要求：触头接触表面其粗糙度不高于Ra：3.2；触头接触表面镀银层厚度为15-20μm。</w:t>
      </w:r>
    </w:p>
    <w:p w14:paraId="2A80DB55">
      <w:pPr>
        <w:pStyle w:val="5"/>
        <w:spacing w:line="360" w:lineRule="exact"/>
        <w:ind w:firstLine="0"/>
        <w:rPr>
          <w:rFonts w:ascii="微软雅黑" w:hAnsi="微软雅黑" w:eastAsia="微软雅黑"/>
          <w:kern w:val="2"/>
          <w:szCs w:val="21"/>
        </w:rPr>
      </w:pPr>
      <w:r>
        <w:rPr>
          <w:rFonts w:hint="eastAsia" w:ascii="微软雅黑" w:hAnsi="微软雅黑" w:eastAsia="微软雅黑"/>
          <w:kern w:val="2"/>
          <w:szCs w:val="21"/>
        </w:rPr>
        <w:t>梅花触头弹簧的要求：弹簧的尺寸及力符合设计要求；在正常工作环境下不出现永久变形及弹簧力明显减小；梅花触头支架铆钉牢固，触指和支架间装配良好，不松动。</w:t>
      </w:r>
    </w:p>
    <w:p w14:paraId="701456A0">
      <w:pPr>
        <w:pStyle w:val="5"/>
        <w:spacing w:line="360" w:lineRule="exact"/>
        <w:ind w:firstLine="0"/>
        <w:rPr>
          <w:rFonts w:ascii="微软雅黑" w:hAnsi="微软雅黑" w:eastAsia="微软雅黑"/>
          <w:kern w:val="2"/>
          <w:szCs w:val="21"/>
        </w:rPr>
      </w:pPr>
      <w:r>
        <w:rPr>
          <w:rFonts w:hint="eastAsia" w:ascii="微软雅黑" w:hAnsi="微软雅黑" w:eastAsia="微软雅黑"/>
          <w:kern w:val="2"/>
          <w:szCs w:val="21"/>
        </w:rPr>
        <w:t>常用规格的断路器梅花触头的结构参数及性能如下表：</w:t>
      </w:r>
    </w:p>
    <w:tbl>
      <w:tblPr>
        <w:tblStyle w:val="10"/>
        <w:tblW w:w="0" w:type="auto"/>
        <w:jc w:val="center"/>
        <w:tblLayout w:type="fixed"/>
        <w:tblCellMar>
          <w:top w:w="0" w:type="dxa"/>
          <w:left w:w="0" w:type="dxa"/>
          <w:bottom w:w="0" w:type="dxa"/>
          <w:right w:w="0" w:type="dxa"/>
        </w:tblCellMar>
      </w:tblPr>
      <w:tblGrid>
        <w:gridCol w:w="3658"/>
        <w:gridCol w:w="1470"/>
        <w:gridCol w:w="1335"/>
        <w:gridCol w:w="1785"/>
      </w:tblGrid>
      <w:tr w14:paraId="1DB30191">
        <w:tblPrEx>
          <w:tblCellMar>
            <w:top w:w="0" w:type="dxa"/>
            <w:left w:w="0" w:type="dxa"/>
            <w:bottom w:w="0" w:type="dxa"/>
            <w:right w:w="0" w:type="dxa"/>
          </w:tblCellMar>
        </w:tblPrEx>
        <w:trPr>
          <w:trHeight w:val="285" w:hRule="atLeast"/>
          <w:jc w:val="center"/>
        </w:trPr>
        <w:tc>
          <w:tcPr>
            <w:tcW w:w="36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0AF00A">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技术参数、尺寸、规格</w:t>
            </w:r>
          </w:p>
        </w:tc>
        <w:tc>
          <w:tcPr>
            <w:tcW w:w="14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2B19819B">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1250</w:t>
            </w:r>
          </w:p>
        </w:tc>
        <w:tc>
          <w:tcPr>
            <w:tcW w:w="13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541C9D3A">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2000</w:t>
            </w:r>
          </w:p>
        </w:tc>
        <w:tc>
          <w:tcPr>
            <w:tcW w:w="1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4F453224">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2500</w:t>
            </w:r>
          </w:p>
        </w:tc>
      </w:tr>
      <w:tr w14:paraId="696A7CAE">
        <w:tblPrEx>
          <w:tblCellMar>
            <w:top w:w="0" w:type="dxa"/>
            <w:left w:w="0" w:type="dxa"/>
            <w:bottom w:w="0" w:type="dxa"/>
            <w:right w:w="0" w:type="dxa"/>
          </w:tblCellMar>
        </w:tblPrEx>
        <w:trPr>
          <w:trHeight w:val="285" w:hRule="atLeast"/>
          <w:jc w:val="center"/>
        </w:trPr>
        <w:tc>
          <w:tcPr>
            <w:tcW w:w="365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0D7D5107">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额定电流（A）</w:t>
            </w:r>
          </w:p>
        </w:tc>
        <w:tc>
          <w:tcPr>
            <w:tcW w:w="14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248B3E03">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1250</w:t>
            </w:r>
          </w:p>
        </w:tc>
        <w:tc>
          <w:tcPr>
            <w:tcW w:w="13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3FAC862F">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2000</w:t>
            </w:r>
          </w:p>
        </w:tc>
        <w:tc>
          <w:tcPr>
            <w:tcW w:w="1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3062ABD8">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2500</w:t>
            </w:r>
          </w:p>
        </w:tc>
      </w:tr>
      <w:tr w14:paraId="136A9E03">
        <w:tblPrEx>
          <w:tblCellMar>
            <w:top w:w="0" w:type="dxa"/>
            <w:left w:w="0" w:type="dxa"/>
            <w:bottom w:w="0" w:type="dxa"/>
            <w:right w:w="0" w:type="dxa"/>
          </w:tblCellMar>
        </w:tblPrEx>
        <w:trPr>
          <w:trHeight w:val="285" w:hRule="atLeast"/>
          <w:jc w:val="center"/>
        </w:trPr>
        <w:tc>
          <w:tcPr>
            <w:tcW w:w="365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73A7E553">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与触臂接触点闭合圆直径</w:t>
            </w:r>
          </w:p>
        </w:tc>
        <w:tc>
          <w:tcPr>
            <w:tcW w:w="14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2035D9D8">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φ40.5</w:t>
            </w:r>
          </w:p>
        </w:tc>
        <w:tc>
          <w:tcPr>
            <w:tcW w:w="13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576C8CFB">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φ70.5</w:t>
            </w:r>
          </w:p>
        </w:tc>
        <w:tc>
          <w:tcPr>
            <w:tcW w:w="1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708600B2">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φ100.5</w:t>
            </w:r>
          </w:p>
        </w:tc>
      </w:tr>
      <w:tr w14:paraId="60E60CC9">
        <w:tblPrEx>
          <w:tblCellMar>
            <w:top w:w="0" w:type="dxa"/>
            <w:left w:w="0" w:type="dxa"/>
            <w:bottom w:w="0" w:type="dxa"/>
            <w:right w:w="0" w:type="dxa"/>
          </w:tblCellMar>
        </w:tblPrEx>
        <w:trPr>
          <w:trHeight w:val="285" w:hRule="atLeast"/>
          <w:jc w:val="center"/>
        </w:trPr>
        <w:tc>
          <w:tcPr>
            <w:tcW w:w="365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31399CFB">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与静触头接触点闭合圆直径</w:t>
            </w:r>
          </w:p>
        </w:tc>
        <w:tc>
          <w:tcPr>
            <w:tcW w:w="14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607EBF94">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φ47.5</w:t>
            </w:r>
          </w:p>
        </w:tc>
        <w:tc>
          <w:tcPr>
            <w:tcW w:w="13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07F8C07E">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φ77.5</w:t>
            </w:r>
          </w:p>
        </w:tc>
        <w:tc>
          <w:tcPr>
            <w:tcW w:w="1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52B956B4">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φ107.5</w:t>
            </w:r>
          </w:p>
        </w:tc>
      </w:tr>
      <w:tr w14:paraId="74689024">
        <w:tblPrEx>
          <w:tblCellMar>
            <w:top w:w="0" w:type="dxa"/>
            <w:left w:w="0" w:type="dxa"/>
            <w:bottom w:w="0" w:type="dxa"/>
            <w:right w:w="0" w:type="dxa"/>
          </w:tblCellMar>
        </w:tblPrEx>
        <w:trPr>
          <w:trHeight w:val="285" w:hRule="atLeast"/>
          <w:jc w:val="center"/>
        </w:trPr>
        <w:tc>
          <w:tcPr>
            <w:tcW w:w="365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2C291FF0">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最大外径</w:t>
            </w:r>
          </w:p>
        </w:tc>
        <w:tc>
          <w:tcPr>
            <w:tcW w:w="14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37CEB2EA">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φ88</w:t>
            </w:r>
          </w:p>
        </w:tc>
        <w:tc>
          <w:tcPr>
            <w:tcW w:w="13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48F7E0BC">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φ129</w:t>
            </w:r>
          </w:p>
        </w:tc>
        <w:tc>
          <w:tcPr>
            <w:tcW w:w="1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5C2D05D0">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φ158</w:t>
            </w:r>
          </w:p>
        </w:tc>
      </w:tr>
      <w:tr w14:paraId="6C4FF705">
        <w:tblPrEx>
          <w:tblCellMar>
            <w:top w:w="0" w:type="dxa"/>
            <w:left w:w="0" w:type="dxa"/>
            <w:bottom w:w="0" w:type="dxa"/>
            <w:right w:w="0" w:type="dxa"/>
          </w:tblCellMar>
        </w:tblPrEx>
        <w:trPr>
          <w:trHeight w:val="285" w:hRule="atLeast"/>
          <w:jc w:val="center"/>
        </w:trPr>
        <w:tc>
          <w:tcPr>
            <w:tcW w:w="365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75BECEBB">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配动触臂直径</w:t>
            </w:r>
          </w:p>
        </w:tc>
        <w:tc>
          <w:tcPr>
            <w:tcW w:w="14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42B86520">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φ42</w:t>
            </w:r>
          </w:p>
        </w:tc>
        <w:tc>
          <w:tcPr>
            <w:tcW w:w="13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51BF3224">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φ72</w:t>
            </w:r>
          </w:p>
        </w:tc>
        <w:tc>
          <w:tcPr>
            <w:tcW w:w="1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4DF1370D">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φ102</w:t>
            </w:r>
          </w:p>
        </w:tc>
      </w:tr>
      <w:tr w14:paraId="5679677D">
        <w:tblPrEx>
          <w:tblCellMar>
            <w:top w:w="0" w:type="dxa"/>
            <w:left w:w="0" w:type="dxa"/>
            <w:bottom w:w="0" w:type="dxa"/>
            <w:right w:w="0" w:type="dxa"/>
          </w:tblCellMar>
        </w:tblPrEx>
        <w:trPr>
          <w:trHeight w:val="285" w:hRule="atLeast"/>
          <w:jc w:val="center"/>
        </w:trPr>
        <w:tc>
          <w:tcPr>
            <w:tcW w:w="365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7291940D">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配静触臂直径</w:t>
            </w:r>
          </w:p>
        </w:tc>
        <w:tc>
          <w:tcPr>
            <w:tcW w:w="14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7EA338B9">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φ49</w:t>
            </w:r>
          </w:p>
        </w:tc>
        <w:tc>
          <w:tcPr>
            <w:tcW w:w="13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7A115F0E">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φ79</w:t>
            </w:r>
          </w:p>
        </w:tc>
        <w:tc>
          <w:tcPr>
            <w:tcW w:w="1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2B14F9CF">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φ109</w:t>
            </w:r>
          </w:p>
        </w:tc>
      </w:tr>
      <w:tr w14:paraId="32C42BDB">
        <w:tblPrEx>
          <w:tblCellMar>
            <w:top w:w="0" w:type="dxa"/>
            <w:left w:w="0" w:type="dxa"/>
            <w:bottom w:w="0" w:type="dxa"/>
            <w:right w:w="0" w:type="dxa"/>
          </w:tblCellMar>
        </w:tblPrEx>
        <w:trPr>
          <w:trHeight w:val="285" w:hRule="atLeast"/>
          <w:jc w:val="center"/>
        </w:trPr>
        <w:tc>
          <w:tcPr>
            <w:tcW w:w="365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098CBFBF">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触指片数</w:t>
            </w:r>
          </w:p>
        </w:tc>
        <w:tc>
          <w:tcPr>
            <w:tcW w:w="14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4295F48C">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30</w:t>
            </w:r>
          </w:p>
        </w:tc>
        <w:tc>
          <w:tcPr>
            <w:tcW w:w="13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3BCF961A">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48</w:t>
            </w:r>
          </w:p>
        </w:tc>
        <w:tc>
          <w:tcPr>
            <w:tcW w:w="1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6317ED48">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54</w:t>
            </w:r>
          </w:p>
        </w:tc>
      </w:tr>
    </w:tbl>
    <w:p w14:paraId="2156FAC4">
      <w:pPr>
        <w:pStyle w:val="5"/>
        <w:spacing w:line="360" w:lineRule="exact"/>
        <w:ind w:firstLine="0"/>
        <w:rPr>
          <w:rFonts w:ascii="微软雅黑" w:hAnsi="微软雅黑" w:eastAsia="微软雅黑"/>
          <w:kern w:val="2"/>
          <w:szCs w:val="21"/>
        </w:rPr>
      </w:pPr>
      <w:r>
        <w:rPr>
          <w:rFonts w:hint="eastAsia" w:ascii="微软雅黑" w:hAnsi="微软雅黑" w:eastAsia="微软雅黑"/>
          <w:kern w:val="2"/>
          <w:szCs w:val="21"/>
        </w:rPr>
        <w:t>1.7.2断路器/隔离手车触臂技术要求：</w:t>
      </w:r>
    </w:p>
    <w:p w14:paraId="4A1DEC77">
      <w:pPr>
        <w:pStyle w:val="5"/>
        <w:spacing w:line="360" w:lineRule="exact"/>
        <w:ind w:firstLine="0"/>
        <w:rPr>
          <w:rFonts w:ascii="微软雅黑" w:hAnsi="微软雅黑" w:eastAsia="微软雅黑"/>
          <w:kern w:val="2"/>
          <w:szCs w:val="21"/>
        </w:rPr>
      </w:pPr>
      <w:r>
        <w:rPr>
          <w:rFonts w:hint="eastAsia" w:ascii="微软雅黑" w:hAnsi="微软雅黑" w:eastAsia="微软雅黑"/>
          <w:kern w:val="2"/>
          <w:szCs w:val="21"/>
        </w:rPr>
        <w:t>材质要求：触臂材料为T2Y铜；外圆表面非接触采用硫化处理，硫化绝缘粉末（如CZ1531-2），厚度为1.2-1.5mm；固定接触面与触臂一体成型。</w:t>
      </w:r>
    </w:p>
    <w:p w14:paraId="30495379">
      <w:pPr>
        <w:pStyle w:val="5"/>
        <w:spacing w:line="360" w:lineRule="exact"/>
        <w:ind w:firstLine="0"/>
        <w:rPr>
          <w:rFonts w:ascii="微软雅黑" w:hAnsi="微软雅黑" w:eastAsia="微软雅黑"/>
          <w:kern w:val="2"/>
          <w:szCs w:val="21"/>
        </w:rPr>
      </w:pPr>
      <w:r>
        <w:rPr>
          <w:rFonts w:hint="eastAsia" w:ascii="微软雅黑" w:hAnsi="微软雅黑" w:eastAsia="微软雅黑"/>
          <w:kern w:val="2"/>
          <w:szCs w:val="21"/>
        </w:rPr>
        <w:t>触臂表面要求：触头接触表面其粗糙度不高于Ra：3.2；触头接触表面镀银层厚度为15-20μm，其它表面镀银层厚度为不小于8μm。触臂厚度大于5mm。</w:t>
      </w:r>
    </w:p>
    <w:p w14:paraId="727202A9">
      <w:pPr>
        <w:pStyle w:val="5"/>
        <w:spacing w:line="360" w:lineRule="exact"/>
        <w:ind w:firstLine="0"/>
        <w:rPr>
          <w:rFonts w:ascii="微软雅黑" w:hAnsi="微软雅黑" w:eastAsia="微软雅黑"/>
          <w:kern w:val="2"/>
          <w:szCs w:val="21"/>
        </w:rPr>
      </w:pPr>
      <w:r>
        <w:rPr>
          <w:rFonts w:hint="eastAsia" w:ascii="微软雅黑" w:hAnsi="微软雅黑" w:eastAsia="微软雅黑"/>
          <w:kern w:val="2"/>
          <w:szCs w:val="21"/>
        </w:rPr>
        <w:t>常用规格的断路器触臂的结构参数及性能如下表：</w:t>
      </w:r>
    </w:p>
    <w:tbl>
      <w:tblPr>
        <w:tblStyle w:val="10"/>
        <w:tblW w:w="0" w:type="auto"/>
        <w:jc w:val="center"/>
        <w:tblLayout w:type="fixed"/>
        <w:tblCellMar>
          <w:top w:w="0" w:type="dxa"/>
          <w:left w:w="0" w:type="dxa"/>
          <w:bottom w:w="0" w:type="dxa"/>
          <w:right w:w="0" w:type="dxa"/>
        </w:tblCellMar>
      </w:tblPr>
      <w:tblGrid>
        <w:gridCol w:w="3703"/>
        <w:gridCol w:w="1470"/>
        <w:gridCol w:w="1320"/>
        <w:gridCol w:w="1815"/>
      </w:tblGrid>
      <w:tr w14:paraId="53B4C378">
        <w:tblPrEx>
          <w:tblCellMar>
            <w:top w:w="0" w:type="dxa"/>
            <w:left w:w="0" w:type="dxa"/>
            <w:bottom w:w="0" w:type="dxa"/>
            <w:right w:w="0" w:type="dxa"/>
          </w:tblCellMar>
        </w:tblPrEx>
        <w:trPr>
          <w:trHeight w:val="385" w:hRule="atLeast"/>
          <w:jc w:val="center"/>
        </w:trPr>
        <w:tc>
          <w:tcPr>
            <w:tcW w:w="37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14:paraId="034E3F2D">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技术参数、尺寸、规格</w:t>
            </w:r>
          </w:p>
        </w:tc>
        <w:tc>
          <w:tcPr>
            <w:tcW w:w="14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2F6F1663">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1250</w:t>
            </w:r>
          </w:p>
        </w:tc>
        <w:tc>
          <w:tcPr>
            <w:tcW w:w="13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1EAFA563">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2000</w:t>
            </w:r>
          </w:p>
        </w:tc>
        <w:tc>
          <w:tcPr>
            <w:tcW w:w="18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7308BA15">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2500</w:t>
            </w:r>
          </w:p>
        </w:tc>
      </w:tr>
      <w:tr w14:paraId="71F8BE5B">
        <w:tblPrEx>
          <w:tblCellMar>
            <w:top w:w="0" w:type="dxa"/>
            <w:left w:w="0" w:type="dxa"/>
            <w:bottom w:w="0" w:type="dxa"/>
            <w:right w:w="0" w:type="dxa"/>
          </w:tblCellMar>
        </w:tblPrEx>
        <w:trPr>
          <w:trHeight w:val="285" w:hRule="atLeast"/>
          <w:jc w:val="center"/>
        </w:trPr>
        <w:tc>
          <w:tcPr>
            <w:tcW w:w="370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50D3F110">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额定电流（A）</w:t>
            </w:r>
          </w:p>
        </w:tc>
        <w:tc>
          <w:tcPr>
            <w:tcW w:w="14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0CA7559D">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1250</w:t>
            </w:r>
          </w:p>
        </w:tc>
        <w:tc>
          <w:tcPr>
            <w:tcW w:w="13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4E463BD8">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2000</w:t>
            </w:r>
          </w:p>
        </w:tc>
        <w:tc>
          <w:tcPr>
            <w:tcW w:w="18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6F8C0E01">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2500</w:t>
            </w:r>
          </w:p>
        </w:tc>
      </w:tr>
      <w:tr w14:paraId="2A89B1FA">
        <w:tblPrEx>
          <w:tblCellMar>
            <w:top w:w="0" w:type="dxa"/>
            <w:left w:w="0" w:type="dxa"/>
            <w:bottom w:w="0" w:type="dxa"/>
            <w:right w:w="0" w:type="dxa"/>
          </w:tblCellMar>
        </w:tblPrEx>
        <w:trPr>
          <w:trHeight w:val="285" w:hRule="atLeast"/>
          <w:jc w:val="center"/>
        </w:trPr>
        <w:tc>
          <w:tcPr>
            <w:tcW w:w="370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74592ACC">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触臂接触点闭合圆直径</w:t>
            </w:r>
          </w:p>
        </w:tc>
        <w:tc>
          <w:tcPr>
            <w:tcW w:w="14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7420C1DA">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φ40.5</w:t>
            </w:r>
          </w:p>
        </w:tc>
        <w:tc>
          <w:tcPr>
            <w:tcW w:w="13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4FF937FA">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φ70.5</w:t>
            </w:r>
          </w:p>
        </w:tc>
        <w:tc>
          <w:tcPr>
            <w:tcW w:w="18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0BA3D005">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φ100.5</w:t>
            </w:r>
          </w:p>
        </w:tc>
      </w:tr>
      <w:tr w14:paraId="3860DDF7">
        <w:tblPrEx>
          <w:tblCellMar>
            <w:top w:w="0" w:type="dxa"/>
            <w:left w:w="0" w:type="dxa"/>
            <w:bottom w:w="0" w:type="dxa"/>
            <w:right w:w="0" w:type="dxa"/>
          </w:tblCellMar>
        </w:tblPrEx>
        <w:trPr>
          <w:trHeight w:val="285" w:hRule="atLeast"/>
          <w:jc w:val="center"/>
        </w:trPr>
        <w:tc>
          <w:tcPr>
            <w:tcW w:w="370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7F4CE21F">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配动触臂直径</w:t>
            </w:r>
          </w:p>
        </w:tc>
        <w:tc>
          <w:tcPr>
            <w:tcW w:w="14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143AB2BA">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φ42</w:t>
            </w:r>
          </w:p>
        </w:tc>
        <w:tc>
          <w:tcPr>
            <w:tcW w:w="13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4A310207">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φ72</w:t>
            </w:r>
          </w:p>
        </w:tc>
        <w:tc>
          <w:tcPr>
            <w:tcW w:w="18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54A3BC49">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φ102</w:t>
            </w:r>
          </w:p>
        </w:tc>
      </w:tr>
      <w:tr w14:paraId="0BF0C46B">
        <w:tblPrEx>
          <w:tblCellMar>
            <w:top w:w="0" w:type="dxa"/>
            <w:left w:w="0" w:type="dxa"/>
            <w:bottom w:w="0" w:type="dxa"/>
            <w:right w:w="0" w:type="dxa"/>
          </w:tblCellMar>
        </w:tblPrEx>
        <w:trPr>
          <w:trHeight w:val="285" w:hRule="atLeast"/>
          <w:jc w:val="center"/>
        </w:trPr>
        <w:tc>
          <w:tcPr>
            <w:tcW w:w="370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33BC21D3">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配静触臂直径</w:t>
            </w:r>
          </w:p>
        </w:tc>
        <w:tc>
          <w:tcPr>
            <w:tcW w:w="14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03463878">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φ49</w:t>
            </w:r>
          </w:p>
        </w:tc>
        <w:tc>
          <w:tcPr>
            <w:tcW w:w="13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79CEEDC2">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φ79</w:t>
            </w:r>
          </w:p>
        </w:tc>
        <w:tc>
          <w:tcPr>
            <w:tcW w:w="181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54668B3E">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φ109</w:t>
            </w:r>
          </w:p>
        </w:tc>
      </w:tr>
    </w:tbl>
    <w:p w14:paraId="7062C3A9">
      <w:pPr>
        <w:pStyle w:val="5"/>
        <w:spacing w:line="360" w:lineRule="exact"/>
        <w:ind w:firstLine="0"/>
        <w:rPr>
          <w:rFonts w:ascii="微软雅黑" w:hAnsi="微软雅黑" w:eastAsia="微软雅黑"/>
          <w:kern w:val="2"/>
          <w:szCs w:val="21"/>
        </w:rPr>
      </w:pPr>
      <w:r>
        <w:rPr>
          <w:rFonts w:hint="eastAsia" w:ascii="微软雅黑" w:hAnsi="微软雅黑" w:eastAsia="微软雅黑"/>
          <w:kern w:val="2"/>
          <w:szCs w:val="21"/>
        </w:rPr>
        <w:t>1.7.3断路器/隔离手车静触头技术要求：</w:t>
      </w:r>
    </w:p>
    <w:p w14:paraId="780FCD95">
      <w:pPr>
        <w:pStyle w:val="5"/>
        <w:spacing w:line="360" w:lineRule="exact"/>
        <w:ind w:firstLine="0"/>
        <w:rPr>
          <w:rFonts w:ascii="微软雅黑" w:hAnsi="微软雅黑" w:eastAsia="微软雅黑"/>
          <w:kern w:val="2"/>
          <w:szCs w:val="21"/>
        </w:rPr>
      </w:pPr>
      <w:r>
        <w:rPr>
          <w:rFonts w:hint="eastAsia" w:ascii="微软雅黑" w:hAnsi="微软雅黑" w:eastAsia="微软雅黑"/>
          <w:kern w:val="2"/>
          <w:szCs w:val="21"/>
        </w:rPr>
        <w:t>材质要求：静触头材料为T2Y铜；采用整体冷压成型工艺，固定接触面与静触头一体成型。</w:t>
      </w:r>
    </w:p>
    <w:p w14:paraId="5B1BD446">
      <w:pPr>
        <w:pStyle w:val="5"/>
        <w:spacing w:line="360" w:lineRule="exact"/>
        <w:ind w:firstLine="0"/>
        <w:rPr>
          <w:rFonts w:ascii="微软雅黑" w:hAnsi="微软雅黑" w:eastAsia="微软雅黑"/>
          <w:kern w:val="2"/>
          <w:szCs w:val="21"/>
        </w:rPr>
      </w:pPr>
      <w:r>
        <w:rPr>
          <w:rFonts w:hint="eastAsia" w:ascii="微软雅黑" w:hAnsi="微软雅黑" w:eastAsia="微软雅黑"/>
          <w:kern w:val="2"/>
          <w:szCs w:val="21"/>
        </w:rPr>
        <mc:AlternateContent>
          <mc:Choice Requires="wps">
            <w:drawing>
              <wp:anchor distT="0" distB="0" distL="114300" distR="114300" simplePos="0" relativeHeight="251660288" behindDoc="0" locked="0" layoutInCell="1" allowOverlap="1">
                <wp:simplePos x="0" y="0"/>
                <wp:positionH relativeFrom="column">
                  <wp:posOffset>4124325</wp:posOffset>
                </wp:positionH>
                <wp:positionV relativeFrom="paragraph">
                  <wp:posOffset>287020</wp:posOffset>
                </wp:positionV>
                <wp:extent cx="1495425" cy="323850"/>
                <wp:effectExtent l="0" t="0" r="0" b="0"/>
                <wp:wrapNone/>
                <wp:docPr id="2" name="矩形 2"/>
                <wp:cNvGraphicFramePr/>
                <a:graphic xmlns:a="http://schemas.openxmlformats.org/drawingml/2006/main">
                  <a:graphicData uri="http://schemas.microsoft.com/office/word/2010/wordprocessingShape">
                    <wps:wsp>
                      <wps:cNvSpPr>
                        <a:spLocks noChangeArrowheads="1"/>
                      </wps:cNvSpPr>
                      <wps:spPr bwMode="auto">
                        <a:xfrm>
                          <a:off x="0" y="0"/>
                          <a:ext cx="1495425" cy="323850"/>
                        </a:xfrm>
                        <a:prstGeom prst="rect">
                          <a:avLst/>
                        </a:prstGeom>
                        <a:no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24.75pt;margin-top:22.6pt;height:25.5pt;width:117.75pt;z-index:251660288;mso-width-relative:page;mso-height-relative:page;" filled="f" stroked="f" coordsize="21600,21600" o:gfxdata="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ENVyBvaAAAACQEAAA8AAAAAAAAAAQAgAAAA&#10;IgAAAGRycy9kb3ducmV2LnhtbFBLAQIUABQAAAAIAIdO4kCDNcYBCQIAAP0DAAAOAAAAAAAAAAEA&#10;IAAAACkBAABkcnMvZTJvRG9jLnhtbFBLBQYAAAAABgAGAFkBAACkBQAAAAA=&#10;">
                <v:fill on="f" focussize="0,0"/>
                <v:stroke on="f"/>
                <v:imagedata o:title=""/>
                <o:lock v:ext="edit" aspectratio="f"/>
              </v:rect>
            </w:pict>
          </mc:Fallback>
        </mc:AlternateContent>
      </w:r>
      <w:r>
        <w:rPr>
          <w:rFonts w:hint="eastAsia" w:ascii="微软雅黑" w:hAnsi="微软雅黑" w:eastAsia="微软雅黑"/>
          <w:kern w:val="2"/>
          <w:szCs w:val="21"/>
        </w:rPr>
        <w:t>静触头表面要求：触头接触表面其粗糙度不高于Ra：3.2；触头接触表面镀银层厚度为15-20μm，其它表面镀银层厚度为不小于8μm；静触头厚度大于5mm。</w:t>
      </w:r>
    </w:p>
    <w:p w14:paraId="59B21865">
      <w:pPr>
        <w:pStyle w:val="5"/>
        <w:spacing w:line="360" w:lineRule="exact"/>
        <w:ind w:firstLine="0"/>
        <w:rPr>
          <w:rFonts w:ascii="微软雅黑" w:hAnsi="微软雅黑" w:eastAsia="微软雅黑"/>
          <w:kern w:val="2"/>
          <w:szCs w:val="21"/>
        </w:rPr>
      </w:pPr>
      <w:r>
        <w:rPr>
          <w:rFonts w:hint="eastAsia" w:ascii="微软雅黑" w:hAnsi="微软雅黑" w:eastAsia="微软雅黑"/>
          <w:kern w:val="2"/>
          <w:szCs w:val="21"/>
        </w:rPr>
        <w:t>常用规格的断路器静触头的结构参数及性能如下表：</w:t>
      </w:r>
    </w:p>
    <w:tbl>
      <w:tblPr>
        <w:tblStyle w:val="10"/>
        <w:tblW w:w="0" w:type="auto"/>
        <w:jc w:val="center"/>
        <w:tblLayout w:type="fixed"/>
        <w:tblCellMar>
          <w:top w:w="0" w:type="dxa"/>
          <w:left w:w="0" w:type="dxa"/>
          <w:bottom w:w="0" w:type="dxa"/>
          <w:right w:w="0" w:type="dxa"/>
        </w:tblCellMar>
      </w:tblPr>
      <w:tblGrid>
        <w:gridCol w:w="3688"/>
        <w:gridCol w:w="1485"/>
        <w:gridCol w:w="1335"/>
        <w:gridCol w:w="1800"/>
      </w:tblGrid>
      <w:tr w14:paraId="1C6F8C58">
        <w:tblPrEx>
          <w:tblCellMar>
            <w:top w:w="0" w:type="dxa"/>
            <w:left w:w="0" w:type="dxa"/>
            <w:bottom w:w="0" w:type="dxa"/>
            <w:right w:w="0" w:type="dxa"/>
          </w:tblCellMar>
        </w:tblPrEx>
        <w:trPr>
          <w:trHeight w:val="400" w:hRule="atLeast"/>
          <w:jc w:val="center"/>
        </w:trPr>
        <w:tc>
          <w:tcPr>
            <w:tcW w:w="36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14:paraId="5116A76F">
            <w:pPr>
              <w:spacing w:line="360" w:lineRule="auto"/>
              <w:ind w:firstLine="210" w:firstLineChars="100"/>
              <w:jc w:val="center"/>
              <w:rPr>
                <w:rFonts w:ascii="微软雅黑" w:hAnsi="微软雅黑" w:eastAsia="微软雅黑"/>
                <w:kern w:val="0"/>
                <w:szCs w:val="21"/>
              </w:rPr>
            </w:pPr>
            <w:r>
              <w:rPr>
                <w:rFonts w:hint="eastAsia" w:ascii="微软雅黑" w:hAnsi="微软雅黑" w:eastAsia="微软雅黑"/>
                <w:kern w:val="0"/>
                <w:szCs w:val="21"/>
              </w:rPr>
              <w:t>技术参数、尺寸、规格</w:t>
            </w:r>
          </w:p>
        </w:tc>
        <w:tc>
          <w:tcPr>
            <w:tcW w:w="14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02246BBD">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1250</w:t>
            </w:r>
          </w:p>
        </w:tc>
        <w:tc>
          <w:tcPr>
            <w:tcW w:w="13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487FFB0A">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2000</w:t>
            </w:r>
          </w:p>
        </w:tc>
        <w:tc>
          <w:tcPr>
            <w:tcW w:w="18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37249F41">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2500</w:t>
            </w:r>
          </w:p>
        </w:tc>
      </w:tr>
      <w:tr w14:paraId="2864D601">
        <w:tblPrEx>
          <w:tblCellMar>
            <w:top w:w="0" w:type="dxa"/>
            <w:left w:w="0" w:type="dxa"/>
            <w:bottom w:w="0" w:type="dxa"/>
            <w:right w:w="0" w:type="dxa"/>
          </w:tblCellMar>
        </w:tblPrEx>
        <w:trPr>
          <w:trHeight w:val="285" w:hRule="atLeast"/>
          <w:jc w:val="center"/>
        </w:trPr>
        <w:tc>
          <w:tcPr>
            <w:tcW w:w="36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20B17D96">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额定电流（A）</w:t>
            </w:r>
          </w:p>
        </w:tc>
        <w:tc>
          <w:tcPr>
            <w:tcW w:w="14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32BFDCD7">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1250</w:t>
            </w:r>
          </w:p>
        </w:tc>
        <w:tc>
          <w:tcPr>
            <w:tcW w:w="13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331BC1A1">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2000</w:t>
            </w:r>
          </w:p>
        </w:tc>
        <w:tc>
          <w:tcPr>
            <w:tcW w:w="18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7BDC163F">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2500</w:t>
            </w:r>
          </w:p>
        </w:tc>
      </w:tr>
      <w:tr w14:paraId="7C298919">
        <w:tblPrEx>
          <w:tblCellMar>
            <w:top w:w="0" w:type="dxa"/>
            <w:left w:w="0" w:type="dxa"/>
            <w:bottom w:w="0" w:type="dxa"/>
            <w:right w:w="0" w:type="dxa"/>
          </w:tblCellMar>
        </w:tblPrEx>
        <w:trPr>
          <w:trHeight w:val="285" w:hRule="atLeast"/>
          <w:jc w:val="center"/>
        </w:trPr>
        <w:tc>
          <w:tcPr>
            <w:tcW w:w="36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19C2234D">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静触头直径</w:t>
            </w:r>
          </w:p>
        </w:tc>
        <w:tc>
          <w:tcPr>
            <w:tcW w:w="14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47069BCC">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Φ49</w:t>
            </w:r>
          </w:p>
        </w:tc>
        <w:tc>
          <w:tcPr>
            <w:tcW w:w="13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1D470BE7">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φ79</w:t>
            </w:r>
          </w:p>
        </w:tc>
        <w:tc>
          <w:tcPr>
            <w:tcW w:w="18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bottom"/>
          </w:tcPr>
          <w:p w14:paraId="376FA450">
            <w:pPr>
              <w:spacing w:line="360" w:lineRule="auto"/>
              <w:jc w:val="center"/>
              <w:rPr>
                <w:rFonts w:ascii="微软雅黑" w:hAnsi="微软雅黑" w:eastAsia="微软雅黑"/>
                <w:kern w:val="0"/>
                <w:szCs w:val="21"/>
              </w:rPr>
            </w:pPr>
            <w:r>
              <w:rPr>
                <w:rFonts w:hint="eastAsia" w:ascii="微软雅黑" w:hAnsi="微软雅黑" w:eastAsia="微软雅黑"/>
                <w:kern w:val="0"/>
                <w:szCs w:val="21"/>
              </w:rPr>
              <w:t>φ109</w:t>
            </w:r>
          </w:p>
        </w:tc>
      </w:tr>
    </w:tbl>
    <w:p w14:paraId="4D4CB781"/>
    <w:p w14:paraId="27222EAA">
      <w:pPr>
        <w:pStyle w:val="5"/>
      </w:pPr>
    </w:p>
    <w:p w14:paraId="076CE400">
      <w:pPr>
        <w:spacing w:line="360" w:lineRule="auto"/>
        <w:jc w:val="center"/>
        <w:rPr>
          <w:rFonts w:ascii="微软雅黑" w:hAnsi="微软雅黑" w:eastAsia="微软雅黑" w:cs="宋体"/>
          <w:b/>
          <w:szCs w:val="21"/>
        </w:rPr>
      </w:pPr>
      <w:r>
        <w:rPr>
          <w:rFonts w:hint="eastAsia" w:ascii="微软雅黑" w:hAnsi="微软雅黑" w:eastAsia="微软雅黑" w:cs="宋体"/>
          <w:b/>
          <w:szCs w:val="21"/>
        </w:rPr>
        <w:t>第二节 资料交付</w:t>
      </w:r>
    </w:p>
    <w:p w14:paraId="56F271FB">
      <w:pPr>
        <w:spacing w:line="360" w:lineRule="exact"/>
        <w:rPr>
          <w:rFonts w:ascii="微软雅黑" w:hAnsi="微软雅黑" w:eastAsia="微软雅黑" w:cs="宋体"/>
          <w:szCs w:val="21"/>
        </w:rPr>
      </w:pPr>
      <w:r>
        <w:rPr>
          <w:rFonts w:hint="eastAsia" w:ascii="微软雅黑" w:hAnsi="微软雅黑" w:eastAsia="微软雅黑" w:cs="宋体"/>
          <w:szCs w:val="21"/>
        </w:rPr>
        <w:t>2.1一般要求</w:t>
      </w:r>
    </w:p>
    <w:p w14:paraId="1DDAE69A">
      <w:pPr>
        <w:spacing w:line="360" w:lineRule="exact"/>
        <w:rPr>
          <w:rFonts w:ascii="微软雅黑" w:hAnsi="微软雅黑" w:eastAsia="微软雅黑" w:cs="宋体"/>
          <w:szCs w:val="21"/>
        </w:rPr>
      </w:pPr>
      <w:r>
        <w:rPr>
          <w:rFonts w:hint="eastAsia" w:ascii="微软雅黑" w:hAnsi="微软雅黑" w:eastAsia="微软雅黑" w:cs="宋体"/>
          <w:szCs w:val="21"/>
        </w:rPr>
        <w:t>2.1.1 乙方提供的资料应使用国家法定单位制即国际单位制，语言为中文。</w:t>
      </w:r>
    </w:p>
    <w:p w14:paraId="07CEBBF6">
      <w:pPr>
        <w:spacing w:line="360" w:lineRule="exact"/>
        <w:rPr>
          <w:rFonts w:ascii="微软雅黑" w:hAnsi="微软雅黑" w:eastAsia="微软雅黑" w:cs="宋体"/>
          <w:szCs w:val="21"/>
        </w:rPr>
      </w:pPr>
      <w:r>
        <w:rPr>
          <w:rFonts w:hint="eastAsia" w:ascii="微软雅黑" w:hAnsi="微软雅黑" w:eastAsia="微软雅黑" w:cs="宋体"/>
          <w:szCs w:val="21"/>
        </w:rPr>
        <w:t>2</w:t>
      </w:r>
      <w:r>
        <w:rPr>
          <w:rFonts w:ascii="微软雅黑" w:hAnsi="微软雅黑" w:eastAsia="微软雅黑" w:cs="宋体"/>
          <w:szCs w:val="21"/>
        </w:rPr>
        <w:t>.1.2资料的组织结构清晰、逻辑内容要正确、准确、一致、清晰、完整，满足工程要求。</w:t>
      </w:r>
    </w:p>
    <w:p w14:paraId="006BF94E">
      <w:pPr>
        <w:spacing w:line="360" w:lineRule="exact"/>
        <w:rPr>
          <w:rFonts w:ascii="微软雅黑" w:hAnsi="微软雅黑" w:eastAsia="微软雅黑" w:cs="宋体"/>
          <w:szCs w:val="21"/>
        </w:rPr>
      </w:pPr>
      <w:r>
        <w:rPr>
          <w:rFonts w:hint="eastAsia" w:ascii="微软雅黑" w:hAnsi="微软雅黑" w:eastAsia="微软雅黑" w:cs="宋体"/>
          <w:szCs w:val="21"/>
        </w:rPr>
        <w:t>2</w:t>
      </w:r>
      <w:r>
        <w:rPr>
          <w:rFonts w:ascii="微软雅黑" w:hAnsi="微软雅黑" w:eastAsia="微软雅黑" w:cs="宋体"/>
          <w:szCs w:val="21"/>
        </w:rPr>
        <w:t>.1.3乙方资料的提交及时充分，满足工程进度要求。</w:t>
      </w:r>
    </w:p>
    <w:p w14:paraId="294CE1E6">
      <w:pPr>
        <w:spacing w:line="360" w:lineRule="exact"/>
        <w:rPr>
          <w:rFonts w:ascii="微软雅黑" w:hAnsi="微软雅黑" w:eastAsia="微软雅黑" w:cs="宋体"/>
          <w:szCs w:val="21"/>
        </w:rPr>
      </w:pPr>
      <w:r>
        <w:rPr>
          <w:rFonts w:hint="eastAsia" w:ascii="微软雅黑" w:hAnsi="微软雅黑" w:eastAsia="微软雅黑" w:cs="宋体"/>
          <w:szCs w:val="21"/>
        </w:rPr>
        <w:t>2</w:t>
      </w:r>
      <w:r>
        <w:rPr>
          <w:rFonts w:ascii="微软雅黑" w:hAnsi="微软雅黑" w:eastAsia="微软雅黑" w:cs="宋体"/>
          <w:szCs w:val="21"/>
        </w:rPr>
        <w:t>.1.4对于其它没有列入合同技术资料清单，却是工程所必须的文件和资料，一经发现，乙方也应及时免费提供。</w:t>
      </w:r>
    </w:p>
    <w:p w14:paraId="18EF8E79">
      <w:pPr>
        <w:spacing w:line="360" w:lineRule="exact"/>
        <w:rPr>
          <w:rFonts w:ascii="微软雅黑" w:hAnsi="微软雅黑" w:eastAsia="微软雅黑" w:cs="宋体"/>
          <w:szCs w:val="21"/>
        </w:rPr>
      </w:pPr>
      <w:r>
        <w:rPr>
          <w:rFonts w:hint="eastAsia" w:ascii="微软雅黑" w:hAnsi="微软雅黑" w:eastAsia="微软雅黑" w:cs="宋体"/>
          <w:szCs w:val="21"/>
        </w:rPr>
        <w:t>2</w:t>
      </w:r>
      <w:r>
        <w:rPr>
          <w:rFonts w:ascii="微软雅黑" w:hAnsi="微软雅黑" w:eastAsia="微软雅黑" w:cs="宋体"/>
          <w:szCs w:val="21"/>
        </w:rPr>
        <w:t>.2具体要求</w:t>
      </w:r>
    </w:p>
    <w:p w14:paraId="18879E7E">
      <w:pPr>
        <w:spacing w:line="360" w:lineRule="exact"/>
        <w:rPr>
          <w:rFonts w:ascii="微软雅黑" w:hAnsi="微软雅黑" w:eastAsia="微软雅黑" w:cs="宋体"/>
          <w:szCs w:val="21"/>
        </w:rPr>
      </w:pPr>
      <w:r>
        <w:rPr>
          <w:rFonts w:hint="eastAsia" w:ascii="微软雅黑" w:hAnsi="微软雅黑" w:eastAsia="微软雅黑" w:cs="宋体"/>
          <w:szCs w:val="21"/>
        </w:rPr>
        <w:t>2</w:t>
      </w:r>
      <w:r>
        <w:rPr>
          <w:rFonts w:ascii="微软雅黑" w:hAnsi="微软雅黑" w:eastAsia="微软雅黑" w:cs="宋体"/>
          <w:szCs w:val="21"/>
        </w:rPr>
        <w:t>.2.1厂家在投标时必须提供的图纸资料。</w:t>
      </w:r>
    </w:p>
    <w:p w14:paraId="2116DD54">
      <w:pPr>
        <w:spacing w:line="360" w:lineRule="exact"/>
        <w:rPr>
          <w:rFonts w:ascii="微软雅黑" w:hAnsi="微软雅黑" w:eastAsia="微软雅黑" w:cs="宋体"/>
          <w:szCs w:val="21"/>
        </w:rPr>
      </w:pPr>
      <w:r>
        <w:rPr>
          <w:rFonts w:hint="eastAsia" w:ascii="微软雅黑" w:hAnsi="微软雅黑" w:eastAsia="微软雅黑" w:cs="宋体"/>
          <w:szCs w:val="21"/>
        </w:rPr>
        <w:t>2</w:t>
      </w:r>
      <w:r>
        <w:rPr>
          <w:rFonts w:ascii="微软雅黑" w:hAnsi="微软雅黑" w:eastAsia="微软雅黑" w:cs="宋体"/>
          <w:szCs w:val="21"/>
        </w:rPr>
        <w:t>.2.2产品型式试验报告、鉴定证书及产品使用说明书，并提供主要元器件的生产厂家及其主要参数。</w:t>
      </w:r>
    </w:p>
    <w:p w14:paraId="4EBF3B7E">
      <w:pPr>
        <w:spacing w:line="360" w:lineRule="exact"/>
        <w:rPr>
          <w:rFonts w:ascii="微软雅黑" w:hAnsi="微软雅黑" w:eastAsia="微软雅黑" w:cs="宋体"/>
          <w:szCs w:val="21"/>
        </w:rPr>
      </w:pPr>
      <w:r>
        <w:rPr>
          <w:rFonts w:hint="eastAsia" w:ascii="微软雅黑" w:hAnsi="微软雅黑" w:eastAsia="微软雅黑" w:cs="宋体"/>
          <w:szCs w:val="21"/>
        </w:rPr>
        <w:t>2</w:t>
      </w:r>
      <w:r>
        <w:rPr>
          <w:rFonts w:ascii="微软雅黑" w:hAnsi="微软雅黑" w:eastAsia="微软雅黑" w:cs="宋体"/>
          <w:szCs w:val="21"/>
        </w:rPr>
        <w:t>.2.3投标书中应提供产品生产厂的主要生产设备和试验仪器设备的厂家、主要参数、投入使用时间，以表格的型式表示。</w:t>
      </w:r>
    </w:p>
    <w:p w14:paraId="4BBE61CB">
      <w:pPr>
        <w:spacing w:line="360" w:lineRule="exact"/>
        <w:rPr>
          <w:rFonts w:ascii="微软雅黑" w:hAnsi="微软雅黑" w:eastAsia="微软雅黑" w:cs="宋体"/>
          <w:szCs w:val="21"/>
        </w:rPr>
      </w:pPr>
      <w:r>
        <w:rPr>
          <w:rFonts w:hint="eastAsia" w:ascii="微软雅黑" w:hAnsi="微软雅黑" w:eastAsia="微软雅黑" w:cs="宋体"/>
          <w:szCs w:val="21"/>
        </w:rPr>
        <w:t>2</w:t>
      </w:r>
      <w:r>
        <w:rPr>
          <w:rFonts w:ascii="微软雅黑" w:hAnsi="微软雅黑" w:eastAsia="微软雅黑" w:cs="宋体"/>
          <w:szCs w:val="21"/>
        </w:rPr>
        <w:t>.2.4乙方提供在设计、制造时所遵循的规范、标准和规定清单。</w:t>
      </w:r>
    </w:p>
    <w:p w14:paraId="7CF9EBB5">
      <w:pPr>
        <w:spacing w:line="360" w:lineRule="exact"/>
        <w:rPr>
          <w:rFonts w:ascii="微软雅黑" w:hAnsi="微软雅黑" w:eastAsia="微软雅黑" w:cs="宋体"/>
          <w:szCs w:val="21"/>
        </w:rPr>
      </w:pPr>
      <w:r>
        <w:rPr>
          <w:rFonts w:hint="eastAsia" w:ascii="微软雅黑" w:hAnsi="微软雅黑" w:eastAsia="微软雅黑" w:cs="宋体"/>
          <w:szCs w:val="21"/>
        </w:rPr>
        <w:t>2</w:t>
      </w:r>
      <w:r>
        <w:rPr>
          <w:rFonts w:ascii="微软雅黑" w:hAnsi="微软雅黑" w:eastAsia="微软雅黑" w:cs="宋体"/>
          <w:szCs w:val="21"/>
        </w:rPr>
        <w:t>.2.5详细的产品质量文件，外形尺寸和性能检验等的证明。</w:t>
      </w:r>
    </w:p>
    <w:p w14:paraId="0E8CF39D">
      <w:pPr>
        <w:spacing w:line="360" w:lineRule="exact"/>
        <w:rPr>
          <w:rFonts w:ascii="微软雅黑" w:hAnsi="微软雅黑" w:eastAsia="微软雅黑" w:cs="宋体"/>
          <w:szCs w:val="21"/>
        </w:rPr>
      </w:pPr>
      <w:r>
        <w:rPr>
          <w:rFonts w:hint="eastAsia" w:ascii="微软雅黑" w:hAnsi="微软雅黑" w:eastAsia="微软雅黑" w:cs="宋体"/>
          <w:szCs w:val="21"/>
        </w:rPr>
        <w:t>2</w:t>
      </w:r>
      <w:r>
        <w:rPr>
          <w:rFonts w:ascii="微软雅黑" w:hAnsi="微软雅黑" w:eastAsia="微软雅黑" w:cs="宋体"/>
          <w:szCs w:val="21"/>
        </w:rPr>
        <w:t>.2.6装箱单、产品合格证、质保书、特殊检验证书、说明书、随机备品备件清单（包括外配套设备）。</w:t>
      </w:r>
    </w:p>
    <w:p w14:paraId="4709811B">
      <w:pPr>
        <w:spacing w:line="360" w:lineRule="exact"/>
        <w:rPr>
          <w:rFonts w:ascii="微软雅黑" w:hAnsi="微软雅黑" w:eastAsia="微软雅黑" w:cs="宋体"/>
          <w:szCs w:val="21"/>
        </w:rPr>
      </w:pPr>
      <w:r>
        <w:rPr>
          <w:rFonts w:hint="eastAsia" w:ascii="微软雅黑" w:hAnsi="微软雅黑" w:eastAsia="微软雅黑" w:cs="宋体"/>
          <w:szCs w:val="21"/>
        </w:rPr>
        <w:t>2</w:t>
      </w:r>
      <w:r>
        <w:rPr>
          <w:rFonts w:ascii="微软雅黑" w:hAnsi="微软雅黑" w:eastAsia="微软雅黑" w:cs="宋体"/>
          <w:szCs w:val="21"/>
        </w:rPr>
        <w:t>.2.7乙方应提供备品、配件总清单。</w:t>
      </w:r>
    </w:p>
    <w:p w14:paraId="4F9B2007">
      <w:pPr>
        <w:spacing w:line="360" w:lineRule="exact"/>
        <w:rPr>
          <w:rFonts w:ascii="微软雅黑" w:hAnsi="微软雅黑" w:eastAsia="微软雅黑" w:cs="宋体"/>
          <w:szCs w:val="21"/>
        </w:rPr>
      </w:pPr>
      <w:r>
        <w:rPr>
          <w:rFonts w:hint="eastAsia" w:ascii="微软雅黑" w:hAnsi="微软雅黑" w:eastAsia="微软雅黑" w:cs="宋体"/>
          <w:szCs w:val="21"/>
        </w:rPr>
        <w:t>2</w:t>
      </w:r>
      <w:r>
        <w:rPr>
          <w:rFonts w:ascii="微软雅黑" w:hAnsi="微软雅黑" w:eastAsia="微软雅黑" w:cs="宋体"/>
          <w:szCs w:val="21"/>
        </w:rPr>
        <w:t>.2.8乙方提供给设计单位的图纸和技术资料中，1份是纸质资料，另1份要求是计算机用的CAD图，该CAD图必须可以用AutoCAD</w:t>
      </w:r>
      <w:r>
        <w:rPr>
          <w:rFonts w:hint="eastAsia" w:ascii="微软雅黑" w:hAnsi="微软雅黑" w:eastAsia="微软雅黑" w:cs="宋体"/>
          <w:szCs w:val="21"/>
        </w:rPr>
        <w:t>20</w:t>
      </w:r>
      <w:r>
        <w:rPr>
          <w:rFonts w:ascii="微软雅黑" w:hAnsi="微软雅黑" w:eastAsia="微软雅黑" w:cs="宋体"/>
          <w:szCs w:val="21"/>
        </w:rPr>
        <w:t>04软件打开和编辑。</w:t>
      </w:r>
    </w:p>
    <w:p w14:paraId="22417D8F">
      <w:pPr>
        <w:spacing w:line="360" w:lineRule="exact"/>
        <w:rPr>
          <w:rFonts w:ascii="微软雅黑" w:hAnsi="微软雅黑" w:eastAsia="微软雅黑" w:cs="宋体"/>
          <w:szCs w:val="21"/>
        </w:rPr>
      </w:pPr>
      <w:r>
        <w:rPr>
          <w:rFonts w:hint="eastAsia" w:ascii="微软雅黑" w:hAnsi="微软雅黑" w:eastAsia="微软雅黑" w:cs="宋体"/>
          <w:szCs w:val="21"/>
        </w:rPr>
        <w:t>2</w:t>
      </w:r>
      <w:r>
        <w:rPr>
          <w:rFonts w:ascii="微软雅黑" w:hAnsi="微软雅黑" w:eastAsia="微软雅黑" w:cs="宋体"/>
          <w:szCs w:val="21"/>
        </w:rPr>
        <w:t>.3乙方应提供满足合同设备性能检验／见证所需的全部技术资料。</w:t>
      </w:r>
    </w:p>
    <w:p w14:paraId="72C0E0C3">
      <w:pPr>
        <w:spacing w:line="360" w:lineRule="exact"/>
        <w:rPr>
          <w:rFonts w:ascii="微软雅黑" w:hAnsi="微软雅黑" w:eastAsia="微软雅黑" w:cs="宋体"/>
          <w:szCs w:val="21"/>
        </w:rPr>
      </w:pPr>
      <w:r>
        <w:rPr>
          <w:rFonts w:hint="eastAsia" w:ascii="微软雅黑" w:hAnsi="微软雅黑" w:eastAsia="微软雅黑" w:cs="宋体"/>
          <w:szCs w:val="21"/>
        </w:rPr>
        <w:t>2</w:t>
      </w:r>
      <w:r>
        <w:rPr>
          <w:rFonts w:ascii="微软雅黑" w:hAnsi="微软雅黑" w:eastAsia="微软雅黑" w:cs="宋体"/>
          <w:szCs w:val="21"/>
        </w:rPr>
        <w:t>.4施工、调试、试运和运行维护所需的技术资料（甲方提出具体清单和要求，乙方细化，甲方确认）</w:t>
      </w:r>
      <w:r>
        <w:rPr>
          <w:rFonts w:hint="eastAsia" w:ascii="微软雅黑" w:hAnsi="微软雅黑" w:eastAsia="微软雅黑" w:cs="宋体"/>
          <w:szCs w:val="21"/>
        </w:rPr>
        <w:t>。</w:t>
      </w:r>
    </w:p>
    <w:p w14:paraId="794C7E12">
      <w:pPr>
        <w:spacing w:line="360" w:lineRule="auto"/>
        <w:jc w:val="center"/>
        <w:rPr>
          <w:rFonts w:ascii="微软雅黑" w:hAnsi="微软雅黑" w:eastAsia="微软雅黑" w:cs="宋体"/>
          <w:b/>
          <w:szCs w:val="21"/>
        </w:rPr>
      </w:pPr>
      <w:r>
        <w:rPr>
          <w:rFonts w:hint="eastAsia" w:ascii="微软雅黑" w:hAnsi="微软雅黑" w:eastAsia="微软雅黑" w:cs="宋体"/>
          <w:b/>
          <w:szCs w:val="21"/>
        </w:rPr>
        <w:t>第三节供货范围</w:t>
      </w:r>
    </w:p>
    <w:p w14:paraId="6793D8AD">
      <w:pPr>
        <w:spacing w:line="360" w:lineRule="exact"/>
        <w:rPr>
          <w:rFonts w:ascii="微软雅黑" w:hAnsi="微软雅黑" w:eastAsia="微软雅黑" w:cs="宋体"/>
          <w:szCs w:val="21"/>
        </w:rPr>
      </w:pPr>
      <w:r>
        <w:rPr>
          <w:rFonts w:ascii="微软雅黑" w:hAnsi="微软雅黑" w:eastAsia="微软雅黑" w:cs="宋体"/>
          <w:szCs w:val="21"/>
        </w:rPr>
        <w:t xml:space="preserve">3.1 </w:t>
      </w:r>
      <w:r>
        <w:rPr>
          <w:rFonts w:hint="eastAsia" w:ascii="微软雅黑" w:hAnsi="微软雅黑" w:eastAsia="微软雅黑" w:cs="宋体"/>
          <w:szCs w:val="21"/>
        </w:rPr>
        <w:t>供货范围：</w:t>
      </w:r>
    </w:p>
    <w:p w14:paraId="1840C79C">
      <w:pPr>
        <w:spacing w:line="360" w:lineRule="exact"/>
        <w:ind w:firstLine="420" w:firstLineChars="200"/>
        <w:rPr>
          <w:rFonts w:ascii="微软雅黑" w:hAnsi="微软雅黑" w:eastAsia="微软雅黑" w:cs="宋体"/>
          <w:szCs w:val="21"/>
        </w:rPr>
      </w:pPr>
      <w:r>
        <w:rPr>
          <w:rFonts w:hint="eastAsia" w:ascii="微软雅黑" w:hAnsi="微软雅黑" w:eastAsia="微软雅黑" w:cs="宋体"/>
          <w:szCs w:val="21"/>
        </w:rPr>
        <w:t>高压开关柜应成套配齐全套配件。柜体要求配齐以下附件：航空插座、支撑绝缘子、穿墙套管、高压传感器、带电显示器、电缆进线塔形护套、柜间穿线橡胶堵圈、一次电缆固定夹、电缆密封圈、电缆室照明灯、仪表室照明灯、接地开关（配联锁机构、辅助节点、操作手柄、接地装置）、触头盒、静触头、行程开关、端柜封板、电磁锁、柜顶小母线端子、电缆固定夹、二次联锁机构、观察窗、模拟牌、眉头、标签框、连接片、转运小车、PT手车、隔离手车、计量手车、熔断器手车、熔断器卡子、加热器、闭锁电磁铁、手车操作手柄、紧急分闸装置等。下表未全部列举，乙方应根据系统图纸及使用要求全部配齐。</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1797"/>
        <w:gridCol w:w="3195"/>
        <w:gridCol w:w="101"/>
        <w:gridCol w:w="702"/>
        <w:gridCol w:w="727"/>
        <w:gridCol w:w="2743"/>
      </w:tblGrid>
      <w:tr w14:paraId="010C9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2516" w:type="dxa"/>
            <w:gridSpan w:val="2"/>
            <w:shd w:val="clear" w:color="auto" w:fill="D8D8D8" w:themeFill="background1" w:themeFillShade="D9"/>
            <w:vAlign w:val="center"/>
          </w:tcPr>
          <w:p w14:paraId="6835A449">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名称</w:t>
            </w:r>
          </w:p>
        </w:tc>
        <w:tc>
          <w:tcPr>
            <w:tcW w:w="3195" w:type="dxa"/>
            <w:shd w:val="clear" w:color="auto" w:fill="D8D8D8" w:themeFill="background1" w:themeFillShade="D9"/>
            <w:vAlign w:val="center"/>
          </w:tcPr>
          <w:p w14:paraId="38DA44CC">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规格型号</w:t>
            </w:r>
          </w:p>
        </w:tc>
        <w:tc>
          <w:tcPr>
            <w:tcW w:w="803" w:type="dxa"/>
            <w:gridSpan w:val="2"/>
            <w:shd w:val="clear" w:color="auto" w:fill="D8D8D8" w:themeFill="background1" w:themeFillShade="D9"/>
            <w:vAlign w:val="center"/>
          </w:tcPr>
          <w:p w14:paraId="3DA4473A">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单位</w:t>
            </w:r>
          </w:p>
        </w:tc>
        <w:tc>
          <w:tcPr>
            <w:tcW w:w="727" w:type="dxa"/>
            <w:shd w:val="clear" w:color="auto" w:fill="D8D8D8" w:themeFill="background1" w:themeFillShade="D9"/>
            <w:vAlign w:val="center"/>
          </w:tcPr>
          <w:p w14:paraId="414DE0E5">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数量</w:t>
            </w:r>
          </w:p>
        </w:tc>
        <w:tc>
          <w:tcPr>
            <w:tcW w:w="2743" w:type="dxa"/>
            <w:shd w:val="clear" w:color="auto" w:fill="D8D8D8" w:themeFill="background1" w:themeFillShade="D9"/>
            <w:vAlign w:val="center"/>
          </w:tcPr>
          <w:p w14:paraId="3611D231">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 xml:space="preserve">备 </w:t>
            </w:r>
            <w:r>
              <w:rPr>
                <w:rFonts w:ascii="微软雅黑" w:hAnsi="微软雅黑" w:eastAsia="微软雅黑" w:cs="宋体"/>
                <w:szCs w:val="21"/>
              </w:rPr>
              <w:t xml:space="preserve">      </w:t>
            </w:r>
            <w:r>
              <w:rPr>
                <w:rFonts w:hint="eastAsia" w:ascii="微软雅黑" w:hAnsi="微软雅黑" w:eastAsia="微软雅黑" w:cs="宋体"/>
                <w:szCs w:val="21"/>
              </w:rPr>
              <w:t>注</w:t>
            </w:r>
          </w:p>
        </w:tc>
      </w:tr>
      <w:tr w14:paraId="042BD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516" w:type="dxa"/>
            <w:gridSpan w:val="2"/>
            <w:shd w:val="clear" w:color="auto" w:fill="auto"/>
            <w:vAlign w:val="center"/>
          </w:tcPr>
          <w:p w14:paraId="6CE0758D">
            <w:pPr>
              <w:spacing w:line="360" w:lineRule="exact"/>
              <w:rPr>
                <w:rFonts w:ascii="微软雅黑" w:hAnsi="微软雅黑" w:eastAsia="微软雅黑" w:cs="宋体"/>
                <w:szCs w:val="21"/>
              </w:rPr>
            </w:pPr>
            <w:r>
              <w:rPr>
                <w:rFonts w:ascii="微软雅黑" w:hAnsi="微软雅黑" w:eastAsia="微软雅黑" w:cs="Segoe UI"/>
                <w:szCs w:val="21"/>
                <w:shd w:val="clear" w:color="auto" w:fill="FFFFFF"/>
              </w:rPr>
              <w:t>高压开关柜柜体</w:t>
            </w:r>
          </w:p>
        </w:tc>
        <w:tc>
          <w:tcPr>
            <w:tcW w:w="3195" w:type="dxa"/>
            <w:shd w:val="clear" w:color="auto" w:fill="auto"/>
            <w:vAlign w:val="center"/>
          </w:tcPr>
          <w:p w14:paraId="5AE49E78">
            <w:pPr>
              <w:spacing w:line="360" w:lineRule="exact"/>
              <w:rPr>
                <w:rFonts w:ascii="微软雅黑" w:hAnsi="微软雅黑" w:eastAsia="微软雅黑" w:cs="宋体"/>
                <w:szCs w:val="21"/>
              </w:rPr>
            </w:pPr>
            <w:r>
              <w:rPr>
                <w:rFonts w:hint="eastAsia" w:ascii="微软雅黑" w:hAnsi="微软雅黑" w:eastAsia="微软雅黑" w:cs="宋体"/>
                <w:szCs w:val="21"/>
                <w:lang w:val="en-US" w:eastAsia="zh-CN"/>
              </w:rPr>
              <w:t>800</w:t>
            </w:r>
            <w:r>
              <w:rPr>
                <w:rFonts w:hint="eastAsia" w:ascii="微软雅黑" w:hAnsi="微软雅黑" w:eastAsia="微软雅黑" w:cs="宋体"/>
                <w:szCs w:val="21"/>
              </w:rPr>
              <w:t>×</w:t>
            </w:r>
            <w:r>
              <w:rPr>
                <w:rFonts w:hint="eastAsia" w:ascii="微软雅黑" w:hAnsi="微软雅黑" w:eastAsia="微软雅黑" w:cs="宋体"/>
                <w:szCs w:val="21"/>
                <w:lang w:val="en-US" w:eastAsia="zh-CN"/>
              </w:rPr>
              <w:t>2365</w:t>
            </w:r>
            <w:r>
              <w:rPr>
                <w:rFonts w:hint="eastAsia" w:ascii="微软雅黑" w:hAnsi="微软雅黑" w:eastAsia="微软雅黑" w:cs="宋体"/>
                <w:szCs w:val="21"/>
              </w:rPr>
              <w:t>×</w:t>
            </w:r>
            <w:r>
              <w:rPr>
                <w:rFonts w:hint="eastAsia" w:ascii="微软雅黑" w:hAnsi="微软雅黑" w:eastAsia="微软雅黑" w:cs="宋体"/>
                <w:szCs w:val="21"/>
                <w:lang w:val="en-US" w:eastAsia="zh-CN"/>
              </w:rPr>
              <w:t>1500</w:t>
            </w:r>
            <w:r>
              <w:rPr>
                <w:rFonts w:hint="eastAsia" w:ascii="微软雅黑" w:hAnsi="微软雅黑" w:eastAsia="微软雅黑" w:cs="宋体"/>
                <w:szCs w:val="21"/>
              </w:rPr>
              <w:t xml:space="preserve"> </w:t>
            </w:r>
          </w:p>
        </w:tc>
        <w:tc>
          <w:tcPr>
            <w:tcW w:w="803" w:type="dxa"/>
            <w:gridSpan w:val="2"/>
            <w:shd w:val="clear" w:color="auto" w:fill="auto"/>
            <w:vAlign w:val="center"/>
          </w:tcPr>
          <w:p w14:paraId="36F3703F">
            <w:pPr>
              <w:spacing w:line="360" w:lineRule="exact"/>
              <w:jc w:val="center"/>
              <w:rPr>
                <w:rFonts w:ascii="微软雅黑" w:hAnsi="微软雅黑" w:eastAsia="微软雅黑" w:cs="宋体"/>
                <w:szCs w:val="21"/>
              </w:rPr>
            </w:pPr>
            <w:r>
              <w:rPr>
                <w:rFonts w:hint="eastAsia" w:ascii="微软雅黑" w:hAnsi="微软雅黑" w:eastAsia="微软雅黑" w:cs="宋体"/>
                <w:szCs w:val="21"/>
              </w:rPr>
              <w:t>台</w:t>
            </w:r>
          </w:p>
        </w:tc>
        <w:tc>
          <w:tcPr>
            <w:tcW w:w="727" w:type="dxa"/>
            <w:shd w:val="clear" w:color="auto" w:fill="auto"/>
            <w:vAlign w:val="center"/>
          </w:tcPr>
          <w:p w14:paraId="330100CC">
            <w:pPr>
              <w:spacing w:line="360" w:lineRule="exact"/>
              <w:jc w:val="center"/>
              <w:rPr>
                <w:rFonts w:ascii="微软雅黑" w:hAnsi="微软雅黑" w:eastAsia="微软雅黑" w:cs="宋体"/>
                <w:szCs w:val="21"/>
              </w:rPr>
            </w:pPr>
            <w:r>
              <w:rPr>
                <w:rFonts w:hint="eastAsia" w:ascii="微软雅黑" w:hAnsi="微软雅黑" w:eastAsia="微软雅黑" w:cs="宋体"/>
                <w:szCs w:val="21"/>
              </w:rPr>
              <w:t>2</w:t>
            </w:r>
          </w:p>
        </w:tc>
        <w:tc>
          <w:tcPr>
            <w:tcW w:w="2743" w:type="dxa"/>
            <w:shd w:val="clear" w:color="auto" w:fill="auto"/>
            <w:vAlign w:val="center"/>
          </w:tcPr>
          <w:p w14:paraId="44B5EE6C">
            <w:pPr>
              <w:spacing w:line="360" w:lineRule="exact"/>
              <w:jc w:val="center"/>
              <w:rPr>
                <w:rFonts w:ascii="微软雅黑" w:hAnsi="微软雅黑" w:eastAsia="微软雅黑" w:cs="宋体"/>
                <w:szCs w:val="21"/>
              </w:rPr>
            </w:pPr>
            <w:r>
              <w:rPr>
                <w:rFonts w:hint="eastAsia" w:ascii="微软雅黑" w:hAnsi="微软雅黑" w:eastAsia="微软雅黑" w:cs="宋体"/>
                <w:szCs w:val="21"/>
              </w:rPr>
              <w:t>二代平顶柜，凸门，前中门快开锁，10KV系统</w:t>
            </w:r>
          </w:p>
          <w:p w14:paraId="5739B417">
            <w:pPr>
              <w:spacing w:line="360" w:lineRule="exact"/>
              <w:jc w:val="center"/>
              <w:rPr>
                <w:rFonts w:ascii="微软雅黑" w:hAnsi="微软雅黑" w:eastAsia="微软雅黑" w:cs="宋体"/>
                <w:szCs w:val="21"/>
              </w:rPr>
            </w:pPr>
            <w:r>
              <w:rPr>
                <w:rFonts w:hint="eastAsia" w:ascii="微软雅黑" w:hAnsi="微软雅黑" w:eastAsia="微软雅黑" w:cs="宋体"/>
                <w:szCs w:val="21"/>
              </w:rPr>
              <w:t>，本批柜体仪表室加深100mm及以上。</w:t>
            </w:r>
          </w:p>
        </w:tc>
      </w:tr>
      <w:tr w14:paraId="134E8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9984" w:type="dxa"/>
            <w:gridSpan w:val="7"/>
            <w:shd w:val="clear" w:color="auto" w:fill="auto"/>
            <w:vAlign w:val="center"/>
          </w:tcPr>
          <w:p w14:paraId="69E718DA">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开关柜配置要求：</w:t>
            </w:r>
          </w:p>
        </w:tc>
      </w:tr>
      <w:tr w14:paraId="5DBAE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19" w:type="dxa"/>
            <w:vMerge w:val="restart"/>
            <w:shd w:val="clear" w:color="auto" w:fill="auto"/>
            <w:vAlign w:val="center"/>
          </w:tcPr>
          <w:p w14:paraId="033CB5F4">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1</w:t>
            </w:r>
          </w:p>
        </w:tc>
        <w:tc>
          <w:tcPr>
            <w:tcW w:w="1797" w:type="dxa"/>
            <w:vMerge w:val="restart"/>
            <w:shd w:val="clear" w:color="auto" w:fill="auto"/>
            <w:vAlign w:val="center"/>
          </w:tcPr>
          <w:p w14:paraId="4DC30709">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材质</w:t>
            </w:r>
          </w:p>
        </w:tc>
        <w:tc>
          <w:tcPr>
            <w:tcW w:w="7468" w:type="dxa"/>
            <w:gridSpan w:val="5"/>
            <w:shd w:val="clear" w:color="auto" w:fill="auto"/>
            <w:vAlign w:val="center"/>
          </w:tcPr>
          <w:p w14:paraId="2468A1A8">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外壳、隔板：2.00mm厚覆铝锌钢板</w:t>
            </w:r>
          </w:p>
        </w:tc>
      </w:tr>
      <w:tr w14:paraId="1C90B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19" w:type="dxa"/>
            <w:vMerge w:val="continue"/>
            <w:shd w:val="clear" w:color="auto" w:fill="auto"/>
            <w:vAlign w:val="center"/>
          </w:tcPr>
          <w:p w14:paraId="2465248A">
            <w:pPr>
              <w:spacing w:line="240" w:lineRule="atLeast"/>
              <w:jc w:val="center"/>
              <w:rPr>
                <w:rFonts w:ascii="微软雅黑" w:hAnsi="微软雅黑" w:eastAsia="微软雅黑" w:cs="宋体"/>
                <w:szCs w:val="21"/>
              </w:rPr>
            </w:pPr>
          </w:p>
        </w:tc>
        <w:tc>
          <w:tcPr>
            <w:tcW w:w="1797" w:type="dxa"/>
            <w:vMerge w:val="continue"/>
            <w:shd w:val="clear" w:color="auto" w:fill="auto"/>
            <w:vAlign w:val="center"/>
          </w:tcPr>
          <w:p w14:paraId="2EDF70AC">
            <w:pPr>
              <w:spacing w:line="240" w:lineRule="atLeast"/>
              <w:jc w:val="left"/>
              <w:rPr>
                <w:rFonts w:ascii="微软雅黑" w:hAnsi="微软雅黑" w:eastAsia="微软雅黑" w:cs="宋体"/>
                <w:szCs w:val="21"/>
              </w:rPr>
            </w:pPr>
          </w:p>
        </w:tc>
        <w:tc>
          <w:tcPr>
            <w:tcW w:w="7468" w:type="dxa"/>
            <w:gridSpan w:val="5"/>
            <w:shd w:val="clear" w:color="auto" w:fill="auto"/>
            <w:vAlign w:val="center"/>
          </w:tcPr>
          <w:p w14:paraId="41E34C85">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面板：2.00mm厚冷轧钢板</w:t>
            </w:r>
          </w:p>
        </w:tc>
      </w:tr>
      <w:tr w14:paraId="4832A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19" w:type="dxa"/>
            <w:shd w:val="clear" w:color="auto" w:fill="auto"/>
            <w:vAlign w:val="center"/>
          </w:tcPr>
          <w:p w14:paraId="730E5F80">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2</w:t>
            </w:r>
          </w:p>
        </w:tc>
        <w:tc>
          <w:tcPr>
            <w:tcW w:w="1797" w:type="dxa"/>
            <w:shd w:val="clear" w:color="auto" w:fill="auto"/>
            <w:vAlign w:val="center"/>
          </w:tcPr>
          <w:p w14:paraId="20117956">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 xml:space="preserve">柜体外型 </w:t>
            </w:r>
          </w:p>
        </w:tc>
        <w:tc>
          <w:tcPr>
            <w:tcW w:w="7468" w:type="dxa"/>
            <w:gridSpan w:val="5"/>
            <w:shd w:val="clear" w:color="auto" w:fill="auto"/>
            <w:vAlign w:val="center"/>
          </w:tcPr>
          <w:p w14:paraId="18F6F231">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平顶柜(连体式)</w:t>
            </w:r>
          </w:p>
        </w:tc>
      </w:tr>
      <w:tr w14:paraId="0F460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19" w:type="dxa"/>
            <w:shd w:val="clear" w:color="auto" w:fill="auto"/>
            <w:vAlign w:val="center"/>
          </w:tcPr>
          <w:p w14:paraId="58A86D78">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3</w:t>
            </w:r>
          </w:p>
        </w:tc>
        <w:tc>
          <w:tcPr>
            <w:tcW w:w="1797" w:type="dxa"/>
            <w:shd w:val="clear" w:color="auto" w:fill="auto"/>
            <w:vAlign w:val="center"/>
          </w:tcPr>
          <w:p w14:paraId="677952F1">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 xml:space="preserve">后部结构 </w:t>
            </w:r>
          </w:p>
        </w:tc>
        <w:tc>
          <w:tcPr>
            <w:tcW w:w="7468" w:type="dxa"/>
            <w:gridSpan w:val="5"/>
            <w:shd w:val="clear" w:color="auto" w:fill="auto"/>
            <w:vAlign w:val="center"/>
          </w:tcPr>
          <w:p w14:paraId="6D86C6BD">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后上下门 ，上下门带机械联锁</w:t>
            </w:r>
          </w:p>
        </w:tc>
      </w:tr>
      <w:tr w14:paraId="30821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19" w:type="dxa"/>
            <w:shd w:val="clear" w:color="auto" w:fill="auto"/>
            <w:vAlign w:val="center"/>
          </w:tcPr>
          <w:p w14:paraId="2646E9A7">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4</w:t>
            </w:r>
          </w:p>
        </w:tc>
        <w:tc>
          <w:tcPr>
            <w:tcW w:w="1797" w:type="dxa"/>
            <w:shd w:val="clear" w:color="auto" w:fill="auto"/>
            <w:vAlign w:val="center"/>
          </w:tcPr>
          <w:p w14:paraId="2F8F77D9">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主母线规格</w:t>
            </w:r>
          </w:p>
        </w:tc>
        <w:tc>
          <w:tcPr>
            <w:tcW w:w="3296" w:type="dxa"/>
            <w:gridSpan w:val="2"/>
            <w:shd w:val="clear" w:color="auto" w:fill="auto"/>
            <w:vAlign w:val="center"/>
          </w:tcPr>
          <w:p w14:paraId="717BA3C0">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12</w:t>
            </w:r>
            <w:r>
              <w:rPr>
                <w:rFonts w:ascii="微软雅黑" w:hAnsi="微软雅黑" w:eastAsia="微软雅黑" w:cs="宋体"/>
                <w:szCs w:val="21"/>
              </w:rPr>
              <w:t>0</w:t>
            </w:r>
            <w:r>
              <w:rPr>
                <w:rFonts w:hint="eastAsia" w:ascii="微软雅黑" w:hAnsi="微软雅黑" w:eastAsia="微软雅黑" w:cs="宋体"/>
                <w:szCs w:val="21"/>
              </w:rPr>
              <w:t>x10</w:t>
            </w:r>
          </w:p>
        </w:tc>
        <w:tc>
          <w:tcPr>
            <w:tcW w:w="4172" w:type="dxa"/>
            <w:gridSpan w:val="3"/>
            <w:shd w:val="clear" w:color="auto" w:fill="auto"/>
            <w:vAlign w:val="center"/>
          </w:tcPr>
          <w:p w14:paraId="33167F1F">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 xml:space="preserve">母线加热缩套管 </w:t>
            </w:r>
          </w:p>
        </w:tc>
      </w:tr>
      <w:tr w14:paraId="333F1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19" w:type="dxa"/>
            <w:shd w:val="clear" w:color="auto" w:fill="auto"/>
            <w:vAlign w:val="center"/>
          </w:tcPr>
          <w:p w14:paraId="69FCECCB">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5</w:t>
            </w:r>
          </w:p>
        </w:tc>
        <w:tc>
          <w:tcPr>
            <w:tcW w:w="1797" w:type="dxa"/>
            <w:shd w:val="clear" w:color="auto" w:fill="auto"/>
            <w:vAlign w:val="center"/>
          </w:tcPr>
          <w:p w14:paraId="10159FAA">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进出线方式</w:t>
            </w:r>
          </w:p>
        </w:tc>
        <w:tc>
          <w:tcPr>
            <w:tcW w:w="7468" w:type="dxa"/>
            <w:gridSpan w:val="5"/>
            <w:shd w:val="clear" w:color="auto" w:fill="auto"/>
            <w:vAlign w:val="center"/>
          </w:tcPr>
          <w:p w14:paraId="1BC7AF97">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电缆下进、下出线；</w:t>
            </w:r>
          </w:p>
        </w:tc>
      </w:tr>
      <w:tr w14:paraId="6A862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9" w:type="dxa"/>
            <w:shd w:val="clear" w:color="auto" w:fill="auto"/>
            <w:vAlign w:val="center"/>
          </w:tcPr>
          <w:p w14:paraId="5A3FDD7F">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6</w:t>
            </w:r>
          </w:p>
        </w:tc>
        <w:tc>
          <w:tcPr>
            <w:tcW w:w="1797" w:type="dxa"/>
            <w:shd w:val="clear" w:color="auto" w:fill="auto"/>
            <w:vAlign w:val="center"/>
          </w:tcPr>
          <w:p w14:paraId="41135B32">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带电显示器</w:t>
            </w:r>
          </w:p>
        </w:tc>
        <w:tc>
          <w:tcPr>
            <w:tcW w:w="3296" w:type="dxa"/>
            <w:gridSpan w:val="2"/>
            <w:shd w:val="clear" w:color="auto" w:fill="auto"/>
            <w:vAlign w:val="center"/>
          </w:tcPr>
          <w:p w14:paraId="1BC1DD08">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含显示器及传感器，带核相验电功能</w:t>
            </w:r>
          </w:p>
        </w:tc>
        <w:tc>
          <w:tcPr>
            <w:tcW w:w="4172" w:type="dxa"/>
            <w:gridSpan w:val="3"/>
            <w:shd w:val="clear" w:color="auto" w:fill="auto"/>
            <w:vAlign w:val="center"/>
          </w:tcPr>
          <w:p w14:paraId="009F5E44">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传感器</w:t>
            </w:r>
            <w:r>
              <w:rPr>
                <w:rFonts w:hint="eastAsia" w:ascii="微软雅黑" w:hAnsi="微软雅黑" w:eastAsia="微软雅黑" w:cs="宋体"/>
                <w:kern w:val="0"/>
                <w:szCs w:val="21"/>
              </w:rPr>
              <w:t>高度不小150mm,</w:t>
            </w:r>
            <w:r>
              <w:rPr>
                <w:rFonts w:hint="eastAsia" w:ascii="微软雅黑" w:hAnsi="微软雅黑" w:eastAsia="微软雅黑" w:cs="宋体"/>
                <w:szCs w:val="21"/>
              </w:rPr>
              <w:t>按照系统图配置,本批综合状态显示仪不带带电显示，柜体厂家要配带电显示器。</w:t>
            </w:r>
          </w:p>
        </w:tc>
      </w:tr>
      <w:tr w14:paraId="5CEA2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9" w:type="dxa"/>
            <w:shd w:val="clear" w:color="auto" w:fill="auto"/>
            <w:vAlign w:val="center"/>
          </w:tcPr>
          <w:p w14:paraId="31F595D2">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7</w:t>
            </w:r>
          </w:p>
        </w:tc>
        <w:tc>
          <w:tcPr>
            <w:tcW w:w="1797" w:type="dxa"/>
            <w:shd w:val="clear" w:color="auto" w:fill="auto"/>
            <w:vAlign w:val="center"/>
          </w:tcPr>
          <w:p w14:paraId="0C8B3B32">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仪表室照明灯</w:t>
            </w:r>
          </w:p>
        </w:tc>
        <w:tc>
          <w:tcPr>
            <w:tcW w:w="3296" w:type="dxa"/>
            <w:gridSpan w:val="2"/>
            <w:shd w:val="clear" w:color="auto" w:fill="auto"/>
            <w:vAlign w:val="center"/>
          </w:tcPr>
          <w:p w14:paraId="136BA7B9">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LED</w:t>
            </w:r>
          </w:p>
        </w:tc>
        <w:tc>
          <w:tcPr>
            <w:tcW w:w="4172" w:type="dxa"/>
            <w:gridSpan w:val="3"/>
            <w:shd w:val="clear" w:color="auto" w:fill="auto"/>
            <w:vAlign w:val="center"/>
          </w:tcPr>
          <w:p w14:paraId="6F06C3C8">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配好控制行程开关</w:t>
            </w:r>
          </w:p>
        </w:tc>
      </w:tr>
      <w:tr w14:paraId="030F3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9" w:type="dxa"/>
            <w:shd w:val="clear" w:color="auto" w:fill="auto"/>
            <w:vAlign w:val="center"/>
          </w:tcPr>
          <w:p w14:paraId="317A1A23">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8</w:t>
            </w:r>
          </w:p>
        </w:tc>
        <w:tc>
          <w:tcPr>
            <w:tcW w:w="1797" w:type="dxa"/>
            <w:shd w:val="clear" w:color="auto" w:fill="auto"/>
            <w:vAlign w:val="center"/>
          </w:tcPr>
          <w:p w14:paraId="783B0961">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电缆室照明灯</w:t>
            </w:r>
          </w:p>
        </w:tc>
        <w:tc>
          <w:tcPr>
            <w:tcW w:w="3296" w:type="dxa"/>
            <w:gridSpan w:val="2"/>
            <w:shd w:val="clear" w:color="auto" w:fill="auto"/>
            <w:vAlign w:val="center"/>
          </w:tcPr>
          <w:p w14:paraId="1345B4B4">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LED</w:t>
            </w:r>
          </w:p>
        </w:tc>
        <w:tc>
          <w:tcPr>
            <w:tcW w:w="4172" w:type="dxa"/>
            <w:gridSpan w:val="3"/>
            <w:shd w:val="clear" w:color="auto" w:fill="auto"/>
            <w:vAlign w:val="center"/>
          </w:tcPr>
          <w:p w14:paraId="26D24A3F">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带开关整套配好</w:t>
            </w:r>
          </w:p>
        </w:tc>
      </w:tr>
      <w:tr w14:paraId="7C23A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9" w:type="dxa"/>
            <w:shd w:val="clear" w:color="auto" w:fill="auto"/>
            <w:vAlign w:val="center"/>
          </w:tcPr>
          <w:p w14:paraId="1610693F">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9</w:t>
            </w:r>
          </w:p>
        </w:tc>
        <w:tc>
          <w:tcPr>
            <w:tcW w:w="1797" w:type="dxa"/>
            <w:shd w:val="clear" w:color="auto" w:fill="auto"/>
            <w:vAlign w:val="center"/>
          </w:tcPr>
          <w:p w14:paraId="659BDE7F">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小母线端子</w:t>
            </w:r>
          </w:p>
        </w:tc>
        <w:tc>
          <w:tcPr>
            <w:tcW w:w="3296" w:type="dxa"/>
            <w:gridSpan w:val="2"/>
            <w:shd w:val="clear" w:color="auto" w:fill="auto"/>
            <w:vAlign w:val="center"/>
          </w:tcPr>
          <w:p w14:paraId="464E6328">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15节/组 Ø6铜棒</w:t>
            </w:r>
          </w:p>
        </w:tc>
        <w:tc>
          <w:tcPr>
            <w:tcW w:w="4172" w:type="dxa"/>
            <w:gridSpan w:val="3"/>
            <w:shd w:val="clear" w:color="auto" w:fill="auto"/>
            <w:vAlign w:val="center"/>
          </w:tcPr>
          <w:p w14:paraId="76C2F20F">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每柜1组；母联柜2组</w:t>
            </w:r>
          </w:p>
        </w:tc>
      </w:tr>
      <w:tr w14:paraId="660D7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9" w:type="dxa"/>
            <w:shd w:val="clear" w:color="auto" w:fill="auto"/>
            <w:vAlign w:val="center"/>
          </w:tcPr>
          <w:p w14:paraId="07BB1147">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10</w:t>
            </w:r>
          </w:p>
        </w:tc>
        <w:tc>
          <w:tcPr>
            <w:tcW w:w="1797" w:type="dxa"/>
            <w:shd w:val="clear" w:color="auto" w:fill="auto"/>
            <w:vAlign w:val="center"/>
          </w:tcPr>
          <w:p w14:paraId="6691E770">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眉头</w:t>
            </w:r>
          </w:p>
        </w:tc>
        <w:tc>
          <w:tcPr>
            <w:tcW w:w="3296" w:type="dxa"/>
            <w:gridSpan w:val="2"/>
            <w:shd w:val="clear" w:color="auto" w:fill="auto"/>
            <w:vAlign w:val="center"/>
          </w:tcPr>
          <w:p w14:paraId="05FDCA93">
            <w:pPr>
              <w:spacing w:line="240" w:lineRule="atLeast"/>
              <w:jc w:val="left"/>
              <w:rPr>
                <w:rFonts w:ascii="微软雅黑" w:hAnsi="微软雅黑" w:eastAsia="微软雅黑" w:cs="宋体"/>
                <w:szCs w:val="21"/>
              </w:rPr>
            </w:pPr>
          </w:p>
        </w:tc>
        <w:tc>
          <w:tcPr>
            <w:tcW w:w="4172" w:type="dxa"/>
            <w:gridSpan w:val="3"/>
            <w:shd w:val="clear" w:color="auto" w:fill="auto"/>
            <w:vAlign w:val="center"/>
          </w:tcPr>
          <w:p w14:paraId="47BBF876">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根据要求丝网印刷配好</w:t>
            </w:r>
          </w:p>
        </w:tc>
      </w:tr>
      <w:tr w14:paraId="10BBD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9" w:type="dxa"/>
            <w:shd w:val="clear" w:color="auto" w:fill="auto"/>
            <w:vAlign w:val="center"/>
          </w:tcPr>
          <w:p w14:paraId="380A9251">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11</w:t>
            </w:r>
          </w:p>
        </w:tc>
        <w:tc>
          <w:tcPr>
            <w:tcW w:w="1797" w:type="dxa"/>
            <w:shd w:val="clear" w:color="auto" w:fill="auto"/>
            <w:vAlign w:val="center"/>
          </w:tcPr>
          <w:p w14:paraId="0B67DC74">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柜后标识</w:t>
            </w:r>
          </w:p>
        </w:tc>
        <w:tc>
          <w:tcPr>
            <w:tcW w:w="3296" w:type="dxa"/>
            <w:gridSpan w:val="2"/>
            <w:shd w:val="clear" w:color="auto" w:fill="auto"/>
            <w:vAlign w:val="center"/>
          </w:tcPr>
          <w:p w14:paraId="756FC875">
            <w:pPr>
              <w:spacing w:line="240" w:lineRule="atLeast"/>
              <w:jc w:val="left"/>
              <w:rPr>
                <w:rFonts w:ascii="微软雅黑" w:hAnsi="微软雅黑" w:eastAsia="微软雅黑" w:cs="宋体"/>
                <w:szCs w:val="21"/>
              </w:rPr>
            </w:pPr>
          </w:p>
        </w:tc>
        <w:tc>
          <w:tcPr>
            <w:tcW w:w="4172" w:type="dxa"/>
            <w:gridSpan w:val="3"/>
            <w:shd w:val="clear" w:color="auto" w:fill="auto"/>
            <w:vAlign w:val="center"/>
          </w:tcPr>
          <w:p w14:paraId="05340BCA">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根据要求配好</w:t>
            </w:r>
          </w:p>
        </w:tc>
      </w:tr>
      <w:tr w14:paraId="5D926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719" w:type="dxa"/>
            <w:shd w:val="clear" w:color="auto" w:fill="auto"/>
            <w:vAlign w:val="center"/>
          </w:tcPr>
          <w:p w14:paraId="041095C0">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12</w:t>
            </w:r>
          </w:p>
        </w:tc>
        <w:tc>
          <w:tcPr>
            <w:tcW w:w="5093" w:type="dxa"/>
            <w:gridSpan w:val="3"/>
            <w:shd w:val="clear" w:color="auto" w:fill="auto"/>
            <w:vAlign w:val="center"/>
          </w:tcPr>
          <w:p w14:paraId="52253702">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熔断器手车、PT手车、隔离手车、计量手车</w:t>
            </w:r>
          </w:p>
        </w:tc>
        <w:tc>
          <w:tcPr>
            <w:tcW w:w="4172" w:type="dxa"/>
            <w:gridSpan w:val="3"/>
            <w:shd w:val="clear" w:color="auto" w:fill="auto"/>
            <w:vAlign w:val="center"/>
          </w:tcPr>
          <w:p w14:paraId="63F95356">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根据系统图配好，配好进出车摇把,配好线</w:t>
            </w:r>
          </w:p>
        </w:tc>
      </w:tr>
      <w:tr w14:paraId="1B22E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19" w:type="dxa"/>
            <w:shd w:val="clear" w:color="auto" w:fill="auto"/>
            <w:vAlign w:val="center"/>
          </w:tcPr>
          <w:p w14:paraId="4803EF73">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13</w:t>
            </w:r>
          </w:p>
        </w:tc>
        <w:tc>
          <w:tcPr>
            <w:tcW w:w="1797" w:type="dxa"/>
            <w:shd w:val="clear" w:color="auto" w:fill="auto"/>
            <w:vAlign w:val="center"/>
          </w:tcPr>
          <w:p w14:paraId="64062B40">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接地母线</w:t>
            </w:r>
          </w:p>
        </w:tc>
        <w:tc>
          <w:tcPr>
            <w:tcW w:w="3296" w:type="dxa"/>
            <w:gridSpan w:val="2"/>
            <w:shd w:val="clear" w:color="auto" w:fill="auto"/>
            <w:vAlign w:val="center"/>
          </w:tcPr>
          <w:p w14:paraId="00C0C280">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规格：40*</w:t>
            </w:r>
            <w:r>
              <w:rPr>
                <w:rFonts w:ascii="微软雅黑" w:hAnsi="微软雅黑" w:eastAsia="微软雅黑" w:cs="宋体"/>
                <w:szCs w:val="21"/>
              </w:rPr>
              <w:t>6</w:t>
            </w:r>
          </w:p>
        </w:tc>
        <w:tc>
          <w:tcPr>
            <w:tcW w:w="4172" w:type="dxa"/>
            <w:gridSpan w:val="3"/>
            <w:shd w:val="clear" w:color="auto" w:fill="auto"/>
            <w:vAlign w:val="center"/>
          </w:tcPr>
          <w:p w14:paraId="142856D2">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地排过排孔按照65*40制作</w:t>
            </w:r>
          </w:p>
        </w:tc>
      </w:tr>
      <w:tr w14:paraId="7166E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19" w:type="dxa"/>
            <w:shd w:val="clear" w:color="auto" w:fill="auto"/>
            <w:vAlign w:val="center"/>
          </w:tcPr>
          <w:p w14:paraId="0B8F04AD">
            <w:pPr>
              <w:spacing w:line="240" w:lineRule="atLeast"/>
              <w:jc w:val="center"/>
              <w:rPr>
                <w:rFonts w:ascii="微软雅黑" w:hAnsi="微软雅黑" w:eastAsia="微软雅黑" w:cs="宋体"/>
                <w:szCs w:val="21"/>
              </w:rPr>
            </w:pPr>
            <w:r>
              <w:rPr>
                <w:rFonts w:ascii="微软雅黑" w:hAnsi="微软雅黑" w:eastAsia="微软雅黑" w:cs="宋体"/>
                <w:szCs w:val="21"/>
              </w:rPr>
              <w:t>1</w:t>
            </w:r>
            <w:r>
              <w:rPr>
                <w:rFonts w:hint="eastAsia" w:ascii="微软雅黑" w:hAnsi="微软雅黑" w:eastAsia="微软雅黑" w:cs="宋体"/>
                <w:szCs w:val="21"/>
              </w:rPr>
              <w:t>4</w:t>
            </w:r>
          </w:p>
        </w:tc>
        <w:tc>
          <w:tcPr>
            <w:tcW w:w="5093" w:type="dxa"/>
            <w:gridSpan w:val="3"/>
            <w:shd w:val="clear" w:color="auto" w:fill="auto"/>
            <w:vAlign w:val="center"/>
          </w:tcPr>
          <w:p w14:paraId="48D14513">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母联、隔离柜下联络排、柜顶联结母线桥柜</w:t>
            </w:r>
            <w:r>
              <w:rPr>
                <w:rFonts w:ascii="微软雅黑" w:hAnsi="微软雅黑" w:eastAsia="微软雅黑" w:cs="宋体"/>
                <w:szCs w:val="21"/>
              </w:rPr>
              <w:t xml:space="preserve"> </w:t>
            </w:r>
          </w:p>
        </w:tc>
        <w:tc>
          <w:tcPr>
            <w:tcW w:w="4172" w:type="dxa"/>
            <w:gridSpan w:val="3"/>
            <w:shd w:val="clear" w:color="auto" w:fill="auto"/>
            <w:vAlign w:val="center"/>
          </w:tcPr>
          <w:p w14:paraId="254658BA">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根据母线规格配好穿墙套管及不锈钢安装板</w:t>
            </w:r>
          </w:p>
        </w:tc>
      </w:tr>
      <w:tr w14:paraId="5DFBD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19" w:type="dxa"/>
            <w:vAlign w:val="center"/>
          </w:tcPr>
          <w:p w14:paraId="51376A1B">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15</w:t>
            </w:r>
          </w:p>
        </w:tc>
        <w:tc>
          <w:tcPr>
            <w:tcW w:w="1797" w:type="dxa"/>
            <w:vAlign w:val="center"/>
          </w:tcPr>
          <w:p w14:paraId="6002637F">
            <w:pPr>
              <w:spacing w:line="240" w:lineRule="atLeast"/>
              <w:rPr>
                <w:rFonts w:ascii="微软雅黑" w:hAnsi="微软雅黑" w:eastAsia="微软雅黑" w:cs="宋体"/>
                <w:szCs w:val="21"/>
              </w:rPr>
            </w:pPr>
            <w:r>
              <w:rPr>
                <w:rFonts w:hint="eastAsia" w:ascii="微软雅黑" w:hAnsi="微软雅黑" w:eastAsia="微软雅黑" w:cs="宋体"/>
                <w:szCs w:val="21"/>
              </w:rPr>
              <w:t>绝缘子</w:t>
            </w:r>
          </w:p>
        </w:tc>
        <w:tc>
          <w:tcPr>
            <w:tcW w:w="3296" w:type="dxa"/>
            <w:gridSpan w:val="2"/>
            <w:shd w:val="clear" w:color="auto" w:fill="auto"/>
            <w:vAlign w:val="center"/>
          </w:tcPr>
          <w:p w14:paraId="73A1BDA4">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上分支母线A相支撑，主母线A、B、C相支撑，其他</w:t>
            </w:r>
          </w:p>
        </w:tc>
        <w:tc>
          <w:tcPr>
            <w:tcW w:w="4172" w:type="dxa"/>
            <w:gridSpan w:val="3"/>
            <w:shd w:val="clear" w:color="auto" w:fill="auto"/>
            <w:vAlign w:val="center"/>
          </w:tcPr>
          <w:p w14:paraId="51FB1A76">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根据使用情况配齐,</w:t>
            </w:r>
            <w:r>
              <w:rPr>
                <w:rFonts w:hint="eastAsia" w:ascii="微软雅黑" w:hAnsi="微软雅黑" w:eastAsia="微软雅黑" w:cs="宋体"/>
                <w:kern w:val="0"/>
                <w:szCs w:val="21"/>
              </w:rPr>
              <w:t xml:space="preserve"> 高度不小150mm</w:t>
            </w:r>
            <w:r>
              <w:rPr>
                <w:rFonts w:ascii="微软雅黑" w:hAnsi="微软雅黑" w:eastAsia="微软雅黑" w:cs="宋体"/>
                <w:kern w:val="0"/>
                <w:szCs w:val="21"/>
              </w:rPr>
              <w:t>,</w:t>
            </w:r>
            <w:r>
              <w:rPr>
                <w:rFonts w:hint="eastAsia" w:ascii="微软雅黑" w:hAnsi="微软雅黑" w:eastAsia="微软雅黑" w:cs="宋体"/>
                <w:kern w:val="0"/>
                <w:szCs w:val="21"/>
              </w:rPr>
              <w:t>采用大爬距产品</w:t>
            </w:r>
          </w:p>
        </w:tc>
      </w:tr>
      <w:tr w14:paraId="606A0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719" w:type="dxa"/>
            <w:shd w:val="clear" w:color="auto" w:fill="auto"/>
            <w:vAlign w:val="center"/>
          </w:tcPr>
          <w:p w14:paraId="2DB7737E">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16</w:t>
            </w:r>
          </w:p>
        </w:tc>
        <w:tc>
          <w:tcPr>
            <w:tcW w:w="1797" w:type="dxa"/>
            <w:shd w:val="clear" w:color="auto" w:fill="auto"/>
            <w:vAlign w:val="center"/>
          </w:tcPr>
          <w:p w14:paraId="57FDB4D2">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中门模拟牌开孔</w:t>
            </w:r>
          </w:p>
        </w:tc>
        <w:tc>
          <w:tcPr>
            <w:tcW w:w="3296" w:type="dxa"/>
            <w:gridSpan w:val="2"/>
            <w:shd w:val="clear" w:color="auto" w:fill="auto"/>
            <w:vAlign w:val="center"/>
          </w:tcPr>
          <w:p w14:paraId="30BBC049">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有</w:t>
            </w:r>
          </w:p>
        </w:tc>
        <w:tc>
          <w:tcPr>
            <w:tcW w:w="4172" w:type="dxa"/>
            <w:gridSpan w:val="3"/>
            <w:shd w:val="clear" w:color="auto" w:fill="auto"/>
            <w:vAlign w:val="center"/>
          </w:tcPr>
          <w:p w14:paraId="1CB6CD27">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根据系统图</w:t>
            </w:r>
          </w:p>
        </w:tc>
      </w:tr>
      <w:tr w14:paraId="601A5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19" w:type="dxa"/>
            <w:shd w:val="clear" w:color="auto" w:fill="auto"/>
            <w:vAlign w:val="center"/>
          </w:tcPr>
          <w:p w14:paraId="59231121">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17</w:t>
            </w:r>
          </w:p>
        </w:tc>
        <w:tc>
          <w:tcPr>
            <w:tcW w:w="1797" w:type="dxa"/>
            <w:shd w:val="clear" w:color="auto" w:fill="auto"/>
            <w:vAlign w:val="center"/>
          </w:tcPr>
          <w:p w14:paraId="585F2041">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紧急分闸装置</w:t>
            </w:r>
          </w:p>
        </w:tc>
        <w:tc>
          <w:tcPr>
            <w:tcW w:w="3296" w:type="dxa"/>
            <w:gridSpan w:val="2"/>
            <w:shd w:val="clear" w:color="auto" w:fill="auto"/>
            <w:vAlign w:val="center"/>
          </w:tcPr>
          <w:p w14:paraId="1695C86C">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有</w:t>
            </w:r>
          </w:p>
        </w:tc>
        <w:tc>
          <w:tcPr>
            <w:tcW w:w="4172" w:type="dxa"/>
            <w:gridSpan w:val="3"/>
            <w:shd w:val="clear" w:color="auto" w:fill="auto"/>
            <w:vAlign w:val="center"/>
          </w:tcPr>
          <w:p w14:paraId="23BCD737">
            <w:pPr>
              <w:pStyle w:val="5"/>
              <w:spacing w:line="360" w:lineRule="auto"/>
              <w:ind w:firstLine="0"/>
              <w:rPr>
                <w:rFonts w:ascii="微软雅黑" w:hAnsi="微软雅黑" w:eastAsia="微软雅黑" w:cs="宋体"/>
                <w:szCs w:val="21"/>
              </w:rPr>
            </w:pPr>
            <w:r>
              <w:rPr>
                <w:rFonts w:hint="eastAsia" w:ascii="微软雅黑" w:hAnsi="微软雅黑" w:eastAsia="微软雅黑" w:cs="宋体"/>
                <w:szCs w:val="21"/>
              </w:rPr>
              <w:t>配好，</w:t>
            </w:r>
            <w:r>
              <w:rPr>
                <w:rFonts w:ascii="微软雅黑" w:hAnsi="微软雅黑" w:eastAsia="微软雅黑" w:cs="宋体"/>
                <w:szCs w:val="21"/>
              </w:rPr>
              <w:t>加装透明防护罩</w:t>
            </w:r>
            <w:r>
              <w:rPr>
                <w:rFonts w:hint="eastAsia" w:ascii="微软雅黑" w:hAnsi="微软雅黑" w:eastAsia="微软雅黑" w:cs="宋体"/>
                <w:szCs w:val="21"/>
              </w:rPr>
              <w:t>；</w:t>
            </w:r>
            <w:r>
              <w:rPr>
                <w:rFonts w:ascii="微软雅黑" w:hAnsi="微软雅黑" w:eastAsia="微软雅黑" w:cs="宋体"/>
                <w:szCs w:val="21"/>
              </w:rPr>
              <w:t>并配置旋转式插线铅封（散发）。</w:t>
            </w:r>
          </w:p>
        </w:tc>
      </w:tr>
      <w:tr w14:paraId="4AAD5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19" w:type="dxa"/>
            <w:shd w:val="clear" w:color="auto" w:fill="auto"/>
            <w:vAlign w:val="center"/>
          </w:tcPr>
          <w:p w14:paraId="620BAB34">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18</w:t>
            </w:r>
          </w:p>
        </w:tc>
        <w:tc>
          <w:tcPr>
            <w:tcW w:w="1797" w:type="dxa"/>
            <w:shd w:val="clear" w:color="auto" w:fill="auto"/>
            <w:vAlign w:val="center"/>
          </w:tcPr>
          <w:p w14:paraId="03254F49">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接地开关</w:t>
            </w:r>
          </w:p>
        </w:tc>
        <w:tc>
          <w:tcPr>
            <w:tcW w:w="3296" w:type="dxa"/>
            <w:gridSpan w:val="2"/>
            <w:shd w:val="clear" w:color="auto" w:fill="auto"/>
            <w:vAlign w:val="center"/>
          </w:tcPr>
          <w:p w14:paraId="5314D526">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安装配置：柜体中部</w:t>
            </w:r>
          </w:p>
        </w:tc>
        <w:tc>
          <w:tcPr>
            <w:tcW w:w="4172" w:type="dxa"/>
            <w:gridSpan w:val="3"/>
            <w:shd w:val="clear" w:color="auto" w:fill="auto"/>
            <w:vAlign w:val="center"/>
          </w:tcPr>
          <w:p w14:paraId="41B36482">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含联锁装置、操作手柄，安装调试好；与后门采用扁钢连锁。</w:t>
            </w:r>
          </w:p>
        </w:tc>
      </w:tr>
      <w:tr w14:paraId="15C6F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19" w:type="dxa"/>
            <w:shd w:val="clear" w:color="auto" w:fill="auto"/>
            <w:vAlign w:val="center"/>
          </w:tcPr>
          <w:p w14:paraId="03E7BE05">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19</w:t>
            </w:r>
          </w:p>
        </w:tc>
        <w:tc>
          <w:tcPr>
            <w:tcW w:w="1797" w:type="dxa"/>
            <w:shd w:val="clear" w:color="auto" w:fill="auto"/>
            <w:vAlign w:val="center"/>
          </w:tcPr>
          <w:p w14:paraId="53F7996B">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穿墙套管</w:t>
            </w:r>
          </w:p>
        </w:tc>
        <w:tc>
          <w:tcPr>
            <w:tcW w:w="7468" w:type="dxa"/>
            <w:gridSpan w:val="5"/>
            <w:shd w:val="clear" w:color="auto" w:fill="auto"/>
            <w:vAlign w:val="center"/>
          </w:tcPr>
          <w:p w14:paraId="5701893E">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母线套热缩管，数量按照系统图</w:t>
            </w:r>
          </w:p>
        </w:tc>
      </w:tr>
      <w:tr w14:paraId="1A78D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19" w:type="dxa"/>
            <w:shd w:val="clear" w:color="auto" w:fill="auto"/>
            <w:vAlign w:val="center"/>
          </w:tcPr>
          <w:p w14:paraId="1C69F79A">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20</w:t>
            </w:r>
          </w:p>
        </w:tc>
        <w:tc>
          <w:tcPr>
            <w:tcW w:w="1797" w:type="dxa"/>
            <w:shd w:val="clear" w:color="auto" w:fill="auto"/>
            <w:vAlign w:val="center"/>
          </w:tcPr>
          <w:p w14:paraId="41FC2FCE">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电磁锁</w:t>
            </w:r>
          </w:p>
        </w:tc>
        <w:tc>
          <w:tcPr>
            <w:tcW w:w="7468" w:type="dxa"/>
            <w:gridSpan w:val="5"/>
            <w:shd w:val="clear" w:color="auto" w:fill="auto"/>
            <w:vAlign w:val="center"/>
          </w:tcPr>
          <w:p w14:paraId="02FD00F5">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无接地开关配电磁锁，要满足五防要求</w:t>
            </w:r>
          </w:p>
        </w:tc>
      </w:tr>
      <w:tr w14:paraId="1DA47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19" w:type="dxa"/>
            <w:shd w:val="clear" w:color="auto" w:fill="auto"/>
            <w:vAlign w:val="center"/>
          </w:tcPr>
          <w:p w14:paraId="544CE923">
            <w:pPr>
              <w:spacing w:line="240" w:lineRule="atLeast"/>
              <w:jc w:val="center"/>
              <w:rPr>
                <w:rFonts w:ascii="微软雅黑" w:hAnsi="微软雅黑" w:eastAsia="微软雅黑" w:cs="宋体"/>
                <w:szCs w:val="21"/>
              </w:rPr>
            </w:pPr>
            <w:r>
              <w:rPr>
                <w:rFonts w:ascii="微软雅黑" w:hAnsi="微软雅黑" w:eastAsia="微软雅黑" w:cs="宋体"/>
                <w:szCs w:val="21"/>
              </w:rPr>
              <w:t>21</w:t>
            </w:r>
          </w:p>
        </w:tc>
        <w:tc>
          <w:tcPr>
            <w:tcW w:w="1797" w:type="dxa"/>
            <w:shd w:val="clear" w:color="auto" w:fill="auto"/>
            <w:vAlign w:val="center"/>
          </w:tcPr>
          <w:p w14:paraId="1E8E4EA7">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静触头及触头盒</w:t>
            </w:r>
          </w:p>
        </w:tc>
        <w:tc>
          <w:tcPr>
            <w:tcW w:w="7468" w:type="dxa"/>
            <w:gridSpan w:val="5"/>
            <w:shd w:val="clear" w:color="auto" w:fill="auto"/>
            <w:vAlign w:val="center"/>
          </w:tcPr>
          <w:p w14:paraId="44728237">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静触头与触头盒配套，数量按照系统图配置，</w:t>
            </w:r>
            <w:r>
              <w:rPr>
                <w:rFonts w:hint="eastAsia" w:ascii="微软雅黑" w:hAnsi="微软雅黑" w:eastAsia="微软雅黑" w:cs="宋体"/>
                <w:kern w:val="0"/>
                <w:szCs w:val="21"/>
              </w:rPr>
              <w:t>触头盒不得小于180；</w:t>
            </w:r>
            <w:r>
              <w:rPr>
                <w:rFonts w:hint="eastAsia" w:ascii="微软雅黑" w:hAnsi="微软雅黑" w:eastAsia="微软雅黑" w:cs="宋体"/>
                <w:color w:val="FF0000"/>
                <w:kern w:val="0"/>
                <w:szCs w:val="21"/>
              </w:rPr>
              <w:t>必须配好静触头安装螺钉；</w:t>
            </w:r>
          </w:p>
        </w:tc>
      </w:tr>
      <w:tr w14:paraId="1AA04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719" w:type="dxa"/>
            <w:vMerge w:val="restart"/>
            <w:shd w:val="clear" w:color="auto" w:fill="auto"/>
            <w:vAlign w:val="center"/>
          </w:tcPr>
          <w:p w14:paraId="0072D9B2">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22</w:t>
            </w:r>
          </w:p>
        </w:tc>
        <w:tc>
          <w:tcPr>
            <w:tcW w:w="1797" w:type="dxa"/>
            <w:vMerge w:val="restart"/>
            <w:shd w:val="clear" w:color="auto" w:fill="auto"/>
            <w:vAlign w:val="center"/>
          </w:tcPr>
          <w:p w14:paraId="099C04CC">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五防方式</w:t>
            </w:r>
          </w:p>
        </w:tc>
        <w:tc>
          <w:tcPr>
            <w:tcW w:w="7468" w:type="dxa"/>
            <w:gridSpan w:val="5"/>
            <w:shd w:val="clear" w:color="auto" w:fill="auto"/>
            <w:vAlign w:val="center"/>
          </w:tcPr>
          <w:p w14:paraId="19449631">
            <w:pPr>
              <w:spacing w:line="240" w:lineRule="atLeast"/>
              <w:jc w:val="left"/>
              <w:rPr>
                <w:rFonts w:ascii="微软雅黑" w:hAnsi="微软雅黑" w:eastAsia="微软雅黑" w:cs="宋体"/>
                <w:szCs w:val="21"/>
              </w:rPr>
            </w:pPr>
            <w:r>
              <w:rPr>
                <w:rFonts w:hint="eastAsia" w:ascii="微软雅黑" w:hAnsi="微软雅黑" w:eastAsia="微软雅黑" w:cs="宋体"/>
                <w:kern w:val="0"/>
                <w:szCs w:val="21"/>
              </w:rPr>
              <w:t>1、后门关上才能操作接地开关；无接地开关柜（前）后下门装电磁锁（AC/DC220V）；</w:t>
            </w:r>
          </w:p>
        </w:tc>
      </w:tr>
      <w:tr w14:paraId="49CA7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719" w:type="dxa"/>
            <w:vMerge w:val="continue"/>
            <w:shd w:val="clear" w:color="auto" w:fill="auto"/>
            <w:vAlign w:val="center"/>
          </w:tcPr>
          <w:p w14:paraId="0C93A51D">
            <w:pPr>
              <w:spacing w:line="240" w:lineRule="atLeast"/>
              <w:jc w:val="center"/>
              <w:rPr>
                <w:rFonts w:ascii="微软雅黑" w:hAnsi="微软雅黑" w:eastAsia="微软雅黑" w:cs="宋体"/>
                <w:szCs w:val="21"/>
              </w:rPr>
            </w:pPr>
          </w:p>
        </w:tc>
        <w:tc>
          <w:tcPr>
            <w:tcW w:w="1797" w:type="dxa"/>
            <w:vMerge w:val="continue"/>
            <w:shd w:val="clear" w:color="auto" w:fill="auto"/>
            <w:vAlign w:val="center"/>
          </w:tcPr>
          <w:p w14:paraId="767C18D6">
            <w:pPr>
              <w:spacing w:line="240" w:lineRule="atLeast"/>
              <w:jc w:val="left"/>
              <w:rPr>
                <w:rFonts w:ascii="微软雅黑" w:hAnsi="微软雅黑" w:eastAsia="微软雅黑" w:cs="宋体"/>
                <w:szCs w:val="21"/>
              </w:rPr>
            </w:pPr>
          </w:p>
        </w:tc>
        <w:tc>
          <w:tcPr>
            <w:tcW w:w="7468" w:type="dxa"/>
            <w:gridSpan w:val="5"/>
            <w:shd w:val="clear" w:color="auto" w:fill="auto"/>
            <w:vAlign w:val="center"/>
          </w:tcPr>
          <w:p w14:paraId="1478FCAA">
            <w:pPr>
              <w:spacing w:line="240" w:lineRule="atLeast"/>
              <w:jc w:val="left"/>
              <w:rPr>
                <w:rFonts w:ascii="微软雅黑" w:hAnsi="微软雅黑" w:eastAsia="微软雅黑" w:cs="宋体"/>
                <w:szCs w:val="21"/>
              </w:rPr>
            </w:pPr>
            <w:r>
              <w:rPr>
                <w:rFonts w:hint="eastAsia" w:ascii="微软雅黑" w:hAnsi="微软雅黑" w:eastAsia="微软雅黑" w:cs="宋体"/>
                <w:kern w:val="0"/>
                <w:szCs w:val="21"/>
              </w:rPr>
              <w:t>2、隔离手车、熔断器手车装闭锁电磁铁（AC/DC220V）；</w:t>
            </w:r>
          </w:p>
        </w:tc>
      </w:tr>
      <w:tr w14:paraId="5D933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719" w:type="dxa"/>
            <w:vMerge w:val="continue"/>
            <w:shd w:val="clear" w:color="auto" w:fill="auto"/>
            <w:vAlign w:val="center"/>
          </w:tcPr>
          <w:p w14:paraId="5C0D3ADE">
            <w:pPr>
              <w:spacing w:line="240" w:lineRule="atLeast"/>
              <w:jc w:val="center"/>
              <w:rPr>
                <w:rFonts w:ascii="微软雅黑" w:hAnsi="微软雅黑" w:eastAsia="微软雅黑" w:cs="宋体"/>
                <w:szCs w:val="21"/>
              </w:rPr>
            </w:pPr>
          </w:p>
        </w:tc>
        <w:tc>
          <w:tcPr>
            <w:tcW w:w="1797" w:type="dxa"/>
            <w:vMerge w:val="continue"/>
            <w:shd w:val="clear" w:color="auto" w:fill="auto"/>
            <w:vAlign w:val="center"/>
          </w:tcPr>
          <w:p w14:paraId="1A61DECB">
            <w:pPr>
              <w:spacing w:line="240" w:lineRule="atLeast"/>
              <w:jc w:val="left"/>
              <w:rPr>
                <w:rFonts w:ascii="微软雅黑" w:hAnsi="微软雅黑" w:eastAsia="微软雅黑" w:cs="宋体"/>
                <w:szCs w:val="21"/>
              </w:rPr>
            </w:pPr>
          </w:p>
        </w:tc>
        <w:tc>
          <w:tcPr>
            <w:tcW w:w="7468" w:type="dxa"/>
            <w:gridSpan w:val="5"/>
            <w:shd w:val="clear" w:color="auto" w:fill="auto"/>
            <w:vAlign w:val="center"/>
          </w:tcPr>
          <w:p w14:paraId="1831DEA8">
            <w:pPr>
              <w:spacing w:line="240" w:lineRule="atLeast"/>
              <w:jc w:val="left"/>
              <w:rPr>
                <w:rFonts w:ascii="微软雅黑" w:hAnsi="微软雅黑" w:eastAsia="微软雅黑" w:cs="宋体"/>
                <w:szCs w:val="21"/>
              </w:rPr>
            </w:pPr>
            <w:r>
              <w:rPr>
                <w:rFonts w:hint="eastAsia" w:ascii="微软雅黑" w:hAnsi="微软雅黑" w:eastAsia="微软雅黑" w:cs="宋体"/>
                <w:kern w:val="0"/>
                <w:szCs w:val="21"/>
              </w:rPr>
              <w:t>3、进线柜及电缆头柜前下门安装电磁锁；且电缆头柜中下门互锁；</w:t>
            </w:r>
          </w:p>
        </w:tc>
      </w:tr>
      <w:tr w14:paraId="7CEB7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719" w:type="dxa"/>
            <w:vMerge w:val="continue"/>
            <w:shd w:val="clear" w:color="auto" w:fill="auto"/>
            <w:vAlign w:val="center"/>
          </w:tcPr>
          <w:p w14:paraId="52B83E4C">
            <w:pPr>
              <w:spacing w:line="240" w:lineRule="atLeast"/>
              <w:jc w:val="center"/>
              <w:rPr>
                <w:rFonts w:ascii="微软雅黑" w:hAnsi="微软雅黑" w:eastAsia="微软雅黑" w:cs="宋体"/>
                <w:szCs w:val="21"/>
              </w:rPr>
            </w:pPr>
          </w:p>
        </w:tc>
        <w:tc>
          <w:tcPr>
            <w:tcW w:w="1797" w:type="dxa"/>
            <w:vMerge w:val="continue"/>
            <w:shd w:val="clear" w:color="auto" w:fill="auto"/>
            <w:vAlign w:val="center"/>
          </w:tcPr>
          <w:p w14:paraId="60A527F1">
            <w:pPr>
              <w:spacing w:line="240" w:lineRule="atLeast"/>
              <w:jc w:val="left"/>
              <w:rPr>
                <w:rFonts w:ascii="微软雅黑" w:hAnsi="微软雅黑" w:eastAsia="微软雅黑" w:cs="宋体"/>
                <w:szCs w:val="21"/>
              </w:rPr>
            </w:pPr>
          </w:p>
        </w:tc>
        <w:tc>
          <w:tcPr>
            <w:tcW w:w="7468" w:type="dxa"/>
            <w:gridSpan w:val="5"/>
            <w:shd w:val="clear" w:color="auto" w:fill="auto"/>
            <w:vAlign w:val="center"/>
          </w:tcPr>
          <w:p w14:paraId="6D62C5D5">
            <w:pPr>
              <w:spacing w:line="240" w:lineRule="atLeast"/>
              <w:jc w:val="left"/>
              <w:rPr>
                <w:rFonts w:ascii="微软雅黑" w:hAnsi="微软雅黑" w:eastAsia="微软雅黑" w:cs="宋体"/>
                <w:szCs w:val="21"/>
              </w:rPr>
            </w:pPr>
            <w:r>
              <w:rPr>
                <w:rFonts w:hint="eastAsia" w:ascii="微软雅黑" w:hAnsi="微软雅黑" w:eastAsia="微软雅黑" w:cs="宋体"/>
                <w:kern w:val="0"/>
                <w:szCs w:val="21"/>
              </w:rPr>
              <w:t>4、柜体前后电缆室均隔开；不采用绝缘板，如有母线通过，采用穿墙套管方式安装。</w:t>
            </w:r>
          </w:p>
        </w:tc>
      </w:tr>
      <w:tr w14:paraId="10B74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19" w:type="dxa"/>
            <w:vMerge w:val="continue"/>
            <w:shd w:val="clear" w:color="auto" w:fill="auto"/>
            <w:vAlign w:val="center"/>
          </w:tcPr>
          <w:p w14:paraId="08CA0F40">
            <w:pPr>
              <w:spacing w:line="240" w:lineRule="atLeast"/>
              <w:jc w:val="center"/>
              <w:rPr>
                <w:rFonts w:ascii="微软雅黑" w:hAnsi="微软雅黑" w:eastAsia="微软雅黑" w:cs="宋体"/>
                <w:szCs w:val="21"/>
              </w:rPr>
            </w:pPr>
          </w:p>
        </w:tc>
        <w:tc>
          <w:tcPr>
            <w:tcW w:w="1797" w:type="dxa"/>
            <w:vMerge w:val="continue"/>
            <w:shd w:val="clear" w:color="auto" w:fill="auto"/>
            <w:vAlign w:val="center"/>
          </w:tcPr>
          <w:p w14:paraId="6858E7CE">
            <w:pPr>
              <w:spacing w:line="240" w:lineRule="atLeast"/>
              <w:jc w:val="left"/>
              <w:rPr>
                <w:rFonts w:ascii="微软雅黑" w:hAnsi="微软雅黑" w:eastAsia="微软雅黑" w:cs="宋体"/>
                <w:szCs w:val="21"/>
              </w:rPr>
            </w:pPr>
          </w:p>
        </w:tc>
        <w:tc>
          <w:tcPr>
            <w:tcW w:w="7468" w:type="dxa"/>
            <w:gridSpan w:val="5"/>
            <w:shd w:val="clear" w:color="auto" w:fill="auto"/>
            <w:vAlign w:val="center"/>
          </w:tcPr>
          <w:p w14:paraId="146B87B0">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5、配齐各类联锁装置</w:t>
            </w:r>
          </w:p>
        </w:tc>
      </w:tr>
      <w:tr w14:paraId="55289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19" w:type="dxa"/>
            <w:shd w:val="clear" w:color="auto" w:fill="auto"/>
            <w:vAlign w:val="center"/>
          </w:tcPr>
          <w:p w14:paraId="36A60931">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23</w:t>
            </w:r>
          </w:p>
        </w:tc>
        <w:tc>
          <w:tcPr>
            <w:tcW w:w="1797" w:type="dxa"/>
            <w:shd w:val="clear" w:color="auto" w:fill="auto"/>
            <w:vAlign w:val="center"/>
          </w:tcPr>
          <w:p w14:paraId="3A7B785A">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连接片、标签框</w:t>
            </w:r>
          </w:p>
        </w:tc>
        <w:tc>
          <w:tcPr>
            <w:tcW w:w="7468" w:type="dxa"/>
            <w:gridSpan w:val="5"/>
            <w:shd w:val="clear" w:color="auto" w:fill="auto"/>
            <w:vAlign w:val="center"/>
          </w:tcPr>
          <w:p w14:paraId="0C84079D">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配齐连接片，可散发，型号：JY1-2(颜色按项目具体要求)；配齐标签框，装好；</w:t>
            </w:r>
          </w:p>
        </w:tc>
      </w:tr>
      <w:tr w14:paraId="0C92A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19" w:type="dxa"/>
            <w:shd w:val="clear" w:color="auto" w:fill="auto"/>
            <w:vAlign w:val="center"/>
          </w:tcPr>
          <w:p w14:paraId="5090C277">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24</w:t>
            </w:r>
          </w:p>
        </w:tc>
        <w:tc>
          <w:tcPr>
            <w:tcW w:w="1797" w:type="dxa"/>
            <w:shd w:val="clear" w:color="auto" w:fill="auto"/>
            <w:vAlign w:val="center"/>
          </w:tcPr>
          <w:p w14:paraId="3FDBB70A">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加热器</w:t>
            </w:r>
          </w:p>
        </w:tc>
        <w:tc>
          <w:tcPr>
            <w:tcW w:w="7468" w:type="dxa"/>
            <w:gridSpan w:val="5"/>
            <w:shd w:val="clear" w:color="auto" w:fill="auto"/>
            <w:vAlign w:val="center"/>
          </w:tcPr>
          <w:p w14:paraId="0F9E216B">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仪表室、手车室各一个，安装好，配好防护罩；</w:t>
            </w:r>
            <w:r>
              <w:rPr>
                <w:rFonts w:hint="eastAsia" w:ascii="微软雅黑" w:hAnsi="微软雅黑" w:eastAsia="微软雅黑" w:cs="宋体"/>
                <w:kern w:val="0"/>
                <w:szCs w:val="21"/>
              </w:rPr>
              <w:t>配好传感器安装板</w:t>
            </w:r>
            <w:r>
              <w:rPr>
                <w:rFonts w:ascii="微软雅黑" w:hAnsi="微软雅黑" w:eastAsia="微软雅黑" w:cs="宋体"/>
                <w:kern w:val="0"/>
                <w:szCs w:val="21"/>
              </w:rPr>
              <w:t xml:space="preserve"> </w:t>
            </w:r>
            <w:r>
              <w:rPr>
                <w:rFonts w:hint="eastAsia" w:ascii="微软雅黑" w:hAnsi="微软雅黑" w:eastAsia="微软雅黑" w:cs="宋体"/>
                <w:kern w:val="0"/>
                <w:szCs w:val="21"/>
              </w:rPr>
              <w:t>（附图）</w:t>
            </w:r>
          </w:p>
        </w:tc>
      </w:tr>
      <w:tr w14:paraId="79386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719" w:type="dxa"/>
            <w:shd w:val="clear" w:color="auto" w:fill="auto"/>
            <w:vAlign w:val="center"/>
          </w:tcPr>
          <w:p w14:paraId="2168F7B0">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25</w:t>
            </w:r>
          </w:p>
        </w:tc>
        <w:tc>
          <w:tcPr>
            <w:tcW w:w="1797" w:type="dxa"/>
            <w:shd w:val="clear" w:color="auto" w:fill="auto"/>
            <w:vAlign w:val="center"/>
          </w:tcPr>
          <w:p w14:paraId="5FAF4350">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真空断路器附件</w:t>
            </w:r>
          </w:p>
        </w:tc>
        <w:tc>
          <w:tcPr>
            <w:tcW w:w="3296" w:type="dxa"/>
            <w:gridSpan w:val="2"/>
            <w:shd w:val="clear" w:color="auto" w:fill="auto"/>
            <w:vAlign w:val="center"/>
          </w:tcPr>
          <w:p w14:paraId="42E2CCB3">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配软管（波纹管）、弯头</w:t>
            </w:r>
          </w:p>
        </w:tc>
        <w:tc>
          <w:tcPr>
            <w:tcW w:w="4172" w:type="dxa"/>
            <w:gridSpan w:val="3"/>
            <w:shd w:val="clear" w:color="auto" w:fill="auto"/>
            <w:vAlign w:val="center"/>
          </w:tcPr>
          <w:p w14:paraId="4C186080">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本批不配套</w:t>
            </w:r>
          </w:p>
        </w:tc>
      </w:tr>
      <w:tr w14:paraId="20133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719" w:type="dxa"/>
            <w:shd w:val="clear" w:color="auto" w:fill="auto"/>
            <w:vAlign w:val="center"/>
          </w:tcPr>
          <w:p w14:paraId="5906D816">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26</w:t>
            </w:r>
          </w:p>
        </w:tc>
        <w:tc>
          <w:tcPr>
            <w:tcW w:w="1797" w:type="dxa"/>
            <w:shd w:val="clear" w:color="auto" w:fill="auto"/>
            <w:vAlign w:val="center"/>
          </w:tcPr>
          <w:p w14:paraId="57B17115">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柜体仪表门开孔图</w:t>
            </w:r>
          </w:p>
        </w:tc>
        <w:tc>
          <w:tcPr>
            <w:tcW w:w="3296" w:type="dxa"/>
            <w:gridSpan w:val="2"/>
            <w:shd w:val="clear" w:color="auto" w:fill="auto"/>
            <w:vAlign w:val="center"/>
          </w:tcPr>
          <w:p w14:paraId="69B397F2">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制造厂绘制，我方确认</w:t>
            </w:r>
          </w:p>
        </w:tc>
        <w:tc>
          <w:tcPr>
            <w:tcW w:w="4172" w:type="dxa"/>
            <w:gridSpan w:val="3"/>
            <w:shd w:val="clear" w:color="auto" w:fill="auto"/>
            <w:vAlign w:val="center"/>
          </w:tcPr>
          <w:p w14:paraId="5B36024B">
            <w:pPr>
              <w:spacing w:line="240" w:lineRule="atLeast"/>
              <w:jc w:val="left"/>
              <w:rPr>
                <w:rFonts w:ascii="微软雅黑" w:hAnsi="微软雅黑" w:eastAsia="微软雅黑" w:cs="宋体"/>
                <w:szCs w:val="21"/>
              </w:rPr>
            </w:pPr>
            <w:r>
              <w:rPr>
                <w:rFonts w:hint="eastAsia" w:ascii="微软雅黑" w:hAnsi="微软雅黑" w:eastAsia="微软雅黑" w:cs="宋体"/>
                <w:szCs w:val="21"/>
              </w:rPr>
              <w:t>中标后根据我方最终清单绘制</w:t>
            </w:r>
          </w:p>
        </w:tc>
      </w:tr>
      <w:tr w14:paraId="47C89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19" w:type="dxa"/>
            <w:vAlign w:val="center"/>
          </w:tcPr>
          <w:p w14:paraId="5F52D952">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27</w:t>
            </w:r>
          </w:p>
        </w:tc>
        <w:tc>
          <w:tcPr>
            <w:tcW w:w="1797" w:type="dxa"/>
            <w:vAlign w:val="center"/>
          </w:tcPr>
          <w:p w14:paraId="43420EDB">
            <w:pPr>
              <w:spacing w:line="240" w:lineRule="atLeast"/>
              <w:jc w:val="center"/>
              <w:rPr>
                <w:rFonts w:ascii="微软雅黑" w:hAnsi="微软雅黑" w:eastAsia="微软雅黑" w:cs="宋体"/>
                <w:szCs w:val="21"/>
              </w:rPr>
            </w:pPr>
            <w:r>
              <w:rPr>
                <w:rFonts w:hint="eastAsia" w:ascii="微软雅黑" w:hAnsi="微软雅黑" w:eastAsia="微软雅黑" w:cs="宋体"/>
                <w:szCs w:val="21"/>
              </w:rPr>
              <w:t>活门</w:t>
            </w:r>
          </w:p>
        </w:tc>
        <w:tc>
          <w:tcPr>
            <w:tcW w:w="7468" w:type="dxa"/>
            <w:gridSpan w:val="5"/>
            <w:shd w:val="clear" w:color="auto" w:fill="auto"/>
            <w:vAlign w:val="center"/>
          </w:tcPr>
          <w:p w14:paraId="3E212E92">
            <w:pPr>
              <w:spacing w:line="240" w:lineRule="atLeast"/>
              <w:rPr>
                <w:rFonts w:ascii="微软雅黑" w:hAnsi="微软雅黑" w:eastAsia="微软雅黑" w:cs="宋体"/>
                <w:szCs w:val="21"/>
              </w:rPr>
            </w:pPr>
            <w:r>
              <w:rPr>
                <w:rFonts w:hint="eastAsia" w:ascii="微软雅黑" w:hAnsi="微软雅黑" w:eastAsia="微软雅黑" w:cs="宋体"/>
                <w:szCs w:val="21"/>
              </w:rPr>
              <w:t>柜体安装海拔高度1652米，柜体活门板采用</w:t>
            </w:r>
            <w:r>
              <w:rPr>
                <w:rFonts w:ascii="微软雅黑" w:hAnsi="微软雅黑" w:eastAsia="微软雅黑" w:cs="宋体"/>
                <w:szCs w:val="21"/>
              </w:rPr>
              <w:t>SMC</w:t>
            </w:r>
            <w:r>
              <w:rPr>
                <w:rFonts w:hint="eastAsia" w:ascii="微软雅黑" w:hAnsi="微软雅黑" w:eastAsia="微软雅黑" w:cs="宋体"/>
                <w:szCs w:val="21"/>
              </w:rPr>
              <w:t>绝缘板制作</w:t>
            </w:r>
            <w:r>
              <w:rPr>
                <w:rFonts w:ascii="微软雅黑" w:hAnsi="微软雅黑" w:eastAsia="微软雅黑" w:cs="宋体"/>
                <w:szCs w:val="21"/>
              </w:rPr>
              <w:t xml:space="preserve">. </w:t>
            </w:r>
          </w:p>
        </w:tc>
      </w:tr>
    </w:tbl>
    <w:p w14:paraId="76E3A1F7">
      <w:pPr>
        <w:spacing w:line="360" w:lineRule="auto"/>
        <w:jc w:val="left"/>
        <w:rPr>
          <w:rFonts w:ascii="微软雅黑" w:hAnsi="微软雅黑" w:eastAsia="微软雅黑" w:cs="宋体"/>
          <w:szCs w:val="21"/>
        </w:rPr>
      </w:pPr>
    </w:p>
    <w:p w14:paraId="45C479EE">
      <w:pPr>
        <w:spacing w:line="360" w:lineRule="auto"/>
        <w:jc w:val="left"/>
        <w:rPr>
          <w:rFonts w:ascii="微软雅黑" w:hAnsi="微软雅黑" w:eastAsia="微软雅黑" w:cs="宋体"/>
          <w:szCs w:val="21"/>
        </w:rPr>
      </w:pPr>
      <w:r>
        <w:rPr>
          <w:rFonts w:hint="eastAsia" w:ascii="微软雅黑" w:hAnsi="微软雅黑" w:eastAsia="微软雅黑" w:cs="宋体"/>
          <w:szCs w:val="21"/>
        </w:rPr>
        <w:t>专用工具</w:t>
      </w:r>
    </w:p>
    <w:tbl>
      <w:tblPr>
        <w:tblStyle w:val="10"/>
        <w:tblW w:w="9880" w:type="dxa"/>
        <w:tblInd w:w="93" w:type="dxa"/>
        <w:tblLayout w:type="autofit"/>
        <w:tblCellMar>
          <w:top w:w="0" w:type="dxa"/>
          <w:left w:w="108" w:type="dxa"/>
          <w:bottom w:w="0" w:type="dxa"/>
          <w:right w:w="108" w:type="dxa"/>
        </w:tblCellMar>
      </w:tblPr>
      <w:tblGrid>
        <w:gridCol w:w="866"/>
        <w:gridCol w:w="2410"/>
        <w:gridCol w:w="3944"/>
        <w:gridCol w:w="700"/>
        <w:gridCol w:w="980"/>
        <w:gridCol w:w="980"/>
      </w:tblGrid>
      <w:tr w14:paraId="164F5556">
        <w:tblPrEx>
          <w:tblCellMar>
            <w:top w:w="0" w:type="dxa"/>
            <w:left w:w="108" w:type="dxa"/>
            <w:bottom w:w="0" w:type="dxa"/>
            <w:right w:w="108" w:type="dxa"/>
          </w:tblCellMar>
        </w:tblPrEx>
        <w:trPr>
          <w:trHeight w:val="324" w:hRule="atLeast"/>
        </w:trPr>
        <w:tc>
          <w:tcPr>
            <w:tcW w:w="866" w:type="dxa"/>
            <w:tcBorders>
              <w:top w:val="single" w:color="auto" w:sz="4" w:space="0"/>
              <w:left w:val="single" w:color="auto" w:sz="4" w:space="0"/>
              <w:bottom w:val="single" w:color="auto" w:sz="4" w:space="0"/>
              <w:right w:val="single" w:color="auto" w:sz="4" w:space="0"/>
            </w:tcBorders>
            <w:shd w:val="clear" w:color="auto" w:fill="auto"/>
            <w:vAlign w:val="center"/>
          </w:tcPr>
          <w:p w14:paraId="1159D442">
            <w:pPr>
              <w:widowControl/>
              <w:jc w:val="center"/>
              <w:rPr>
                <w:rFonts w:ascii="微软雅黑" w:hAnsi="微软雅黑" w:eastAsia="微软雅黑" w:cs="宋体"/>
                <w:b/>
                <w:bCs/>
                <w:kern w:val="0"/>
                <w:sz w:val="22"/>
              </w:rPr>
            </w:pPr>
            <w:r>
              <w:rPr>
                <w:rFonts w:hint="eastAsia" w:ascii="微软雅黑" w:hAnsi="微软雅黑" w:eastAsia="微软雅黑" w:cs="宋体"/>
                <w:b/>
                <w:bCs/>
                <w:kern w:val="0"/>
                <w:sz w:val="22"/>
              </w:rPr>
              <w:t>序号</w:t>
            </w:r>
          </w:p>
        </w:tc>
        <w:tc>
          <w:tcPr>
            <w:tcW w:w="2410" w:type="dxa"/>
            <w:tcBorders>
              <w:top w:val="single" w:color="auto" w:sz="4" w:space="0"/>
              <w:left w:val="nil"/>
              <w:bottom w:val="single" w:color="auto" w:sz="4" w:space="0"/>
              <w:right w:val="single" w:color="auto" w:sz="4" w:space="0"/>
            </w:tcBorders>
            <w:shd w:val="clear" w:color="auto" w:fill="auto"/>
            <w:vAlign w:val="center"/>
          </w:tcPr>
          <w:p w14:paraId="277D5E48">
            <w:pPr>
              <w:widowControl/>
              <w:jc w:val="center"/>
              <w:rPr>
                <w:rFonts w:ascii="微软雅黑" w:hAnsi="微软雅黑" w:eastAsia="微软雅黑" w:cs="宋体"/>
                <w:b/>
                <w:bCs/>
                <w:kern w:val="0"/>
                <w:sz w:val="22"/>
              </w:rPr>
            </w:pPr>
            <w:r>
              <w:rPr>
                <w:rFonts w:hint="eastAsia" w:ascii="微软雅黑" w:hAnsi="微软雅黑" w:eastAsia="微软雅黑" w:cs="宋体"/>
                <w:b/>
                <w:bCs/>
                <w:kern w:val="0"/>
                <w:sz w:val="22"/>
              </w:rPr>
              <w:t>名称</w:t>
            </w:r>
          </w:p>
        </w:tc>
        <w:tc>
          <w:tcPr>
            <w:tcW w:w="3944" w:type="dxa"/>
            <w:tcBorders>
              <w:top w:val="single" w:color="auto" w:sz="4" w:space="0"/>
              <w:left w:val="nil"/>
              <w:bottom w:val="single" w:color="auto" w:sz="4" w:space="0"/>
              <w:right w:val="single" w:color="auto" w:sz="4" w:space="0"/>
            </w:tcBorders>
            <w:shd w:val="clear" w:color="auto" w:fill="auto"/>
            <w:vAlign w:val="center"/>
          </w:tcPr>
          <w:p w14:paraId="74FCED79">
            <w:pPr>
              <w:widowControl/>
              <w:jc w:val="center"/>
              <w:rPr>
                <w:rFonts w:ascii="微软雅黑" w:hAnsi="微软雅黑" w:eastAsia="微软雅黑" w:cs="宋体"/>
                <w:b/>
                <w:bCs/>
                <w:kern w:val="0"/>
                <w:sz w:val="22"/>
              </w:rPr>
            </w:pPr>
            <w:r>
              <w:rPr>
                <w:rFonts w:hint="eastAsia" w:ascii="微软雅黑" w:hAnsi="微软雅黑" w:eastAsia="微软雅黑" w:cs="宋体"/>
                <w:b/>
                <w:bCs/>
                <w:kern w:val="0"/>
                <w:sz w:val="22"/>
              </w:rPr>
              <w:t>型号</w:t>
            </w:r>
          </w:p>
        </w:tc>
        <w:tc>
          <w:tcPr>
            <w:tcW w:w="700" w:type="dxa"/>
            <w:tcBorders>
              <w:top w:val="single" w:color="auto" w:sz="4" w:space="0"/>
              <w:left w:val="nil"/>
              <w:bottom w:val="single" w:color="auto" w:sz="4" w:space="0"/>
              <w:right w:val="single" w:color="auto" w:sz="4" w:space="0"/>
            </w:tcBorders>
            <w:shd w:val="clear" w:color="auto" w:fill="auto"/>
            <w:vAlign w:val="center"/>
          </w:tcPr>
          <w:p w14:paraId="6BB006AB">
            <w:pPr>
              <w:widowControl/>
              <w:jc w:val="center"/>
              <w:rPr>
                <w:rFonts w:ascii="微软雅黑" w:hAnsi="微软雅黑" w:eastAsia="微软雅黑" w:cs="宋体"/>
                <w:b/>
                <w:bCs/>
                <w:kern w:val="0"/>
                <w:sz w:val="22"/>
              </w:rPr>
            </w:pPr>
            <w:r>
              <w:rPr>
                <w:rFonts w:hint="eastAsia" w:ascii="微软雅黑" w:hAnsi="微软雅黑" w:eastAsia="微软雅黑" w:cs="宋体"/>
                <w:b/>
                <w:bCs/>
                <w:kern w:val="0"/>
                <w:sz w:val="22"/>
              </w:rPr>
              <w:t>单位</w:t>
            </w:r>
          </w:p>
        </w:tc>
        <w:tc>
          <w:tcPr>
            <w:tcW w:w="980" w:type="dxa"/>
            <w:tcBorders>
              <w:top w:val="single" w:color="auto" w:sz="4" w:space="0"/>
              <w:left w:val="nil"/>
              <w:bottom w:val="single" w:color="auto" w:sz="4" w:space="0"/>
              <w:right w:val="single" w:color="auto" w:sz="4" w:space="0"/>
            </w:tcBorders>
            <w:shd w:val="clear" w:color="auto" w:fill="auto"/>
            <w:vAlign w:val="center"/>
          </w:tcPr>
          <w:p w14:paraId="54D77CF1">
            <w:pPr>
              <w:widowControl/>
              <w:jc w:val="center"/>
              <w:rPr>
                <w:rFonts w:ascii="微软雅黑" w:hAnsi="微软雅黑" w:eastAsia="微软雅黑" w:cs="宋体"/>
                <w:b/>
                <w:bCs/>
                <w:kern w:val="0"/>
                <w:sz w:val="22"/>
              </w:rPr>
            </w:pPr>
            <w:r>
              <w:rPr>
                <w:rFonts w:hint="eastAsia" w:ascii="微软雅黑" w:hAnsi="微软雅黑" w:eastAsia="微软雅黑" w:cs="宋体"/>
                <w:b/>
                <w:bCs/>
                <w:kern w:val="0"/>
                <w:sz w:val="22"/>
              </w:rPr>
              <w:t>数量</w:t>
            </w:r>
          </w:p>
        </w:tc>
        <w:tc>
          <w:tcPr>
            <w:tcW w:w="980" w:type="dxa"/>
            <w:tcBorders>
              <w:top w:val="single" w:color="auto" w:sz="4" w:space="0"/>
              <w:left w:val="nil"/>
              <w:bottom w:val="single" w:color="auto" w:sz="4" w:space="0"/>
              <w:right w:val="single" w:color="auto" w:sz="4" w:space="0"/>
            </w:tcBorders>
            <w:shd w:val="clear" w:color="auto" w:fill="auto"/>
            <w:vAlign w:val="center"/>
          </w:tcPr>
          <w:p w14:paraId="6C715B85">
            <w:pPr>
              <w:widowControl/>
              <w:jc w:val="center"/>
              <w:rPr>
                <w:rFonts w:ascii="微软雅黑" w:hAnsi="微软雅黑" w:eastAsia="微软雅黑" w:cs="宋体"/>
                <w:b/>
                <w:bCs/>
                <w:kern w:val="0"/>
                <w:sz w:val="22"/>
              </w:rPr>
            </w:pPr>
            <w:r>
              <w:rPr>
                <w:rFonts w:hint="eastAsia" w:ascii="微软雅黑" w:hAnsi="微软雅黑" w:eastAsia="微软雅黑" w:cs="宋体"/>
                <w:b/>
                <w:bCs/>
                <w:kern w:val="0"/>
                <w:sz w:val="22"/>
              </w:rPr>
              <w:t>厂家</w:t>
            </w:r>
          </w:p>
        </w:tc>
      </w:tr>
      <w:tr w14:paraId="23E3B50B">
        <w:tblPrEx>
          <w:tblCellMar>
            <w:top w:w="0" w:type="dxa"/>
            <w:left w:w="108" w:type="dxa"/>
            <w:bottom w:w="0" w:type="dxa"/>
            <w:right w:w="108" w:type="dxa"/>
          </w:tblCellMar>
        </w:tblPrEx>
        <w:trPr>
          <w:trHeight w:val="348" w:hRule="atLeast"/>
        </w:trPr>
        <w:tc>
          <w:tcPr>
            <w:tcW w:w="866" w:type="dxa"/>
            <w:tcBorders>
              <w:top w:val="nil"/>
              <w:left w:val="single" w:color="auto" w:sz="4" w:space="0"/>
              <w:bottom w:val="single" w:color="auto" w:sz="4" w:space="0"/>
              <w:right w:val="single" w:color="auto" w:sz="4" w:space="0"/>
            </w:tcBorders>
            <w:shd w:val="clear" w:color="auto" w:fill="auto"/>
            <w:vAlign w:val="center"/>
          </w:tcPr>
          <w:p w14:paraId="02FC214B">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1</w:t>
            </w:r>
          </w:p>
        </w:tc>
        <w:tc>
          <w:tcPr>
            <w:tcW w:w="2410" w:type="dxa"/>
            <w:tcBorders>
              <w:top w:val="nil"/>
              <w:left w:val="nil"/>
              <w:bottom w:val="single" w:color="auto" w:sz="4" w:space="0"/>
              <w:right w:val="single" w:color="auto" w:sz="4" w:space="0"/>
            </w:tcBorders>
            <w:shd w:val="clear" w:color="auto" w:fill="auto"/>
            <w:vAlign w:val="center"/>
          </w:tcPr>
          <w:p w14:paraId="34B7140D">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转运小车</w:t>
            </w:r>
          </w:p>
        </w:tc>
        <w:tc>
          <w:tcPr>
            <w:tcW w:w="3944" w:type="dxa"/>
            <w:tcBorders>
              <w:top w:val="nil"/>
              <w:left w:val="nil"/>
              <w:bottom w:val="single" w:color="auto" w:sz="4" w:space="0"/>
              <w:right w:val="single" w:color="auto" w:sz="4" w:space="0"/>
            </w:tcBorders>
            <w:shd w:val="clear" w:color="auto" w:fill="auto"/>
            <w:vAlign w:val="center"/>
          </w:tcPr>
          <w:p w14:paraId="0C4FCDE8">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适用柜宽800mm</w:t>
            </w:r>
          </w:p>
        </w:tc>
        <w:tc>
          <w:tcPr>
            <w:tcW w:w="700" w:type="dxa"/>
            <w:tcBorders>
              <w:top w:val="nil"/>
              <w:left w:val="nil"/>
              <w:bottom w:val="single" w:color="auto" w:sz="4" w:space="0"/>
              <w:right w:val="single" w:color="auto" w:sz="4" w:space="0"/>
            </w:tcBorders>
            <w:shd w:val="clear" w:color="auto" w:fill="auto"/>
            <w:vAlign w:val="center"/>
          </w:tcPr>
          <w:p w14:paraId="0541D0C9">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台</w:t>
            </w:r>
          </w:p>
        </w:tc>
        <w:tc>
          <w:tcPr>
            <w:tcW w:w="980" w:type="dxa"/>
            <w:tcBorders>
              <w:top w:val="nil"/>
              <w:left w:val="nil"/>
              <w:bottom w:val="single" w:color="auto" w:sz="4" w:space="0"/>
              <w:right w:val="single" w:color="auto" w:sz="4" w:space="0"/>
            </w:tcBorders>
            <w:shd w:val="clear" w:color="auto" w:fill="auto"/>
            <w:vAlign w:val="center"/>
          </w:tcPr>
          <w:p w14:paraId="1D096F46">
            <w:pPr>
              <w:widowControl/>
              <w:jc w:val="center"/>
              <w:rPr>
                <w:rFonts w:hint="eastAsia" w:ascii="微软雅黑" w:hAnsi="微软雅黑" w:eastAsia="微软雅黑" w:cs="宋体"/>
                <w:kern w:val="0"/>
                <w:sz w:val="24"/>
                <w:szCs w:val="24"/>
                <w:lang w:val="en-US" w:eastAsia="zh-CN"/>
              </w:rPr>
            </w:pPr>
            <w:r>
              <w:rPr>
                <w:rFonts w:hint="eastAsia" w:ascii="微软雅黑" w:hAnsi="微软雅黑" w:eastAsia="微软雅黑" w:cs="宋体"/>
                <w:kern w:val="0"/>
                <w:sz w:val="24"/>
                <w:szCs w:val="24"/>
                <w:lang w:val="en-US" w:eastAsia="zh-CN"/>
              </w:rPr>
              <w:t>2</w:t>
            </w:r>
          </w:p>
        </w:tc>
        <w:tc>
          <w:tcPr>
            <w:tcW w:w="980" w:type="dxa"/>
            <w:tcBorders>
              <w:top w:val="nil"/>
              <w:left w:val="nil"/>
              <w:bottom w:val="single" w:color="auto" w:sz="4" w:space="0"/>
              <w:right w:val="single" w:color="auto" w:sz="4" w:space="0"/>
            </w:tcBorders>
            <w:shd w:val="clear" w:color="auto" w:fill="auto"/>
            <w:noWrap/>
            <w:vAlign w:val="center"/>
          </w:tcPr>
          <w:p w14:paraId="15C51B2C">
            <w:pPr>
              <w:widowControl/>
              <w:jc w:val="left"/>
              <w:rPr>
                <w:rFonts w:ascii="微软雅黑" w:hAnsi="微软雅黑" w:eastAsia="微软雅黑" w:cs="宋体"/>
                <w:kern w:val="0"/>
                <w:sz w:val="22"/>
              </w:rPr>
            </w:pPr>
            <w:r>
              <w:rPr>
                <w:rFonts w:hint="eastAsia" w:ascii="微软雅黑" w:hAnsi="微软雅黑" w:eastAsia="微软雅黑" w:cs="宋体"/>
                <w:kern w:val="0"/>
                <w:sz w:val="22"/>
              </w:rPr>
              <w:t>　</w:t>
            </w:r>
          </w:p>
        </w:tc>
      </w:tr>
      <w:tr w14:paraId="764B1430">
        <w:tblPrEx>
          <w:tblCellMar>
            <w:top w:w="0" w:type="dxa"/>
            <w:left w:w="108" w:type="dxa"/>
            <w:bottom w:w="0" w:type="dxa"/>
            <w:right w:w="108" w:type="dxa"/>
          </w:tblCellMar>
        </w:tblPrEx>
        <w:trPr>
          <w:trHeight w:val="348" w:hRule="atLeast"/>
        </w:trPr>
        <w:tc>
          <w:tcPr>
            <w:tcW w:w="866" w:type="dxa"/>
            <w:tcBorders>
              <w:top w:val="nil"/>
              <w:left w:val="single" w:color="auto" w:sz="4" w:space="0"/>
              <w:bottom w:val="single" w:color="auto" w:sz="4" w:space="0"/>
              <w:right w:val="single" w:color="auto" w:sz="4" w:space="0"/>
            </w:tcBorders>
            <w:shd w:val="clear" w:color="auto" w:fill="auto"/>
            <w:vAlign w:val="center"/>
          </w:tcPr>
          <w:p w14:paraId="20F5EB06">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5</w:t>
            </w:r>
          </w:p>
        </w:tc>
        <w:tc>
          <w:tcPr>
            <w:tcW w:w="2410" w:type="dxa"/>
            <w:tcBorders>
              <w:top w:val="nil"/>
              <w:left w:val="nil"/>
              <w:bottom w:val="single" w:color="auto" w:sz="4" w:space="0"/>
              <w:right w:val="single" w:color="auto" w:sz="4" w:space="0"/>
            </w:tcBorders>
            <w:shd w:val="clear" w:color="auto" w:fill="auto"/>
            <w:vAlign w:val="center"/>
          </w:tcPr>
          <w:p w14:paraId="4175988F">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带电显示器</w:t>
            </w:r>
          </w:p>
        </w:tc>
        <w:tc>
          <w:tcPr>
            <w:tcW w:w="3944" w:type="dxa"/>
            <w:tcBorders>
              <w:top w:val="nil"/>
              <w:left w:val="nil"/>
              <w:bottom w:val="single" w:color="auto" w:sz="4" w:space="0"/>
              <w:right w:val="single" w:color="auto" w:sz="4" w:space="0"/>
            </w:tcBorders>
            <w:shd w:val="clear" w:color="auto" w:fill="auto"/>
            <w:vAlign w:val="center"/>
          </w:tcPr>
          <w:p w14:paraId="53078896">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与柜体用一致</w:t>
            </w:r>
          </w:p>
        </w:tc>
        <w:tc>
          <w:tcPr>
            <w:tcW w:w="700" w:type="dxa"/>
            <w:tcBorders>
              <w:top w:val="nil"/>
              <w:left w:val="nil"/>
              <w:bottom w:val="single" w:color="auto" w:sz="4" w:space="0"/>
              <w:right w:val="single" w:color="auto" w:sz="4" w:space="0"/>
            </w:tcBorders>
            <w:shd w:val="clear" w:color="auto" w:fill="auto"/>
            <w:vAlign w:val="center"/>
          </w:tcPr>
          <w:p w14:paraId="090252F4">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个</w:t>
            </w:r>
          </w:p>
        </w:tc>
        <w:tc>
          <w:tcPr>
            <w:tcW w:w="980" w:type="dxa"/>
            <w:tcBorders>
              <w:top w:val="nil"/>
              <w:left w:val="nil"/>
              <w:bottom w:val="single" w:color="auto" w:sz="4" w:space="0"/>
              <w:right w:val="single" w:color="auto" w:sz="4" w:space="0"/>
            </w:tcBorders>
            <w:shd w:val="clear" w:color="auto" w:fill="auto"/>
            <w:vAlign w:val="center"/>
          </w:tcPr>
          <w:p w14:paraId="78A2EA27">
            <w:pPr>
              <w:widowControl/>
              <w:jc w:val="center"/>
              <w:rPr>
                <w:rFonts w:hint="eastAsia" w:ascii="微软雅黑" w:hAnsi="微软雅黑" w:eastAsia="微软雅黑" w:cs="宋体"/>
                <w:kern w:val="0"/>
                <w:sz w:val="24"/>
                <w:szCs w:val="24"/>
                <w:lang w:val="en-US" w:eastAsia="zh-CN"/>
              </w:rPr>
            </w:pPr>
            <w:r>
              <w:rPr>
                <w:rFonts w:hint="eastAsia" w:ascii="微软雅黑" w:hAnsi="微软雅黑" w:eastAsia="微软雅黑" w:cs="宋体"/>
                <w:kern w:val="0"/>
                <w:sz w:val="24"/>
                <w:szCs w:val="24"/>
                <w:lang w:val="en-US" w:eastAsia="zh-CN"/>
              </w:rPr>
              <w:t>2</w:t>
            </w:r>
          </w:p>
        </w:tc>
        <w:tc>
          <w:tcPr>
            <w:tcW w:w="980" w:type="dxa"/>
            <w:tcBorders>
              <w:top w:val="nil"/>
              <w:left w:val="nil"/>
              <w:bottom w:val="single" w:color="auto" w:sz="4" w:space="0"/>
              <w:right w:val="single" w:color="auto" w:sz="4" w:space="0"/>
            </w:tcBorders>
            <w:shd w:val="clear" w:color="auto" w:fill="auto"/>
            <w:noWrap/>
            <w:vAlign w:val="center"/>
          </w:tcPr>
          <w:p w14:paraId="5C14F4ED">
            <w:pPr>
              <w:widowControl/>
              <w:jc w:val="left"/>
              <w:rPr>
                <w:rFonts w:ascii="微软雅黑" w:hAnsi="微软雅黑" w:eastAsia="微软雅黑" w:cs="宋体"/>
                <w:kern w:val="0"/>
                <w:sz w:val="22"/>
              </w:rPr>
            </w:pPr>
            <w:r>
              <w:rPr>
                <w:rFonts w:hint="eastAsia" w:ascii="微软雅黑" w:hAnsi="微软雅黑" w:eastAsia="微软雅黑" w:cs="宋体"/>
                <w:kern w:val="0"/>
                <w:sz w:val="22"/>
              </w:rPr>
              <w:t>　</w:t>
            </w:r>
          </w:p>
        </w:tc>
      </w:tr>
      <w:tr w14:paraId="6B1856C9">
        <w:tblPrEx>
          <w:tblCellMar>
            <w:top w:w="0" w:type="dxa"/>
            <w:left w:w="108" w:type="dxa"/>
            <w:bottom w:w="0" w:type="dxa"/>
            <w:right w:w="108" w:type="dxa"/>
          </w:tblCellMar>
        </w:tblPrEx>
        <w:trPr>
          <w:trHeight w:val="348" w:hRule="atLeast"/>
        </w:trPr>
        <w:tc>
          <w:tcPr>
            <w:tcW w:w="866" w:type="dxa"/>
            <w:tcBorders>
              <w:top w:val="nil"/>
              <w:left w:val="single" w:color="auto" w:sz="4" w:space="0"/>
              <w:bottom w:val="single" w:color="auto" w:sz="4" w:space="0"/>
              <w:right w:val="single" w:color="auto" w:sz="4" w:space="0"/>
            </w:tcBorders>
            <w:shd w:val="clear" w:color="auto" w:fill="auto"/>
            <w:vAlign w:val="center"/>
          </w:tcPr>
          <w:p w14:paraId="51D0B4C7">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6</w:t>
            </w:r>
          </w:p>
        </w:tc>
        <w:tc>
          <w:tcPr>
            <w:tcW w:w="2410" w:type="dxa"/>
            <w:tcBorders>
              <w:top w:val="nil"/>
              <w:left w:val="nil"/>
              <w:bottom w:val="single" w:color="auto" w:sz="4" w:space="0"/>
              <w:right w:val="single" w:color="auto" w:sz="4" w:space="0"/>
            </w:tcBorders>
            <w:shd w:val="clear" w:color="auto" w:fill="auto"/>
            <w:vAlign w:val="center"/>
          </w:tcPr>
          <w:p w14:paraId="42DD9CB1">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接地开关操作把手</w:t>
            </w:r>
          </w:p>
        </w:tc>
        <w:tc>
          <w:tcPr>
            <w:tcW w:w="3944" w:type="dxa"/>
            <w:tcBorders>
              <w:top w:val="nil"/>
              <w:left w:val="nil"/>
              <w:bottom w:val="single" w:color="auto" w:sz="4" w:space="0"/>
              <w:right w:val="single" w:color="auto" w:sz="4" w:space="0"/>
            </w:tcBorders>
            <w:shd w:val="clear" w:color="auto" w:fill="auto"/>
            <w:vAlign w:val="center"/>
          </w:tcPr>
          <w:p w14:paraId="451005D5">
            <w:pPr>
              <w:widowControl/>
              <w:jc w:val="left"/>
              <w:rPr>
                <w:rFonts w:ascii="微软雅黑" w:hAnsi="微软雅黑" w:eastAsia="微软雅黑" w:cs="宋体"/>
                <w:kern w:val="0"/>
                <w:sz w:val="24"/>
                <w:szCs w:val="24"/>
              </w:rPr>
            </w:pPr>
          </w:p>
        </w:tc>
        <w:tc>
          <w:tcPr>
            <w:tcW w:w="700" w:type="dxa"/>
            <w:tcBorders>
              <w:top w:val="nil"/>
              <w:left w:val="nil"/>
              <w:bottom w:val="single" w:color="auto" w:sz="4" w:space="0"/>
              <w:right w:val="single" w:color="auto" w:sz="4" w:space="0"/>
            </w:tcBorders>
            <w:shd w:val="clear" w:color="auto" w:fill="auto"/>
            <w:vAlign w:val="center"/>
          </w:tcPr>
          <w:p w14:paraId="3C8879D8">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个</w:t>
            </w:r>
          </w:p>
        </w:tc>
        <w:tc>
          <w:tcPr>
            <w:tcW w:w="980" w:type="dxa"/>
            <w:tcBorders>
              <w:top w:val="nil"/>
              <w:left w:val="nil"/>
              <w:bottom w:val="single" w:color="auto" w:sz="4" w:space="0"/>
              <w:right w:val="single" w:color="auto" w:sz="4" w:space="0"/>
            </w:tcBorders>
            <w:shd w:val="clear" w:color="auto" w:fill="auto"/>
            <w:vAlign w:val="center"/>
          </w:tcPr>
          <w:p w14:paraId="68A04548">
            <w:pPr>
              <w:widowControl/>
              <w:jc w:val="center"/>
              <w:rPr>
                <w:rFonts w:hint="eastAsia" w:ascii="微软雅黑" w:hAnsi="微软雅黑" w:eastAsia="微软雅黑" w:cs="宋体"/>
                <w:kern w:val="0"/>
                <w:sz w:val="24"/>
                <w:szCs w:val="24"/>
                <w:lang w:eastAsia="zh-CN"/>
              </w:rPr>
            </w:pPr>
            <w:r>
              <w:rPr>
                <w:rFonts w:hint="eastAsia" w:ascii="微软雅黑" w:hAnsi="微软雅黑" w:eastAsia="微软雅黑" w:cs="宋体"/>
                <w:kern w:val="0"/>
                <w:sz w:val="24"/>
                <w:szCs w:val="24"/>
                <w:lang w:val="en-US" w:eastAsia="zh-CN"/>
              </w:rPr>
              <w:t>2</w:t>
            </w:r>
          </w:p>
        </w:tc>
        <w:tc>
          <w:tcPr>
            <w:tcW w:w="980" w:type="dxa"/>
            <w:tcBorders>
              <w:top w:val="nil"/>
              <w:left w:val="nil"/>
              <w:bottom w:val="single" w:color="auto" w:sz="4" w:space="0"/>
              <w:right w:val="single" w:color="auto" w:sz="4" w:space="0"/>
            </w:tcBorders>
            <w:shd w:val="clear" w:color="auto" w:fill="auto"/>
            <w:noWrap/>
            <w:vAlign w:val="center"/>
          </w:tcPr>
          <w:p w14:paraId="46AD0ACA">
            <w:pPr>
              <w:widowControl/>
              <w:jc w:val="left"/>
              <w:rPr>
                <w:rFonts w:ascii="微软雅黑" w:hAnsi="微软雅黑" w:eastAsia="微软雅黑" w:cs="宋体"/>
                <w:kern w:val="0"/>
                <w:sz w:val="22"/>
              </w:rPr>
            </w:pPr>
            <w:r>
              <w:rPr>
                <w:rFonts w:hint="eastAsia" w:ascii="微软雅黑" w:hAnsi="微软雅黑" w:eastAsia="微软雅黑" w:cs="宋体"/>
                <w:kern w:val="0"/>
                <w:sz w:val="22"/>
              </w:rPr>
              <w:t>　</w:t>
            </w:r>
          </w:p>
        </w:tc>
      </w:tr>
      <w:tr w14:paraId="2D81ACED">
        <w:tblPrEx>
          <w:tblCellMar>
            <w:top w:w="0" w:type="dxa"/>
            <w:left w:w="108" w:type="dxa"/>
            <w:bottom w:w="0" w:type="dxa"/>
            <w:right w:w="108" w:type="dxa"/>
          </w:tblCellMar>
        </w:tblPrEx>
        <w:trPr>
          <w:trHeight w:val="348" w:hRule="atLeast"/>
        </w:trPr>
        <w:tc>
          <w:tcPr>
            <w:tcW w:w="866" w:type="dxa"/>
            <w:tcBorders>
              <w:top w:val="nil"/>
              <w:left w:val="single" w:color="auto" w:sz="4" w:space="0"/>
              <w:bottom w:val="single" w:color="auto" w:sz="4" w:space="0"/>
              <w:right w:val="single" w:color="auto" w:sz="4" w:space="0"/>
            </w:tcBorders>
            <w:shd w:val="clear" w:color="auto" w:fill="auto"/>
            <w:vAlign w:val="center"/>
          </w:tcPr>
          <w:p w14:paraId="42C22894">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7</w:t>
            </w:r>
          </w:p>
        </w:tc>
        <w:tc>
          <w:tcPr>
            <w:tcW w:w="2410" w:type="dxa"/>
            <w:tcBorders>
              <w:top w:val="nil"/>
              <w:left w:val="nil"/>
              <w:bottom w:val="single" w:color="auto" w:sz="4" w:space="0"/>
              <w:right w:val="single" w:color="auto" w:sz="4" w:space="0"/>
            </w:tcBorders>
            <w:shd w:val="clear" w:color="auto" w:fill="auto"/>
            <w:vAlign w:val="center"/>
          </w:tcPr>
          <w:p w14:paraId="0C3F121D">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接地刀辅助开关</w:t>
            </w:r>
          </w:p>
        </w:tc>
        <w:tc>
          <w:tcPr>
            <w:tcW w:w="3944" w:type="dxa"/>
            <w:tcBorders>
              <w:top w:val="nil"/>
              <w:left w:val="nil"/>
              <w:bottom w:val="single" w:color="auto" w:sz="4" w:space="0"/>
              <w:right w:val="single" w:color="auto" w:sz="4" w:space="0"/>
            </w:tcBorders>
            <w:shd w:val="clear" w:color="auto" w:fill="auto"/>
            <w:vAlign w:val="center"/>
          </w:tcPr>
          <w:p w14:paraId="3312A2E8">
            <w:pPr>
              <w:widowControl/>
              <w:jc w:val="left"/>
              <w:rPr>
                <w:rFonts w:ascii="微软雅黑" w:hAnsi="微软雅黑" w:eastAsia="微软雅黑" w:cs="宋体"/>
                <w:kern w:val="0"/>
                <w:sz w:val="24"/>
                <w:szCs w:val="24"/>
              </w:rPr>
            </w:pPr>
          </w:p>
        </w:tc>
        <w:tc>
          <w:tcPr>
            <w:tcW w:w="700" w:type="dxa"/>
            <w:tcBorders>
              <w:top w:val="nil"/>
              <w:left w:val="nil"/>
              <w:bottom w:val="single" w:color="auto" w:sz="4" w:space="0"/>
              <w:right w:val="single" w:color="auto" w:sz="4" w:space="0"/>
            </w:tcBorders>
            <w:shd w:val="clear" w:color="auto" w:fill="auto"/>
            <w:vAlign w:val="center"/>
          </w:tcPr>
          <w:p w14:paraId="0553C7A0">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个</w:t>
            </w:r>
          </w:p>
        </w:tc>
        <w:tc>
          <w:tcPr>
            <w:tcW w:w="980" w:type="dxa"/>
            <w:tcBorders>
              <w:top w:val="nil"/>
              <w:left w:val="nil"/>
              <w:bottom w:val="single" w:color="auto" w:sz="4" w:space="0"/>
              <w:right w:val="single" w:color="auto" w:sz="4" w:space="0"/>
            </w:tcBorders>
            <w:shd w:val="clear" w:color="auto" w:fill="auto"/>
            <w:vAlign w:val="center"/>
          </w:tcPr>
          <w:p w14:paraId="2A0EDBAD">
            <w:pPr>
              <w:widowControl/>
              <w:jc w:val="center"/>
              <w:rPr>
                <w:rFonts w:hint="eastAsia" w:ascii="微软雅黑" w:hAnsi="微软雅黑" w:eastAsia="微软雅黑" w:cs="宋体"/>
                <w:kern w:val="0"/>
                <w:sz w:val="24"/>
                <w:szCs w:val="24"/>
                <w:lang w:eastAsia="zh-CN"/>
              </w:rPr>
            </w:pPr>
            <w:r>
              <w:rPr>
                <w:rFonts w:hint="eastAsia" w:ascii="微软雅黑" w:hAnsi="微软雅黑" w:eastAsia="微软雅黑" w:cs="宋体"/>
                <w:kern w:val="0"/>
                <w:sz w:val="24"/>
                <w:szCs w:val="24"/>
                <w:lang w:val="en-US" w:eastAsia="zh-CN"/>
              </w:rPr>
              <w:t>2</w:t>
            </w:r>
          </w:p>
        </w:tc>
        <w:tc>
          <w:tcPr>
            <w:tcW w:w="980" w:type="dxa"/>
            <w:tcBorders>
              <w:top w:val="nil"/>
              <w:left w:val="nil"/>
              <w:bottom w:val="single" w:color="auto" w:sz="4" w:space="0"/>
              <w:right w:val="single" w:color="auto" w:sz="4" w:space="0"/>
            </w:tcBorders>
            <w:shd w:val="clear" w:color="auto" w:fill="auto"/>
            <w:noWrap/>
            <w:vAlign w:val="center"/>
          </w:tcPr>
          <w:p w14:paraId="20A1E28E">
            <w:pPr>
              <w:widowControl/>
              <w:jc w:val="left"/>
              <w:rPr>
                <w:rFonts w:ascii="微软雅黑" w:hAnsi="微软雅黑" w:eastAsia="微软雅黑" w:cs="宋体"/>
                <w:kern w:val="0"/>
                <w:sz w:val="22"/>
              </w:rPr>
            </w:pPr>
            <w:r>
              <w:rPr>
                <w:rFonts w:hint="eastAsia" w:ascii="微软雅黑" w:hAnsi="微软雅黑" w:eastAsia="微软雅黑" w:cs="宋体"/>
                <w:kern w:val="0"/>
                <w:sz w:val="22"/>
              </w:rPr>
              <w:t>　</w:t>
            </w:r>
          </w:p>
        </w:tc>
      </w:tr>
      <w:tr w14:paraId="40E1941E">
        <w:tblPrEx>
          <w:tblCellMar>
            <w:top w:w="0" w:type="dxa"/>
            <w:left w:w="108" w:type="dxa"/>
            <w:bottom w:w="0" w:type="dxa"/>
            <w:right w:w="108" w:type="dxa"/>
          </w:tblCellMar>
        </w:tblPrEx>
        <w:trPr>
          <w:trHeight w:val="348" w:hRule="atLeast"/>
        </w:trPr>
        <w:tc>
          <w:tcPr>
            <w:tcW w:w="866" w:type="dxa"/>
            <w:tcBorders>
              <w:top w:val="nil"/>
              <w:left w:val="single" w:color="auto" w:sz="4" w:space="0"/>
              <w:bottom w:val="single" w:color="auto" w:sz="4" w:space="0"/>
              <w:right w:val="single" w:color="auto" w:sz="4" w:space="0"/>
            </w:tcBorders>
            <w:shd w:val="clear" w:color="auto" w:fill="auto"/>
            <w:vAlign w:val="center"/>
          </w:tcPr>
          <w:p w14:paraId="71A6C1CA">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8</w:t>
            </w:r>
          </w:p>
        </w:tc>
        <w:tc>
          <w:tcPr>
            <w:tcW w:w="2410" w:type="dxa"/>
            <w:tcBorders>
              <w:top w:val="nil"/>
              <w:left w:val="nil"/>
              <w:bottom w:val="single" w:color="auto" w:sz="4" w:space="0"/>
              <w:right w:val="single" w:color="auto" w:sz="4" w:space="0"/>
            </w:tcBorders>
            <w:shd w:val="clear" w:color="auto" w:fill="auto"/>
            <w:vAlign w:val="center"/>
          </w:tcPr>
          <w:p w14:paraId="22DB1622">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仪表室门限开关</w:t>
            </w:r>
          </w:p>
        </w:tc>
        <w:tc>
          <w:tcPr>
            <w:tcW w:w="3944" w:type="dxa"/>
            <w:tcBorders>
              <w:top w:val="nil"/>
              <w:left w:val="nil"/>
              <w:bottom w:val="single" w:color="auto" w:sz="4" w:space="0"/>
              <w:right w:val="single" w:color="auto" w:sz="4" w:space="0"/>
            </w:tcBorders>
            <w:shd w:val="clear" w:color="auto" w:fill="auto"/>
            <w:vAlign w:val="center"/>
          </w:tcPr>
          <w:p w14:paraId="524F1165">
            <w:pPr>
              <w:widowControl/>
              <w:jc w:val="left"/>
              <w:rPr>
                <w:rFonts w:ascii="微软雅黑" w:hAnsi="微软雅黑" w:eastAsia="微软雅黑" w:cs="宋体"/>
                <w:kern w:val="0"/>
                <w:sz w:val="24"/>
                <w:szCs w:val="24"/>
              </w:rPr>
            </w:pPr>
          </w:p>
        </w:tc>
        <w:tc>
          <w:tcPr>
            <w:tcW w:w="700" w:type="dxa"/>
            <w:tcBorders>
              <w:top w:val="nil"/>
              <w:left w:val="nil"/>
              <w:bottom w:val="single" w:color="auto" w:sz="4" w:space="0"/>
              <w:right w:val="single" w:color="auto" w:sz="4" w:space="0"/>
            </w:tcBorders>
            <w:shd w:val="clear" w:color="auto" w:fill="auto"/>
            <w:vAlign w:val="center"/>
          </w:tcPr>
          <w:p w14:paraId="663C793B">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个</w:t>
            </w:r>
          </w:p>
        </w:tc>
        <w:tc>
          <w:tcPr>
            <w:tcW w:w="980" w:type="dxa"/>
            <w:tcBorders>
              <w:top w:val="nil"/>
              <w:left w:val="nil"/>
              <w:bottom w:val="single" w:color="auto" w:sz="4" w:space="0"/>
              <w:right w:val="single" w:color="auto" w:sz="4" w:space="0"/>
            </w:tcBorders>
            <w:shd w:val="clear" w:color="auto" w:fill="auto"/>
            <w:vAlign w:val="center"/>
          </w:tcPr>
          <w:p w14:paraId="0D965A65">
            <w:pPr>
              <w:widowControl/>
              <w:jc w:val="center"/>
              <w:rPr>
                <w:rFonts w:hint="eastAsia" w:ascii="微软雅黑" w:hAnsi="微软雅黑" w:eastAsia="微软雅黑" w:cs="宋体"/>
                <w:kern w:val="0"/>
                <w:sz w:val="24"/>
                <w:szCs w:val="24"/>
                <w:lang w:eastAsia="zh-CN"/>
              </w:rPr>
            </w:pPr>
            <w:r>
              <w:rPr>
                <w:rFonts w:hint="eastAsia" w:ascii="微软雅黑" w:hAnsi="微软雅黑" w:eastAsia="微软雅黑" w:cs="宋体"/>
                <w:kern w:val="0"/>
                <w:sz w:val="24"/>
                <w:szCs w:val="24"/>
                <w:lang w:val="en-US" w:eastAsia="zh-CN"/>
              </w:rPr>
              <w:t>2</w:t>
            </w:r>
          </w:p>
        </w:tc>
        <w:tc>
          <w:tcPr>
            <w:tcW w:w="980" w:type="dxa"/>
            <w:tcBorders>
              <w:top w:val="nil"/>
              <w:left w:val="nil"/>
              <w:bottom w:val="single" w:color="auto" w:sz="4" w:space="0"/>
              <w:right w:val="single" w:color="auto" w:sz="4" w:space="0"/>
            </w:tcBorders>
            <w:shd w:val="clear" w:color="auto" w:fill="auto"/>
            <w:noWrap/>
            <w:vAlign w:val="center"/>
          </w:tcPr>
          <w:p w14:paraId="6A038E85">
            <w:pPr>
              <w:widowControl/>
              <w:jc w:val="left"/>
              <w:rPr>
                <w:rFonts w:ascii="微软雅黑" w:hAnsi="微软雅黑" w:eastAsia="微软雅黑" w:cs="宋体"/>
                <w:kern w:val="0"/>
                <w:sz w:val="22"/>
              </w:rPr>
            </w:pPr>
            <w:r>
              <w:rPr>
                <w:rFonts w:hint="eastAsia" w:ascii="微软雅黑" w:hAnsi="微软雅黑" w:eastAsia="微软雅黑" w:cs="宋体"/>
                <w:kern w:val="0"/>
                <w:sz w:val="22"/>
              </w:rPr>
              <w:t>　</w:t>
            </w:r>
          </w:p>
        </w:tc>
      </w:tr>
      <w:tr w14:paraId="495C2CB3">
        <w:tblPrEx>
          <w:tblCellMar>
            <w:top w:w="0" w:type="dxa"/>
            <w:left w:w="108" w:type="dxa"/>
            <w:bottom w:w="0" w:type="dxa"/>
            <w:right w:w="108" w:type="dxa"/>
          </w:tblCellMar>
        </w:tblPrEx>
        <w:trPr>
          <w:trHeight w:val="348" w:hRule="atLeast"/>
        </w:trPr>
        <w:tc>
          <w:tcPr>
            <w:tcW w:w="866" w:type="dxa"/>
            <w:tcBorders>
              <w:top w:val="nil"/>
              <w:left w:val="single" w:color="auto" w:sz="4" w:space="0"/>
              <w:bottom w:val="single" w:color="auto" w:sz="4" w:space="0"/>
              <w:right w:val="single" w:color="auto" w:sz="4" w:space="0"/>
            </w:tcBorders>
            <w:shd w:val="clear" w:color="auto" w:fill="auto"/>
            <w:vAlign w:val="center"/>
          </w:tcPr>
          <w:p w14:paraId="0414710A">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9</w:t>
            </w:r>
          </w:p>
        </w:tc>
        <w:tc>
          <w:tcPr>
            <w:tcW w:w="2410" w:type="dxa"/>
            <w:tcBorders>
              <w:top w:val="nil"/>
              <w:left w:val="nil"/>
              <w:bottom w:val="single" w:color="auto" w:sz="4" w:space="0"/>
              <w:right w:val="single" w:color="auto" w:sz="4" w:space="0"/>
            </w:tcBorders>
            <w:shd w:val="clear" w:color="auto" w:fill="auto"/>
            <w:vAlign w:val="center"/>
          </w:tcPr>
          <w:p w14:paraId="58BF1A99">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闭锁电磁铁</w:t>
            </w:r>
          </w:p>
        </w:tc>
        <w:tc>
          <w:tcPr>
            <w:tcW w:w="3944" w:type="dxa"/>
            <w:tcBorders>
              <w:top w:val="nil"/>
              <w:left w:val="nil"/>
              <w:bottom w:val="single" w:color="auto" w:sz="4" w:space="0"/>
              <w:right w:val="single" w:color="auto" w:sz="4" w:space="0"/>
            </w:tcBorders>
            <w:shd w:val="clear" w:color="auto" w:fill="auto"/>
            <w:vAlign w:val="center"/>
          </w:tcPr>
          <w:p w14:paraId="39421BDD">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进线柜接地刀闭锁</w:t>
            </w:r>
          </w:p>
        </w:tc>
        <w:tc>
          <w:tcPr>
            <w:tcW w:w="700" w:type="dxa"/>
            <w:tcBorders>
              <w:top w:val="nil"/>
              <w:left w:val="nil"/>
              <w:bottom w:val="single" w:color="auto" w:sz="4" w:space="0"/>
              <w:right w:val="single" w:color="auto" w:sz="4" w:space="0"/>
            </w:tcBorders>
            <w:shd w:val="clear" w:color="auto" w:fill="auto"/>
            <w:vAlign w:val="center"/>
          </w:tcPr>
          <w:p w14:paraId="46A58C37">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个</w:t>
            </w:r>
          </w:p>
        </w:tc>
        <w:tc>
          <w:tcPr>
            <w:tcW w:w="980" w:type="dxa"/>
            <w:tcBorders>
              <w:top w:val="nil"/>
              <w:left w:val="nil"/>
              <w:bottom w:val="single" w:color="auto" w:sz="4" w:space="0"/>
              <w:right w:val="single" w:color="auto" w:sz="4" w:space="0"/>
            </w:tcBorders>
            <w:shd w:val="clear" w:color="auto" w:fill="auto"/>
            <w:vAlign w:val="center"/>
          </w:tcPr>
          <w:p w14:paraId="42504D9E">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2</w:t>
            </w:r>
          </w:p>
        </w:tc>
        <w:tc>
          <w:tcPr>
            <w:tcW w:w="980" w:type="dxa"/>
            <w:tcBorders>
              <w:top w:val="nil"/>
              <w:left w:val="nil"/>
              <w:bottom w:val="single" w:color="auto" w:sz="4" w:space="0"/>
              <w:right w:val="single" w:color="auto" w:sz="4" w:space="0"/>
            </w:tcBorders>
            <w:shd w:val="clear" w:color="auto" w:fill="auto"/>
            <w:noWrap/>
            <w:vAlign w:val="center"/>
          </w:tcPr>
          <w:p w14:paraId="656A6095">
            <w:pPr>
              <w:widowControl/>
              <w:jc w:val="left"/>
              <w:rPr>
                <w:rFonts w:ascii="微软雅黑" w:hAnsi="微软雅黑" w:eastAsia="微软雅黑" w:cs="宋体"/>
                <w:kern w:val="0"/>
                <w:sz w:val="22"/>
              </w:rPr>
            </w:pPr>
            <w:r>
              <w:rPr>
                <w:rFonts w:hint="eastAsia" w:ascii="微软雅黑" w:hAnsi="微软雅黑" w:eastAsia="微软雅黑" w:cs="宋体"/>
                <w:kern w:val="0"/>
                <w:sz w:val="22"/>
              </w:rPr>
              <w:t>　</w:t>
            </w:r>
          </w:p>
        </w:tc>
      </w:tr>
      <w:tr w14:paraId="6D14F148">
        <w:tblPrEx>
          <w:tblCellMar>
            <w:top w:w="0" w:type="dxa"/>
            <w:left w:w="108" w:type="dxa"/>
            <w:bottom w:w="0" w:type="dxa"/>
            <w:right w:w="108" w:type="dxa"/>
          </w:tblCellMar>
        </w:tblPrEx>
        <w:trPr>
          <w:trHeight w:val="348" w:hRule="atLeast"/>
        </w:trPr>
        <w:tc>
          <w:tcPr>
            <w:tcW w:w="866" w:type="dxa"/>
            <w:tcBorders>
              <w:top w:val="nil"/>
              <w:left w:val="single" w:color="auto" w:sz="4" w:space="0"/>
              <w:bottom w:val="single" w:color="auto" w:sz="4" w:space="0"/>
              <w:right w:val="single" w:color="auto" w:sz="4" w:space="0"/>
            </w:tcBorders>
            <w:shd w:val="clear" w:color="auto" w:fill="auto"/>
            <w:vAlign w:val="center"/>
          </w:tcPr>
          <w:p w14:paraId="4B1C3F73">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11</w:t>
            </w:r>
          </w:p>
        </w:tc>
        <w:tc>
          <w:tcPr>
            <w:tcW w:w="2410" w:type="dxa"/>
            <w:tcBorders>
              <w:top w:val="nil"/>
              <w:left w:val="nil"/>
              <w:bottom w:val="single" w:color="auto" w:sz="4" w:space="0"/>
              <w:right w:val="single" w:color="auto" w:sz="4" w:space="0"/>
            </w:tcBorders>
            <w:shd w:val="clear" w:color="auto" w:fill="auto"/>
            <w:vAlign w:val="center"/>
          </w:tcPr>
          <w:p w14:paraId="73B16960">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接地开关（含总成）</w:t>
            </w:r>
          </w:p>
        </w:tc>
        <w:tc>
          <w:tcPr>
            <w:tcW w:w="3944" w:type="dxa"/>
            <w:tcBorders>
              <w:top w:val="nil"/>
              <w:left w:val="nil"/>
              <w:bottom w:val="single" w:color="auto" w:sz="4" w:space="0"/>
              <w:right w:val="single" w:color="auto" w:sz="4" w:space="0"/>
            </w:tcBorders>
            <w:shd w:val="clear" w:color="auto" w:fill="auto"/>
            <w:vAlign w:val="center"/>
          </w:tcPr>
          <w:p w14:paraId="1D028E92">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配套所有附件（800宽柜用）</w:t>
            </w:r>
          </w:p>
        </w:tc>
        <w:tc>
          <w:tcPr>
            <w:tcW w:w="700" w:type="dxa"/>
            <w:tcBorders>
              <w:top w:val="nil"/>
              <w:left w:val="nil"/>
              <w:bottom w:val="single" w:color="auto" w:sz="4" w:space="0"/>
              <w:right w:val="single" w:color="auto" w:sz="4" w:space="0"/>
            </w:tcBorders>
            <w:shd w:val="clear" w:color="auto" w:fill="auto"/>
            <w:vAlign w:val="center"/>
          </w:tcPr>
          <w:p w14:paraId="24D44DE2">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套</w:t>
            </w:r>
          </w:p>
        </w:tc>
        <w:tc>
          <w:tcPr>
            <w:tcW w:w="980" w:type="dxa"/>
            <w:tcBorders>
              <w:top w:val="nil"/>
              <w:left w:val="nil"/>
              <w:bottom w:val="single" w:color="auto" w:sz="4" w:space="0"/>
              <w:right w:val="single" w:color="auto" w:sz="4" w:space="0"/>
            </w:tcBorders>
            <w:shd w:val="clear" w:color="auto" w:fill="auto"/>
            <w:vAlign w:val="center"/>
          </w:tcPr>
          <w:p w14:paraId="0D4E31C9">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2</w:t>
            </w:r>
          </w:p>
        </w:tc>
        <w:tc>
          <w:tcPr>
            <w:tcW w:w="980" w:type="dxa"/>
            <w:tcBorders>
              <w:top w:val="nil"/>
              <w:left w:val="nil"/>
              <w:bottom w:val="single" w:color="auto" w:sz="4" w:space="0"/>
              <w:right w:val="single" w:color="auto" w:sz="4" w:space="0"/>
            </w:tcBorders>
            <w:shd w:val="clear" w:color="auto" w:fill="auto"/>
            <w:noWrap/>
            <w:vAlign w:val="center"/>
          </w:tcPr>
          <w:p w14:paraId="177DE632">
            <w:pPr>
              <w:widowControl/>
              <w:jc w:val="left"/>
              <w:rPr>
                <w:rFonts w:ascii="微软雅黑" w:hAnsi="微软雅黑" w:eastAsia="微软雅黑" w:cs="宋体"/>
                <w:kern w:val="0"/>
                <w:sz w:val="22"/>
              </w:rPr>
            </w:pPr>
            <w:r>
              <w:rPr>
                <w:rFonts w:hint="eastAsia" w:ascii="微软雅黑" w:hAnsi="微软雅黑" w:eastAsia="微软雅黑" w:cs="宋体"/>
                <w:kern w:val="0"/>
                <w:sz w:val="22"/>
              </w:rPr>
              <w:t>　</w:t>
            </w:r>
          </w:p>
        </w:tc>
      </w:tr>
      <w:tr w14:paraId="1D69F02C">
        <w:tblPrEx>
          <w:tblCellMar>
            <w:top w:w="0" w:type="dxa"/>
            <w:left w:w="108" w:type="dxa"/>
            <w:bottom w:w="0" w:type="dxa"/>
            <w:right w:w="108" w:type="dxa"/>
          </w:tblCellMar>
        </w:tblPrEx>
        <w:trPr>
          <w:trHeight w:val="348" w:hRule="atLeast"/>
        </w:trPr>
        <w:tc>
          <w:tcPr>
            <w:tcW w:w="866" w:type="dxa"/>
            <w:tcBorders>
              <w:top w:val="nil"/>
              <w:left w:val="single" w:color="auto" w:sz="4" w:space="0"/>
              <w:bottom w:val="single" w:color="auto" w:sz="4" w:space="0"/>
              <w:right w:val="single" w:color="auto" w:sz="4" w:space="0"/>
            </w:tcBorders>
            <w:shd w:val="clear" w:color="auto" w:fill="auto"/>
            <w:vAlign w:val="center"/>
          </w:tcPr>
          <w:p w14:paraId="12A34F7E">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12</w:t>
            </w:r>
          </w:p>
        </w:tc>
        <w:tc>
          <w:tcPr>
            <w:tcW w:w="2410" w:type="dxa"/>
            <w:tcBorders>
              <w:top w:val="nil"/>
              <w:left w:val="nil"/>
              <w:bottom w:val="single" w:color="auto" w:sz="4" w:space="0"/>
              <w:right w:val="single" w:color="auto" w:sz="4" w:space="0"/>
            </w:tcBorders>
            <w:shd w:val="clear" w:color="auto" w:fill="auto"/>
            <w:vAlign w:val="center"/>
          </w:tcPr>
          <w:p w14:paraId="3E32CEEB">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传感器</w:t>
            </w:r>
          </w:p>
        </w:tc>
        <w:tc>
          <w:tcPr>
            <w:tcW w:w="3944" w:type="dxa"/>
            <w:tcBorders>
              <w:top w:val="nil"/>
              <w:left w:val="nil"/>
              <w:bottom w:val="single" w:color="auto" w:sz="4" w:space="0"/>
              <w:right w:val="single" w:color="auto" w:sz="4" w:space="0"/>
            </w:tcBorders>
            <w:shd w:val="clear" w:color="auto" w:fill="auto"/>
            <w:vAlign w:val="center"/>
          </w:tcPr>
          <w:p w14:paraId="7AFC06D8">
            <w:pPr>
              <w:widowControl/>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w:t>
            </w:r>
          </w:p>
        </w:tc>
        <w:tc>
          <w:tcPr>
            <w:tcW w:w="700" w:type="dxa"/>
            <w:tcBorders>
              <w:top w:val="nil"/>
              <w:left w:val="nil"/>
              <w:bottom w:val="single" w:color="auto" w:sz="4" w:space="0"/>
              <w:right w:val="single" w:color="auto" w:sz="4" w:space="0"/>
            </w:tcBorders>
            <w:shd w:val="clear" w:color="auto" w:fill="auto"/>
            <w:vAlign w:val="center"/>
          </w:tcPr>
          <w:p w14:paraId="3C9C8618">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个</w:t>
            </w:r>
          </w:p>
        </w:tc>
        <w:tc>
          <w:tcPr>
            <w:tcW w:w="980" w:type="dxa"/>
            <w:tcBorders>
              <w:top w:val="nil"/>
              <w:left w:val="nil"/>
              <w:bottom w:val="single" w:color="auto" w:sz="4" w:space="0"/>
              <w:right w:val="single" w:color="auto" w:sz="4" w:space="0"/>
            </w:tcBorders>
            <w:shd w:val="clear" w:color="auto" w:fill="auto"/>
            <w:vAlign w:val="center"/>
          </w:tcPr>
          <w:p w14:paraId="203F4811">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6</w:t>
            </w:r>
          </w:p>
        </w:tc>
        <w:tc>
          <w:tcPr>
            <w:tcW w:w="980" w:type="dxa"/>
            <w:tcBorders>
              <w:top w:val="nil"/>
              <w:left w:val="nil"/>
              <w:bottom w:val="single" w:color="auto" w:sz="4" w:space="0"/>
              <w:right w:val="single" w:color="auto" w:sz="4" w:space="0"/>
            </w:tcBorders>
            <w:shd w:val="clear" w:color="auto" w:fill="auto"/>
            <w:noWrap/>
            <w:vAlign w:val="center"/>
          </w:tcPr>
          <w:p w14:paraId="2D9CB248">
            <w:pPr>
              <w:widowControl/>
              <w:jc w:val="left"/>
              <w:rPr>
                <w:rFonts w:ascii="微软雅黑" w:hAnsi="微软雅黑" w:eastAsia="微软雅黑" w:cs="宋体"/>
                <w:kern w:val="0"/>
                <w:sz w:val="22"/>
              </w:rPr>
            </w:pPr>
            <w:r>
              <w:rPr>
                <w:rFonts w:hint="eastAsia" w:ascii="微软雅黑" w:hAnsi="微软雅黑" w:eastAsia="微软雅黑" w:cs="宋体"/>
                <w:kern w:val="0"/>
                <w:sz w:val="22"/>
              </w:rPr>
              <w:t>　</w:t>
            </w:r>
          </w:p>
        </w:tc>
      </w:tr>
      <w:tr w14:paraId="34F82EBC">
        <w:tblPrEx>
          <w:tblCellMar>
            <w:top w:w="0" w:type="dxa"/>
            <w:left w:w="108" w:type="dxa"/>
            <w:bottom w:w="0" w:type="dxa"/>
            <w:right w:w="108" w:type="dxa"/>
          </w:tblCellMar>
        </w:tblPrEx>
        <w:trPr>
          <w:trHeight w:val="348" w:hRule="atLeast"/>
        </w:trPr>
        <w:tc>
          <w:tcPr>
            <w:tcW w:w="866" w:type="dxa"/>
            <w:tcBorders>
              <w:top w:val="nil"/>
              <w:left w:val="single" w:color="auto" w:sz="4" w:space="0"/>
              <w:bottom w:val="single" w:color="auto" w:sz="4" w:space="0"/>
              <w:right w:val="single" w:color="auto" w:sz="4" w:space="0"/>
            </w:tcBorders>
            <w:shd w:val="clear" w:color="auto" w:fill="auto"/>
            <w:vAlign w:val="center"/>
          </w:tcPr>
          <w:p w14:paraId="231C9F02">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14</w:t>
            </w:r>
          </w:p>
        </w:tc>
        <w:tc>
          <w:tcPr>
            <w:tcW w:w="2410" w:type="dxa"/>
            <w:tcBorders>
              <w:top w:val="nil"/>
              <w:left w:val="nil"/>
              <w:bottom w:val="single" w:color="auto" w:sz="4" w:space="0"/>
              <w:right w:val="single" w:color="auto" w:sz="4" w:space="0"/>
            </w:tcBorders>
            <w:shd w:val="clear" w:color="auto" w:fill="auto"/>
            <w:vAlign w:val="center"/>
          </w:tcPr>
          <w:p w14:paraId="64B74F9D">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触头盒</w:t>
            </w:r>
          </w:p>
        </w:tc>
        <w:tc>
          <w:tcPr>
            <w:tcW w:w="3944" w:type="dxa"/>
            <w:tcBorders>
              <w:top w:val="nil"/>
              <w:left w:val="nil"/>
              <w:bottom w:val="single" w:color="auto" w:sz="4" w:space="0"/>
              <w:right w:val="single" w:color="auto" w:sz="4" w:space="0"/>
            </w:tcBorders>
            <w:shd w:val="clear" w:color="auto" w:fill="auto"/>
            <w:vAlign w:val="center"/>
          </w:tcPr>
          <w:p w14:paraId="56D5EE6A">
            <w:pPr>
              <w:widowControl/>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w:t>
            </w:r>
          </w:p>
        </w:tc>
        <w:tc>
          <w:tcPr>
            <w:tcW w:w="700" w:type="dxa"/>
            <w:tcBorders>
              <w:top w:val="nil"/>
              <w:left w:val="nil"/>
              <w:bottom w:val="single" w:color="auto" w:sz="4" w:space="0"/>
              <w:right w:val="single" w:color="auto" w:sz="4" w:space="0"/>
            </w:tcBorders>
            <w:shd w:val="clear" w:color="auto" w:fill="auto"/>
            <w:vAlign w:val="center"/>
          </w:tcPr>
          <w:p w14:paraId="2EC3FDA7">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个</w:t>
            </w:r>
          </w:p>
        </w:tc>
        <w:tc>
          <w:tcPr>
            <w:tcW w:w="980" w:type="dxa"/>
            <w:tcBorders>
              <w:top w:val="nil"/>
              <w:left w:val="nil"/>
              <w:bottom w:val="single" w:color="auto" w:sz="4" w:space="0"/>
              <w:right w:val="single" w:color="auto" w:sz="4" w:space="0"/>
            </w:tcBorders>
            <w:shd w:val="clear" w:color="auto" w:fill="auto"/>
            <w:vAlign w:val="center"/>
          </w:tcPr>
          <w:p w14:paraId="31368BAB">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3</w:t>
            </w:r>
          </w:p>
        </w:tc>
        <w:tc>
          <w:tcPr>
            <w:tcW w:w="980" w:type="dxa"/>
            <w:tcBorders>
              <w:top w:val="nil"/>
              <w:left w:val="nil"/>
              <w:bottom w:val="single" w:color="auto" w:sz="4" w:space="0"/>
              <w:right w:val="single" w:color="auto" w:sz="4" w:space="0"/>
            </w:tcBorders>
            <w:shd w:val="clear" w:color="auto" w:fill="auto"/>
            <w:noWrap/>
            <w:vAlign w:val="center"/>
          </w:tcPr>
          <w:p w14:paraId="7478321E">
            <w:pPr>
              <w:widowControl/>
              <w:jc w:val="left"/>
              <w:rPr>
                <w:rFonts w:ascii="微软雅黑" w:hAnsi="微软雅黑" w:eastAsia="微软雅黑" w:cs="宋体"/>
                <w:kern w:val="0"/>
                <w:sz w:val="22"/>
              </w:rPr>
            </w:pPr>
            <w:r>
              <w:rPr>
                <w:rFonts w:hint="eastAsia" w:ascii="微软雅黑" w:hAnsi="微软雅黑" w:eastAsia="微软雅黑" w:cs="宋体"/>
                <w:kern w:val="0"/>
                <w:sz w:val="22"/>
              </w:rPr>
              <w:t>　</w:t>
            </w:r>
          </w:p>
        </w:tc>
      </w:tr>
      <w:tr w14:paraId="5985882C">
        <w:tblPrEx>
          <w:tblCellMar>
            <w:top w:w="0" w:type="dxa"/>
            <w:left w:w="108" w:type="dxa"/>
            <w:bottom w:w="0" w:type="dxa"/>
            <w:right w:w="108" w:type="dxa"/>
          </w:tblCellMar>
        </w:tblPrEx>
        <w:trPr>
          <w:trHeight w:val="348" w:hRule="atLeast"/>
        </w:trPr>
        <w:tc>
          <w:tcPr>
            <w:tcW w:w="866" w:type="dxa"/>
            <w:tcBorders>
              <w:top w:val="nil"/>
              <w:left w:val="single" w:color="auto" w:sz="4" w:space="0"/>
              <w:bottom w:val="single" w:color="auto" w:sz="4" w:space="0"/>
              <w:right w:val="single" w:color="auto" w:sz="4" w:space="0"/>
            </w:tcBorders>
            <w:shd w:val="clear" w:color="auto" w:fill="auto"/>
            <w:vAlign w:val="center"/>
          </w:tcPr>
          <w:p w14:paraId="6475CDFB">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15</w:t>
            </w:r>
          </w:p>
        </w:tc>
        <w:tc>
          <w:tcPr>
            <w:tcW w:w="2410" w:type="dxa"/>
            <w:tcBorders>
              <w:top w:val="nil"/>
              <w:left w:val="nil"/>
              <w:bottom w:val="single" w:color="auto" w:sz="4" w:space="0"/>
              <w:right w:val="single" w:color="auto" w:sz="4" w:space="0"/>
            </w:tcBorders>
            <w:shd w:val="clear" w:color="auto" w:fill="auto"/>
            <w:vAlign w:val="center"/>
          </w:tcPr>
          <w:p w14:paraId="1BDDDAFE">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水平排穿墙套管</w:t>
            </w:r>
          </w:p>
        </w:tc>
        <w:tc>
          <w:tcPr>
            <w:tcW w:w="3944" w:type="dxa"/>
            <w:tcBorders>
              <w:top w:val="nil"/>
              <w:left w:val="nil"/>
              <w:bottom w:val="single" w:color="auto" w:sz="4" w:space="0"/>
              <w:right w:val="single" w:color="auto" w:sz="4" w:space="0"/>
            </w:tcBorders>
            <w:shd w:val="clear" w:color="auto" w:fill="auto"/>
            <w:vAlign w:val="center"/>
          </w:tcPr>
          <w:p w14:paraId="4AE1E5C3">
            <w:pPr>
              <w:widowControl/>
              <w:jc w:val="left"/>
              <w:rPr>
                <w:rFonts w:ascii="微软雅黑" w:hAnsi="微软雅黑" w:eastAsia="微软雅黑" w:cs="宋体"/>
                <w:kern w:val="0"/>
                <w:sz w:val="24"/>
                <w:szCs w:val="24"/>
              </w:rPr>
            </w:pPr>
            <w:r>
              <w:rPr>
                <w:rFonts w:hint="eastAsia" w:ascii="微软雅黑" w:hAnsi="微软雅黑" w:eastAsia="微软雅黑" w:cs="宋体"/>
                <w:kern w:val="0"/>
                <w:sz w:val="24"/>
                <w:szCs w:val="24"/>
              </w:rPr>
              <w:t>　</w:t>
            </w:r>
          </w:p>
        </w:tc>
        <w:tc>
          <w:tcPr>
            <w:tcW w:w="700" w:type="dxa"/>
            <w:tcBorders>
              <w:top w:val="nil"/>
              <w:left w:val="nil"/>
              <w:bottom w:val="single" w:color="auto" w:sz="4" w:space="0"/>
              <w:right w:val="single" w:color="auto" w:sz="4" w:space="0"/>
            </w:tcBorders>
            <w:shd w:val="clear" w:color="auto" w:fill="auto"/>
            <w:vAlign w:val="center"/>
          </w:tcPr>
          <w:p w14:paraId="2D633C13">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个</w:t>
            </w:r>
          </w:p>
        </w:tc>
        <w:tc>
          <w:tcPr>
            <w:tcW w:w="980" w:type="dxa"/>
            <w:tcBorders>
              <w:top w:val="nil"/>
              <w:left w:val="nil"/>
              <w:bottom w:val="single" w:color="auto" w:sz="4" w:space="0"/>
              <w:right w:val="single" w:color="auto" w:sz="4" w:space="0"/>
            </w:tcBorders>
            <w:shd w:val="clear" w:color="auto" w:fill="auto"/>
            <w:vAlign w:val="center"/>
          </w:tcPr>
          <w:p w14:paraId="304E2F7D">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6</w:t>
            </w:r>
          </w:p>
        </w:tc>
        <w:tc>
          <w:tcPr>
            <w:tcW w:w="980" w:type="dxa"/>
            <w:tcBorders>
              <w:top w:val="nil"/>
              <w:left w:val="nil"/>
              <w:bottom w:val="single" w:color="auto" w:sz="4" w:space="0"/>
              <w:right w:val="single" w:color="auto" w:sz="4" w:space="0"/>
            </w:tcBorders>
            <w:shd w:val="clear" w:color="auto" w:fill="auto"/>
            <w:noWrap/>
            <w:vAlign w:val="center"/>
          </w:tcPr>
          <w:p w14:paraId="6AFFADB0">
            <w:pPr>
              <w:widowControl/>
              <w:jc w:val="left"/>
              <w:rPr>
                <w:rFonts w:ascii="微软雅黑" w:hAnsi="微软雅黑" w:eastAsia="微软雅黑" w:cs="宋体"/>
                <w:kern w:val="0"/>
                <w:sz w:val="22"/>
              </w:rPr>
            </w:pPr>
            <w:r>
              <w:rPr>
                <w:rFonts w:hint="eastAsia" w:ascii="微软雅黑" w:hAnsi="微软雅黑" w:eastAsia="微软雅黑" w:cs="宋体"/>
                <w:kern w:val="0"/>
                <w:sz w:val="22"/>
              </w:rPr>
              <w:t>　</w:t>
            </w:r>
          </w:p>
        </w:tc>
      </w:tr>
      <w:tr w14:paraId="6CE6A745">
        <w:tblPrEx>
          <w:tblCellMar>
            <w:top w:w="0" w:type="dxa"/>
            <w:left w:w="108" w:type="dxa"/>
            <w:bottom w:w="0" w:type="dxa"/>
            <w:right w:w="108" w:type="dxa"/>
          </w:tblCellMar>
        </w:tblPrEx>
        <w:trPr>
          <w:trHeight w:val="348" w:hRule="atLeast"/>
        </w:trPr>
        <w:tc>
          <w:tcPr>
            <w:tcW w:w="866" w:type="dxa"/>
            <w:tcBorders>
              <w:top w:val="nil"/>
              <w:left w:val="single" w:color="auto" w:sz="4" w:space="0"/>
              <w:bottom w:val="single" w:color="auto" w:sz="4" w:space="0"/>
              <w:right w:val="single" w:color="auto" w:sz="4" w:space="0"/>
            </w:tcBorders>
            <w:shd w:val="clear" w:color="auto" w:fill="auto"/>
            <w:vAlign w:val="center"/>
          </w:tcPr>
          <w:p w14:paraId="13A578E5">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16</w:t>
            </w:r>
          </w:p>
        </w:tc>
        <w:tc>
          <w:tcPr>
            <w:tcW w:w="2410" w:type="dxa"/>
            <w:tcBorders>
              <w:top w:val="nil"/>
              <w:left w:val="nil"/>
              <w:bottom w:val="single" w:color="auto" w:sz="4" w:space="0"/>
              <w:right w:val="single" w:color="auto" w:sz="4" w:space="0"/>
            </w:tcBorders>
            <w:shd w:val="clear" w:color="auto" w:fill="auto"/>
            <w:vAlign w:val="center"/>
          </w:tcPr>
          <w:p w14:paraId="0EDBFD10">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后门开启扳手</w:t>
            </w:r>
          </w:p>
        </w:tc>
        <w:tc>
          <w:tcPr>
            <w:tcW w:w="3944" w:type="dxa"/>
            <w:tcBorders>
              <w:top w:val="nil"/>
              <w:left w:val="nil"/>
              <w:bottom w:val="single" w:color="auto" w:sz="4" w:space="0"/>
              <w:right w:val="single" w:color="auto" w:sz="4" w:space="0"/>
            </w:tcBorders>
            <w:shd w:val="clear" w:color="auto" w:fill="auto"/>
            <w:noWrap/>
            <w:vAlign w:val="center"/>
          </w:tcPr>
          <w:p w14:paraId="56C20F2B">
            <w:pPr>
              <w:widowControl/>
              <w:jc w:val="left"/>
              <w:rPr>
                <w:rFonts w:ascii="等线" w:hAnsi="等线" w:eastAsia="等线" w:cs="宋体"/>
                <w:color w:val="000000"/>
                <w:kern w:val="0"/>
                <w:sz w:val="22"/>
              </w:rPr>
            </w:pPr>
            <w:r>
              <w:rPr>
                <w:rFonts w:hint="eastAsia" w:ascii="等线" w:hAnsi="等线" w:eastAsia="等线" w:cs="宋体"/>
                <w:color w:val="000000"/>
                <w:kern w:val="0"/>
                <w:sz w:val="22"/>
              </w:rPr>
              <w:t>　</w:t>
            </w:r>
          </w:p>
        </w:tc>
        <w:tc>
          <w:tcPr>
            <w:tcW w:w="700" w:type="dxa"/>
            <w:tcBorders>
              <w:top w:val="nil"/>
              <w:left w:val="nil"/>
              <w:bottom w:val="single" w:color="auto" w:sz="4" w:space="0"/>
              <w:right w:val="single" w:color="auto" w:sz="4" w:space="0"/>
            </w:tcBorders>
            <w:shd w:val="clear" w:color="auto" w:fill="auto"/>
            <w:vAlign w:val="center"/>
          </w:tcPr>
          <w:p w14:paraId="7FFA548F">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套</w:t>
            </w:r>
          </w:p>
        </w:tc>
        <w:tc>
          <w:tcPr>
            <w:tcW w:w="980" w:type="dxa"/>
            <w:tcBorders>
              <w:top w:val="nil"/>
              <w:left w:val="nil"/>
              <w:bottom w:val="single" w:color="auto" w:sz="4" w:space="0"/>
              <w:right w:val="single" w:color="auto" w:sz="4" w:space="0"/>
            </w:tcBorders>
            <w:shd w:val="clear" w:color="auto" w:fill="auto"/>
            <w:vAlign w:val="center"/>
          </w:tcPr>
          <w:p w14:paraId="5C999652">
            <w:pPr>
              <w:widowControl/>
              <w:jc w:val="center"/>
              <w:rPr>
                <w:rFonts w:hint="eastAsia" w:ascii="微软雅黑" w:hAnsi="微软雅黑" w:eastAsia="微软雅黑" w:cs="宋体"/>
                <w:kern w:val="0"/>
                <w:sz w:val="24"/>
                <w:szCs w:val="24"/>
                <w:lang w:val="en-US" w:eastAsia="zh-CN"/>
              </w:rPr>
            </w:pPr>
            <w:r>
              <w:rPr>
                <w:rFonts w:hint="eastAsia" w:ascii="微软雅黑" w:hAnsi="微软雅黑" w:eastAsia="微软雅黑" w:cs="宋体"/>
                <w:kern w:val="0"/>
                <w:sz w:val="24"/>
                <w:szCs w:val="24"/>
                <w:lang w:val="en-US" w:eastAsia="zh-CN"/>
              </w:rPr>
              <w:t>3</w:t>
            </w:r>
          </w:p>
        </w:tc>
        <w:tc>
          <w:tcPr>
            <w:tcW w:w="980" w:type="dxa"/>
            <w:tcBorders>
              <w:top w:val="nil"/>
              <w:left w:val="nil"/>
              <w:bottom w:val="single" w:color="auto" w:sz="4" w:space="0"/>
              <w:right w:val="single" w:color="auto" w:sz="4" w:space="0"/>
            </w:tcBorders>
            <w:shd w:val="clear" w:color="auto" w:fill="auto"/>
            <w:noWrap/>
            <w:vAlign w:val="center"/>
          </w:tcPr>
          <w:p w14:paraId="40E6301B">
            <w:pPr>
              <w:widowControl/>
              <w:jc w:val="left"/>
              <w:rPr>
                <w:rFonts w:ascii="等线" w:hAnsi="等线" w:eastAsia="等线" w:cs="宋体"/>
                <w:color w:val="000000"/>
                <w:kern w:val="0"/>
                <w:sz w:val="22"/>
              </w:rPr>
            </w:pPr>
            <w:r>
              <w:rPr>
                <w:rFonts w:hint="eastAsia" w:ascii="等线" w:hAnsi="等线" w:eastAsia="等线" w:cs="宋体"/>
                <w:color w:val="000000"/>
                <w:kern w:val="0"/>
                <w:sz w:val="22"/>
              </w:rPr>
              <w:t>　</w:t>
            </w:r>
          </w:p>
        </w:tc>
      </w:tr>
      <w:tr w14:paraId="68467D12">
        <w:tblPrEx>
          <w:tblCellMar>
            <w:top w:w="0" w:type="dxa"/>
            <w:left w:w="108" w:type="dxa"/>
            <w:bottom w:w="0" w:type="dxa"/>
            <w:right w:w="108" w:type="dxa"/>
          </w:tblCellMar>
        </w:tblPrEx>
        <w:trPr>
          <w:trHeight w:val="348" w:hRule="atLeast"/>
        </w:trPr>
        <w:tc>
          <w:tcPr>
            <w:tcW w:w="866" w:type="dxa"/>
            <w:tcBorders>
              <w:top w:val="nil"/>
              <w:left w:val="single" w:color="auto" w:sz="4" w:space="0"/>
              <w:bottom w:val="single" w:color="auto" w:sz="4" w:space="0"/>
              <w:right w:val="single" w:color="auto" w:sz="4" w:space="0"/>
            </w:tcBorders>
            <w:shd w:val="clear" w:color="auto" w:fill="auto"/>
            <w:vAlign w:val="center"/>
          </w:tcPr>
          <w:p w14:paraId="08DC41B6">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18</w:t>
            </w:r>
          </w:p>
        </w:tc>
        <w:tc>
          <w:tcPr>
            <w:tcW w:w="2410" w:type="dxa"/>
            <w:tcBorders>
              <w:top w:val="nil"/>
              <w:left w:val="nil"/>
              <w:bottom w:val="single" w:color="auto" w:sz="4" w:space="0"/>
              <w:right w:val="single" w:color="auto" w:sz="4" w:space="0"/>
            </w:tcBorders>
            <w:shd w:val="clear" w:color="auto" w:fill="auto"/>
            <w:vAlign w:val="center"/>
          </w:tcPr>
          <w:p w14:paraId="205B1F83">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柜门钥匙</w:t>
            </w:r>
          </w:p>
        </w:tc>
        <w:tc>
          <w:tcPr>
            <w:tcW w:w="3944" w:type="dxa"/>
            <w:tcBorders>
              <w:top w:val="nil"/>
              <w:left w:val="nil"/>
              <w:bottom w:val="single" w:color="auto" w:sz="4" w:space="0"/>
              <w:right w:val="single" w:color="auto" w:sz="4" w:space="0"/>
            </w:tcBorders>
            <w:shd w:val="clear" w:color="auto" w:fill="auto"/>
            <w:vAlign w:val="center"/>
          </w:tcPr>
          <w:p w14:paraId="12678A0C">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　</w:t>
            </w:r>
          </w:p>
        </w:tc>
        <w:tc>
          <w:tcPr>
            <w:tcW w:w="700" w:type="dxa"/>
            <w:tcBorders>
              <w:top w:val="nil"/>
              <w:left w:val="nil"/>
              <w:bottom w:val="single" w:color="auto" w:sz="4" w:space="0"/>
              <w:right w:val="single" w:color="auto" w:sz="4" w:space="0"/>
            </w:tcBorders>
            <w:shd w:val="clear" w:color="auto" w:fill="auto"/>
            <w:vAlign w:val="center"/>
          </w:tcPr>
          <w:p w14:paraId="69D35FB5">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把</w:t>
            </w:r>
          </w:p>
        </w:tc>
        <w:tc>
          <w:tcPr>
            <w:tcW w:w="980" w:type="dxa"/>
            <w:tcBorders>
              <w:top w:val="nil"/>
              <w:left w:val="nil"/>
              <w:bottom w:val="single" w:color="auto" w:sz="4" w:space="0"/>
              <w:right w:val="single" w:color="auto" w:sz="4" w:space="0"/>
            </w:tcBorders>
            <w:shd w:val="clear" w:color="auto" w:fill="auto"/>
            <w:vAlign w:val="center"/>
          </w:tcPr>
          <w:p w14:paraId="05E7DDE9">
            <w:pPr>
              <w:widowControl/>
              <w:jc w:val="center"/>
              <w:rPr>
                <w:rFonts w:hint="default" w:ascii="微软雅黑" w:hAnsi="微软雅黑" w:eastAsia="微软雅黑" w:cs="宋体"/>
                <w:kern w:val="0"/>
                <w:sz w:val="24"/>
                <w:szCs w:val="24"/>
                <w:lang w:val="en-US" w:eastAsia="zh-CN"/>
              </w:rPr>
            </w:pPr>
            <w:r>
              <w:rPr>
                <w:rFonts w:hint="eastAsia" w:ascii="微软雅黑" w:hAnsi="微软雅黑" w:eastAsia="微软雅黑" w:cs="宋体"/>
                <w:kern w:val="0"/>
                <w:sz w:val="24"/>
                <w:szCs w:val="24"/>
                <w:lang w:val="en-US" w:eastAsia="zh-CN"/>
              </w:rPr>
              <w:t>10</w:t>
            </w:r>
          </w:p>
        </w:tc>
        <w:tc>
          <w:tcPr>
            <w:tcW w:w="980" w:type="dxa"/>
            <w:tcBorders>
              <w:top w:val="nil"/>
              <w:left w:val="nil"/>
              <w:bottom w:val="single" w:color="auto" w:sz="4" w:space="0"/>
              <w:right w:val="single" w:color="auto" w:sz="4" w:space="0"/>
            </w:tcBorders>
            <w:shd w:val="clear" w:color="auto" w:fill="auto"/>
            <w:noWrap/>
            <w:vAlign w:val="center"/>
          </w:tcPr>
          <w:p w14:paraId="28660BE7">
            <w:pPr>
              <w:widowControl/>
              <w:jc w:val="left"/>
              <w:rPr>
                <w:rFonts w:ascii="等线" w:hAnsi="等线" w:eastAsia="等线" w:cs="宋体"/>
                <w:color w:val="000000"/>
                <w:kern w:val="0"/>
                <w:sz w:val="22"/>
              </w:rPr>
            </w:pPr>
            <w:r>
              <w:rPr>
                <w:rFonts w:hint="eastAsia" w:ascii="等线" w:hAnsi="等线" w:eastAsia="等线" w:cs="宋体"/>
                <w:color w:val="000000"/>
                <w:kern w:val="0"/>
                <w:sz w:val="22"/>
              </w:rPr>
              <w:t>　</w:t>
            </w:r>
          </w:p>
        </w:tc>
      </w:tr>
      <w:tr w14:paraId="2BBB773A">
        <w:tblPrEx>
          <w:tblCellMar>
            <w:top w:w="0" w:type="dxa"/>
            <w:left w:w="108" w:type="dxa"/>
            <w:bottom w:w="0" w:type="dxa"/>
            <w:right w:w="108" w:type="dxa"/>
          </w:tblCellMar>
        </w:tblPrEx>
        <w:trPr>
          <w:trHeight w:val="696" w:hRule="atLeast"/>
        </w:trPr>
        <w:tc>
          <w:tcPr>
            <w:tcW w:w="866" w:type="dxa"/>
            <w:tcBorders>
              <w:top w:val="nil"/>
              <w:left w:val="single" w:color="auto" w:sz="4" w:space="0"/>
              <w:bottom w:val="single" w:color="auto" w:sz="4" w:space="0"/>
              <w:right w:val="single" w:color="auto" w:sz="4" w:space="0"/>
            </w:tcBorders>
            <w:shd w:val="clear" w:color="auto" w:fill="auto"/>
            <w:vAlign w:val="center"/>
          </w:tcPr>
          <w:p w14:paraId="198E0F73">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19</w:t>
            </w:r>
          </w:p>
        </w:tc>
        <w:tc>
          <w:tcPr>
            <w:tcW w:w="2410" w:type="dxa"/>
            <w:tcBorders>
              <w:top w:val="nil"/>
              <w:left w:val="nil"/>
              <w:bottom w:val="single" w:color="auto" w:sz="4" w:space="0"/>
              <w:right w:val="single" w:color="auto" w:sz="4" w:space="0"/>
            </w:tcBorders>
            <w:shd w:val="clear" w:color="auto" w:fill="auto"/>
            <w:vAlign w:val="center"/>
          </w:tcPr>
          <w:p w14:paraId="558804D8">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断路器手车进出加长操作手柄</w:t>
            </w:r>
          </w:p>
        </w:tc>
        <w:tc>
          <w:tcPr>
            <w:tcW w:w="3944" w:type="dxa"/>
            <w:tcBorders>
              <w:top w:val="nil"/>
              <w:left w:val="nil"/>
              <w:bottom w:val="single" w:color="auto" w:sz="4" w:space="0"/>
              <w:right w:val="single" w:color="auto" w:sz="4" w:space="0"/>
            </w:tcBorders>
            <w:shd w:val="clear" w:color="auto" w:fill="auto"/>
            <w:vAlign w:val="center"/>
          </w:tcPr>
          <w:p w14:paraId="55CC132B">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柜门特殊（凸出门）</w:t>
            </w:r>
          </w:p>
        </w:tc>
        <w:tc>
          <w:tcPr>
            <w:tcW w:w="700" w:type="dxa"/>
            <w:tcBorders>
              <w:top w:val="nil"/>
              <w:left w:val="nil"/>
              <w:bottom w:val="single" w:color="auto" w:sz="4" w:space="0"/>
              <w:right w:val="single" w:color="auto" w:sz="4" w:space="0"/>
            </w:tcBorders>
            <w:shd w:val="clear" w:color="auto" w:fill="auto"/>
            <w:vAlign w:val="center"/>
          </w:tcPr>
          <w:p w14:paraId="1A21C46D">
            <w:pPr>
              <w:widowControl/>
              <w:jc w:val="center"/>
              <w:rPr>
                <w:rFonts w:ascii="微软雅黑" w:hAnsi="微软雅黑" w:eastAsia="微软雅黑" w:cs="宋体"/>
                <w:kern w:val="0"/>
                <w:sz w:val="24"/>
                <w:szCs w:val="24"/>
              </w:rPr>
            </w:pPr>
            <w:r>
              <w:rPr>
                <w:rFonts w:hint="eastAsia" w:ascii="微软雅黑" w:hAnsi="微软雅黑" w:eastAsia="微软雅黑" w:cs="宋体"/>
                <w:kern w:val="0"/>
                <w:sz w:val="24"/>
                <w:szCs w:val="24"/>
              </w:rPr>
              <w:t>把</w:t>
            </w:r>
          </w:p>
        </w:tc>
        <w:tc>
          <w:tcPr>
            <w:tcW w:w="980" w:type="dxa"/>
            <w:tcBorders>
              <w:top w:val="nil"/>
              <w:left w:val="nil"/>
              <w:bottom w:val="single" w:color="auto" w:sz="4" w:space="0"/>
              <w:right w:val="single" w:color="auto" w:sz="4" w:space="0"/>
            </w:tcBorders>
            <w:shd w:val="clear" w:color="auto" w:fill="auto"/>
            <w:vAlign w:val="center"/>
          </w:tcPr>
          <w:p w14:paraId="669C41C2">
            <w:pPr>
              <w:widowControl/>
              <w:jc w:val="center"/>
              <w:rPr>
                <w:rFonts w:hint="eastAsia" w:ascii="微软雅黑" w:hAnsi="微软雅黑" w:eastAsia="微软雅黑" w:cs="宋体"/>
                <w:kern w:val="0"/>
                <w:sz w:val="24"/>
                <w:szCs w:val="24"/>
                <w:lang w:val="en-US" w:eastAsia="zh-CN"/>
              </w:rPr>
            </w:pPr>
            <w:r>
              <w:rPr>
                <w:rFonts w:hint="eastAsia" w:ascii="微软雅黑" w:hAnsi="微软雅黑" w:eastAsia="微软雅黑" w:cs="宋体"/>
                <w:kern w:val="0"/>
                <w:sz w:val="24"/>
                <w:szCs w:val="24"/>
                <w:lang w:val="en-US" w:eastAsia="zh-CN"/>
              </w:rPr>
              <w:t>2</w:t>
            </w:r>
          </w:p>
        </w:tc>
        <w:tc>
          <w:tcPr>
            <w:tcW w:w="980" w:type="dxa"/>
            <w:tcBorders>
              <w:top w:val="nil"/>
              <w:left w:val="nil"/>
              <w:bottom w:val="single" w:color="auto" w:sz="4" w:space="0"/>
              <w:right w:val="single" w:color="auto" w:sz="4" w:space="0"/>
            </w:tcBorders>
            <w:shd w:val="clear" w:color="auto" w:fill="auto"/>
            <w:noWrap/>
            <w:vAlign w:val="center"/>
          </w:tcPr>
          <w:p w14:paraId="61DE9A2A">
            <w:pPr>
              <w:widowControl/>
              <w:jc w:val="left"/>
              <w:rPr>
                <w:rFonts w:ascii="等线" w:hAnsi="等线" w:eastAsia="等线" w:cs="宋体"/>
                <w:color w:val="000000"/>
                <w:kern w:val="0"/>
                <w:sz w:val="22"/>
              </w:rPr>
            </w:pPr>
            <w:r>
              <w:rPr>
                <w:rFonts w:hint="eastAsia" w:ascii="等线" w:hAnsi="等线" w:eastAsia="等线" w:cs="宋体"/>
                <w:color w:val="000000"/>
                <w:kern w:val="0"/>
                <w:sz w:val="22"/>
              </w:rPr>
              <w:t>　</w:t>
            </w:r>
          </w:p>
        </w:tc>
      </w:tr>
    </w:tbl>
    <w:p w14:paraId="08F3BC90">
      <w:pPr>
        <w:pStyle w:val="5"/>
      </w:pPr>
    </w:p>
    <w:p w14:paraId="24374FFB">
      <w:pPr>
        <w:spacing w:line="360" w:lineRule="auto"/>
        <w:jc w:val="center"/>
        <w:rPr>
          <w:rFonts w:ascii="微软雅黑" w:hAnsi="微软雅黑" w:eastAsia="微软雅黑" w:cs="宋体"/>
          <w:b/>
          <w:szCs w:val="21"/>
        </w:rPr>
      </w:pPr>
      <w:r>
        <w:rPr>
          <w:rFonts w:hint="eastAsia" w:ascii="微软雅黑" w:hAnsi="微软雅黑" w:eastAsia="微软雅黑" w:cs="宋体"/>
          <w:b/>
          <w:szCs w:val="21"/>
        </w:rPr>
        <w:t>第四节 产品设计制造及质量控制标准</w:t>
      </w:r>
    </w:p>
    <w:p w14:paraId="4DA4F198">
      <w:pPr>
        <w:spacing w:line="360" w:lineRule="exact"/>
        <w:rPr>
          <w:rFonts w:ascii="微软雅黑" w:hAnsi="微软雅黑" w:eastAsia="微软雅黑" w:cs="宋体"/>
          <w:szCs w:val="21"/>
        </w:rPr>
      </w:pPr>
      <w:r>
        <w:rPr>
          <w:rFonts w:hint="eastAsia" w:ascii="微软雅黑" w:hAnsi="微软雅黑" w:eastAsia="微软雅黑" w:cs="宋体"/>
          <w:szCs w:val="21"/>
        </w:rPr>
        <w:t>乙方在产品制造、试验、配套成套中，应严格执行如下标准：</w:t>
      </w:r>
    </w:p>
    <w:p w14:paraId="5789D67A">
      <w:pPr>
        <w:spacing w:line="360" w:lineRule="exact"/>
        <w:rPr>
          <w:rFonts w:ascii="微软雅黑" w:hAnsi="微软雅黑" w:eastAsia="微软雅黑" w:cs="宋体"/>
          <w:szCs w:val="21"/>
        </w:rPr>
      </w:pPr>
      <w:r>
        <w:rPr>
          <w:rFonts w:hint="eastAsia" w:ascii="微软雅黑" w:hAnsi="微软雅黑" w:eastAsia="微软雅黑" w:cs="宋体"/>
          <w:szCs w:val="21"/>
        </w:rPr>
        <w:t>《标点符号用法》</w:t>
      </w:r>
      <w:r>
        <w:rPr>
          <w:rFonts w:ascii="微软雅黑" w:hAnsi="微软雅黑" w:eastAsia="微软雅黑" w:cs="宋体"/>
          <w:szCs w:val="21"/>
        </w:rPr>
        <w:t xml:space="preserve">                     GB/T15843-95 </w:t>
      </w:r>
    </w:p>
    <w:p w14:paraId="6A14A9C3">
      <w:pPr>
        <w:spacing w:line="360" w:lineRule="exact"/>
        <w:rPr>
          <w:rFonts w:ascii="微软雅黑" w:hAnsi="微软雅黑" w:eastAsia="微软雅黑" w:cs="宋体"/>
          <w:szCs w:val="21"/>
        </w:rPr>
      </w:pPr>
      <w:r>
        <w:rPr>
          <w:rFonts w:hint="eastAsia" w:ascii="微软雅黑" w:hAnsi="微软雅黑" w:eastAsia="微软雅黑" w:cs="宋体"/>
          <w:szCs w:val="21"/>
        </w:rPr>
        <w:t>《指示灯和按钮的颜色》</w:t>
      </w:r>
      <w:r>
        <w:rPr>
          <w:rFonts w:ascii="微软雅黑" w:hAnsi="微软雅黑" w:eastAsia="微软雅黑" w:cs="宋体"/>
          <w:szCs w:val="21"/>
        </w:rPr>
        <w:t xml:space="preserve">               GB/T4025-83 </w:t>
      </w:r>
    </w:p>
    <w:p w14:paraId="79DFAF73">
      <w:pPr>
        <w:spacing w:line="360" w:lineRule="exact"/>
        <w:rPr>
          <w:rFonts w:ascii="微软雅黑" w:hAnsi="微软雅黑" w:eastAsia="微软雅黑" w:cs="宋体"/>
          <w:szCs w:val="21"/>
        </w:rPr>
      </w:pPr>
      <w:r>
        <w:rPr>
          <w:rFonts w:hint="eastAsia" w:ascii="微软雅黑" w:hAnsi="微软雅黑" w:eastAsia="微软雅黑" w:cs="宋体"/>
          <w:szCs w:val="21"/>
        </w:rPr>
        <w:t>《外壳防护等级》</w:t>
      </w:r>
      <w:r>
        <w:rPr>
          <w:rFonts w:ascii="微软雅黑" w:hAnsi="微软雅黑" w:eastAsia="微软雅黑" w:cs="宋体"/>
          <w:szCs w:val="21"/>
        </w:rPr>
        <w:t xml:space="preserve">                     GB/T4028-93 </w:t>
      </w:r>
    </w:p>
    <w:p w14:paraId="6A562802">
      <w:pPr>
        <w:spacing w:line="360" w:lineRule="exact"/>
        <w:rPr>
          <w:rFonts w:ascii="微软雅黑" w:hAnsi="微软雅黑" w:eastAsia="微软雅黑" w:cs="宋体"/>
          <w:szCs w:val="21"/>
        </w:rPr>
      </w:pPr>
      <w:r>
        <w:rPr>
          <w:rFonts w:hint="eastAsia" w:ascii="微软雅黑" w:hAnsi="微软雅黑" w:eastAsia="微软雅黑" w:cs="宋体"/>
          <w:szCs w:val="21"/>
        </w:rPr>
        <w:t>《电气设备用图形符号》</w:t>
      </w:r>
      <w:r>
        <w:rPr>
          <w:rFonts w:ascii="微软雅黑" w:hAnsi="微软雅黑" w:eastAsia="微软雅黑" w:cs="宋体"/>
          <w:szCs w:val="21"/>
        </w:rPr>
        <w:t xml:space="preserve">               GB/T5465.2-96 </w:t>
      </w:r>
    </w:p>
    <w:p w14:paraId="73104D84">
      <w:pPr>
        <w:spacing w:line="360" w:lineRule="exact"/>
        <w:rPr>
          <w:rFonts w:ascii="微软雅黑" w:hAnsi="微软雅黑" w:eastAsia="微软雅黑" w:cs="宋体"/>
          <w:szCs w:val="21"/>
        </w:rPr>
      </w:pPr>
      <w:r>
        <w:rPr>
          <w:rFonts w:hint="eastAsia" w:ascii="微软雅黑" w:hAnsi="微软雅黑" w:eastAsia="微软雅黑" w:cs="宋体"/>
          <w:szCs w:val="21"/>
        </w:rPr>
        <w:t>《交流高压隔离开关》</w:t>
      </w:r>
      <w:r>
        <w:rPr>
          <w:rFonts w:ascii="微软雅黑" w:hAnsi="微软雅黑" w:eastAsia="微软雅黑" w:cs="宋体"/>
          <w:szCs w:val="21"/>
        </w:rPr>
        <w:t xml:space="preserve">                 GB1985-89 </w:t>
      </w:r>
    </w:p>
    <w:p w14:paraId="2BFBA566">
      <w:pPr>
        <w:spacing w:line="360" w:lineRule="exact"/>
        <w:rPr>
          <w:rFonts w:ascii="微软雅黑" w:hAnsi="微软雅黑" w:eastAsia="微软雅黑" w:cs="宋体"/>
          <w:szCs w:val="21"/>
        </w:rPr>
      </w:pPr>
      <w:r>
        <w:rPr>
          <w:rFonts w:hint="eastAsia" w:ascii="微软雅黑" w:hAnsi="微软雅黑" w:eastAsia="微软雅黑" w:cs="宋体"/>
          <w:szCs w:val="21"/>
        </w:rPr>
        <w:t>《高压开关设备通用技术条件》</w:t>
      </w:r>
      <w:r>
        <w:rPr>
          <w:rFonts w:ascii="微软雅黑" w:hAnsi="微软雅黑" w:eastAsia="微软雅黑" w:cs="宋体"/>
          <w:szCs w:val="21"/>
        </w:rPr>
        <w:t xml:space="preserve">         GB11022-1999   </w:t>
      </w:r>
    </w:p>
    <w:p w14:paraId="15DBEBF9">
      <w:pPr>
        <w:spacing w:line="360" w:lineRule="exact"/>
        <w:rPr>
          <w:rFonts w:ascii="微软雅黑" w:hAnsi="微软雅黑" w:eastAsia="微软雅黑" w:cs="宋体"/>
          <w:szCs w:val="21"/>
        </w:rPr>
      </w:pPr>
      <w:r>
        <w:rPr>
          <w:rFonts w:hint="eastAsia" w:ascii="微软雅黑" w:hAnsi="微软雅黑" w:eastAsia="微软雅黑" w:cs="宋体"/>
          <w:szCs w:val="21"/>
        </w:rPr>
        <w:t>《电压互感器》</w:t>
      </w:r>
      <w:r>
        <w:rPr>
          <w:rFonts w:ascii="微软雅黑" w:hAnsi="微软雅黑" w:eastAsia="微软雅黑" w:cs="宋体"/>
          <w:szCs w:val="21"/>
        </w:rPr>
        <w:t xml:space="preserve">                       GB1207-1997 </w:t>
      </w:r>
    </w:p>
    <w:p w14:paraId="114FF51A">
      <w:pPr>
        <w:spacing w:line="360" w:lineRule="exact"/>
        <w:rPr>
          <w:rFonts w:ascii="微软雅黑" w:hAnsi="微软雅黑" w:eastAsia="微软雅黑" w:cs="宋体"/>
          <w:szCs w:val="21"/>
        </w:rPr>
      </w:pPr>
      <w:r>
        <w:rPr>
          <w:rFonts w:hint="eastAsia" w:ascii="微软雅黑" w:hAnsi="微软雅黑" w:eastAsia="微软雅黑" w:cs="宋体"/>
          <w:szCs w:val="21"/>
        </w:rPr>
        <w:t>《电流互感器》</w:t>
      </w:r>
      <w:r>
        <w:rPr>
          <w:rFonts w:ascii="微软雅黑" w:hAnsi="微软雅黑" w:eastAsia="微软雅黑" w:cs="宋体"/>
          <w:szCs w:val="21"/>
        </w:rPr>
        <w:t xml:space="preserve">                       GB1208-1997 </w:t>
      </w:r>
    </w:p>
    <w:p w14:paraId="71392894">
      <w:pPr>
        <w:spacing w:line="360" w:lineRule="exact"/>
        <w:rPr>
          <w:rFonts w:ascii="微软雅黑" w:hAnsi="微软雅黑" w:eastAsia="微软雅黑" w:cs="宋体"/>
          <w:szCs w:val="21"/>
        </w:rPr>
      </w:pPr>
      <w:r>
        <w:rPr>
          <w:rFonts w:hint="eastAsia" w:ascii="微软雅黑" w:hAnsi="微软雅黑" w:eastAsia="微软雅黑" w:cs="宋体"/>
          <w:szCs w:val="21"/>
        </w:rPr>
        <w:t>《高电压套管技术条件》</w:t>
      </w:r>
      <w:r>
        <w:rPr>
          <w:rFonts w:ascii="微软雅黑" w:hAnsi="微软雅黑" w:eastAsia="微软雅黑" w:cs="宋体"/>
          <w:szCs w:val="21"/>
        </w:rPr>
        <w:t xml:space="preserve">               GB4109-1999 </w:t>
      </w:r>
    </w:p>
    <w:p w14:paraId="5A920C13">
      <w:pPr>
        <w:spacing w:line="360" w:lineRule="exact"/>
        <w:rPr>
          <w:rFonts w:ascii="微软雅黑" w:hAnsi="微软雅黑" w:eastAsia="微软雅黑" w:cs="宋体"/>
          <w:szCs w:val="21"/>
        </w:rPr>
      </w:pPr>
      <w:r>
        <w:rPr>
          <w:rFonts w:hint="eastAsia" w:ascii="微软雅黑" w:hAnsi="微软雅黑" w:eastAsia="微软雅黑" w:cs="宋体"/>
          <w:szCs w:val="21"/>
        </w:rPr>
        <w:t>《高压绝缘子瓷件技术条件》</w:t>
      </w:r>
      <w:r>
        <w:rPr>
          <w:rFonts w:ascii="微软雅黑" w:hAnsi="微软雅黑" w:eastAsia="微软雅黑" w:cs="宋体"/>
          <w:szCs w:val="21"/>
        </w:rPr>
        <w:t xml:space="preserve">           GB772-1989 </w:t>
      </w:r>
    </w:p>
    <w:p w14:paraId="6D1DC97E">
      <w:pPr>
        <w:spacing w:line="360" w:lineRule="exact"/>
        <w:rPr>
          <w:rFonts w:ascii="微软雅黑" w:hAnsi="微软雅黑" w:eastAsia="微软雅黑" w:cs="宋体"/>
          <w:szCs w:val="21"/>
        </w:rPr>
      </w:pPr>
      <w:r>
        <w:rPr>
          <w:rFonts w:hint="eastAsia" w:ascii="微软雅黑" w:hAnsi="微软雅黑" w:eastAsia="微软雅黑" w:cs="宋体"/>
          <w:szCs w:val="21"/>
        </w:rPr>
        <w:t>《交流高压电器长期工作时的发热》</w:t>
      </w:r>
      <w:r>
        <w:rPr>
          <w:rFonts w:ascii="微软雅黑" w:hAnsi="微软雅黑" w:eastAsia="微软雅黑" w:cs="宋体"/>
          <w:szCs w:val="21"/>
        </w:rPr>
        <w:t xml:space="preserve">      GB/T11022-1990</w:t>
      </w:r>
    </w:p>
    <w:p w14:paraId="7BD5AB74">
      <w:pPr>
        <w:spacing w:line="360" w:lineRule="exact"/>
        <w:rPr>
          <w:rFonts w:ascii="微软雅黑" w:hAnsi="微软雅黑" w:eastAsia="微软雅黑" w:cs="宋体"/>
          <w:szCs w:val="21"/>
        </w:rPr>
      </w:pPr>
      <w:r>
        <w:rPr>
          <w:rFonts w:hint="eastAsia" w:ascii="微软雅黑" w:hAnsi="微软雅黑" w:eastAsia="微软雅黑" w:cs="宋体"/>
          <w:szCs w:val="21"/>
        </w:rPr>
        <w:t>《高压输变电设备的绝缘配合》</w:t>
      </w:r>
      <w:r>
        <w:rPr>
          <w:rFonts w:ascii="微软雅黑" w:hAnsi="微软雅黑" w:eastAsia="微软雅黑" w:cs="宋体"/>
          <w:szCs w:val="21"/>
        </w:rPr>
        <w:t xml:space="preserve">         GB311.1-1989            </w:t>
      </w:r>
    </w:p>
    <w:p w14:paraId="761B082A">
      <w:pPr>
        <w:spacing w:line="360" w:lineRule="exact"/>
        <w:rPr>
          <w:rFonts w:ascii="微软雅黑" w:hAnsi="微软雅黑" w:eastAsia="微软雅黑" w:cs="宋体"/>
          <w:szCs w:val="21"/>
        </w:rPr>
      </w:pPr>
      <w:r>
        <w:rPr>
          <w:rFonts w:hint="eastAsia" w:ascii="微软雅黑" w:hAnsi="微软雅黑" w:eastAsia="微软雅黑" w:cs="宋体"/>
          <w:szCs w:val="21"/>
        </w:rPr>
        <w:t>《高电压试验技术一、二部分》</w:t>
      </w:r>
      <w:r>
        <w:rPr>
          <w:rFonts w:ascii="微软雅黑" w:hAnsi="微软雅黑" w:eastAsia="微软雅黑" w:cs="宋体"/>
          <w:szCs w:val="21"/>
        </w:rPr>
        <w:t xml:space="preserve">       GB/T16927-1997</w:t>
      </w:r>
    </w:p>
    <w:p w14:paraId="00CF9757">
      <w:pPr>
        <w:spacing w:line="360" w:lineRule="exact"/>
        <w:rPr>
          <w:rFonts w:ascii="微软雅黑" w:hAnsi="微软雅黑" w:eastAsia="微软雅黑" w:cs="宋体"/>
          <w:szCs w:val="21"/>
        </w:rPr>
      </w:pPr>
      <w:r>
        <w:rPr>
          <w:rFonts w:hint="eastAsia" w:ascii="微软雅黑" w:hAnsi="微软雅黑" w:eastAsia="微软雅黑" w:cs="宋体"/>
          <w:szCs w:val="21"/>
        </w:rPr>
        <w:t>《局部放电测量》</w:t>
      </w:r>
      <w:r>
        <w:rPr>
          <w:rFonts w:ascii="微软雅黑" w:hAnsi="微软雅黑" w:eastAsia="微软雅黑" w:cs="宋体"/>
          <w:szCs w:val="21"/>
        </w:rPr>
        <w:t xml:space="preserve">                    GB7354-1987</w:t>
      </w:r>
    </w:p>
    <w:p w14:paraId="42950011">
      <w:pPr>
        <w:spacing w:line="360" w:lineRule="exact"/>
        <w:rPr>
          <w:rFonts w:ascii="微软雅黑" w:hAnsi="微软雅黑" w:eastAsia="微软雅黑" w:cs="宋体"/>
          <w:szCs w:val="21"/>
        </w:rPr>
      </w:pPr>
      <w:r>
        <w:rPr>
          <w:rFonts w:hint="eastAsia" w:ascii="微软雅黑" w:hAnsi="微软雅黑" w:eastAsia="微软雅黑" w:cs="宋体"/>
          <w:szCs w:val="21"/>
        </w:rPr>
        <w:t>《高压电力设备外绝缘污秽等级》</w:t>
      </w:r>
      <w:r>
        <w:rPr>
          <w:rFonts w:ascii="微软雅黑" w:hAnsi="微软雅黑" w:eastAsia="微软雅黑" w:cs="宋体"/>
          <w:szCs w:val="21"/>
        </w:rPr>
        <w:t xml:space="preserve">       GB/T5582-1993</w:t>
      </w:r>
    </w:p>
    <w:p w14:paraId="072460B8">
      <w:pPr>
        <w:spacing w:line="360" w:lineRule="exact"/>
        <w:rPr>
          <w:rFonts w:ascii="微软雅黑" w:hAnsi="微软雅黑" w:eastAsia="微软雅黑" w:cs="宋体"/>
          <w:szCs w:val="21"/>
        </w:rPr>
      </w:pPr>
      <w:r>
        <w:rPr>
          <w:rFonts w:hint="eastAsia" w:ascii="微软雅黑" w:hAnsi="微软雅黑" w:eastAsia="微软雅黑" w:cs="宋体"/>
          <w:szCs w:val="21"/>
        </w:rPr>
        <w:t>《交流高压断路器的合成试验》</w:t>
      </w:r>
      <w:r>
        <w:rPr>
          <w:rFonts w:ascii="微软雅黑" w:hAnsi="微软雅黑" w:eastAsia="微软雅黑" w:cs="宋体"/>
          <w:szCs w:val="21"/>
        </w:rPr>
        <w:t xml:space="preserve">         GB/T4473-1996</w:t>
      </w:r>
    </w:p>
    <w:p w14:paraId="52BB21EA">
      <w:pPr>
        <w:spacing w:line="360" w:lineRule="exact"/>
        <w:rPr>
          <w:rFonts w:ascii="微软雅黑" w:hAnsi="微软雅黑" w:eastAsia="微软雅黑" w:cs="宋体"/>
          <w:szCs w:val="21"/>
        </w:rPr>
      </w:pPr>
      <w:r>
        <w:rPr>
          <w:rFonts w:hint="eastAsia" w:ascii="微软雅黑" w:hAnsi="微软雅黑" w:eastAsia="微软雅黑" w:cs="宋体"/>
          <w:szCs w:val="21"/>
        </w:rPr>
        <w:t>《交流高压电器动热稳定试验方法》</w:t>
      </w:r>
      <w:r>
        <w:rPr>
          <w:rFonts w:ascii="微软雅黑" w:hAnsi="微软雅黑" w:eastAsia="微软雅黑" w:cs="宋体"/>
          <w:szCs w:val="21"/>
        </w:rPr>
        <w:t xml:space="preserve">     GB2709-1989</w:t>
      </w:r>
    </w:p>
    <w:p w14:paraId="4A5269B6">
      <w:pPr>
        <w:spacing w:line="360" w:lineRule="exact"/>
        <w:rPr>
          <w:rFonts w:ascii="微软雅黑" w:hAnsi="微软雅黑" w:eastAsia="微软雅黑" w:cs="宋体"/>
          <w:szCs w:val="21"/>
        </w:rPr>
      </w:pPr>
      <w:r>
        <w:rPr>
          <w:rFonts w:hint="eastAsia" w:ascii="微软雅黑" w:hAnsi="微软雅黑" w:eastAsia="微软雅黑" w:cs="宋体"/>
          <w:szCs w:val="21"/>
        </w:rPr>
        <w:t>《高压开关设备常温下的机械试验》</w:t>
      </w:r>
      <w:r>
        <w:rPr>
          <w:rFonts w:ascii="微软雅黑" w:hAnsi="微软雅黑" w:eastAsia="微软雅黑" w:cs="宋体"/>
          <w:szCs w:val="21"/>
        </w:rPr>
        <w:t xml:space="preserve">     GB3309-1989</w:t>
      </w:r>
    </w:p>
    <w:p w14:paraId="7B4123C4">
      <w:pPr>
        <w:spacing w:line="360" w:lineRule="exact"/>
        <w:rPr>
          <w:rFonts w:ascii="微软雅黑" w:hAnsi="微软雅黑" w:eastAsia="微软雅黑" w:cs="宋体"/>
          <w:szCs w:val="21"/>
        </w:rPr>
      </w:pPr>
      <w:r>
        <w:rPr>
          <w:rFonts w:hint="eastAsia" w:ascii="微软雅黑" w:hAnsi="微软雅黑" w:eastAsia="微软雅黑" w:cs="宋体"/>
          <w:szCs w:val="21"/>
        </w:rPr>
        <w:t>《交流高压断路器的近区故障试验》</w:t>
      </w:r>
      <w:r>
        <w:rPr>
          <w:rFonts w:ascii="微软雅黑" w:hAnsi="微软雅黑" w:eastAsia="微软雅黑" w:cs="宋体"/>
          <w:szCs w:val="21"/>
        </w:rPr>
        <w:t xml:space="preserve">     GB/T4474-92</w:t>
      </w:r>
    </w:p>
    <w:p w14:paraId="0C78160B">
      <w:pPr>
        <w:spacing w:line="360" w:lineRule="exact"/>
        <w:rPr>
          <w:rFonts w:ascii="微软雅黑" w:hAnsi="微软雅黑" w:eastAsia="微软雅黑" w:cs="宋体"/>
          <w:szCs w:val="21"/>
        </w:rPr>
      </w:pPr>
      <w:r>
        <w:rPr>
          <w:rFonts w:hint="eastAsia" w:ascii="微软雅黑" w:hAnsi="微软雅黑" w:eastAsia="微软雅黑" w:cs="宋体"/>
          <w:szCs w:val="21"/>
        </w:rPr>
        <w:t>《交流高压断路器定货技术条件》</w:t>
      </w:r>
      <w:r>
        <w:rPr>
          <w:rFonts w:ascii="微软雅黑" w:hAnsi="微软雅黑" w:eastAsia="微软雅黑" w:cs="宋体"/>
          <w:szCs w:val="21"/>
        </w:rPr>
        <w:t xml:space="preserve">       DL402-1996</w:t>
      </w:r>
    </w:p>
    <w:p w14:paraId="1F5034A2">
      <w:pPr>
        <w:spacing w:line="360" w:lineRule="exact"/>
        <w:rPr>
          <w:rFonts w:ascii="微软雅黑" w:hAnsi="微软雅黑" w:eastAsia="微软雅黑" w:cs="宋体"/>
          <w:szCs w:val="21"/>
        </w:rPr>
      </w:pPr>
      <w:r>
        <w:rPr>
          <w:rFonts w:hint="eastAsia" w:ascii="微软雅黑" w:hAnsi="微软雅黑" w:eastAsia="微软雅黑" w:cs="宋体"/>
          <w:szCs w:val="21"/>
        </w:rPr>
        <w:t>《交流高压隔离开关定货技术条件》</w:t>
      </w:r>
      <w:r>
        <w:rPr>
          <w:rFonts w:ascii="微软雅黑" w:hAnsi="微软雅黑" w:eastAsia="微软雅黑" w:cs="宋体"/>
          <w:szCs w:val="21"/>
        </w:rPr>
        <w:t xml:space="preserve">     DL486-1996</w:t>
      </w:r>
    </w:p>
    <w:p w14:paraId="7AE7C7E0">
      <w:pPr>
        <w:spacing w:line="360" w:lineRule="exact"/>
        <w:rPr>
          <w:rFonts w:ascii="微软雅黑" w:hAnsi="微软雅黑" w:eastAsia="微软雅黑" w:cs="宋体"/>
          <w:szCs w:val="21"/>
        </w:rPr>
      </w:pPr>
      <w:r>
        <w:rPr>
          <w:rFonts w:hint="eastAsia" w:ascii="微软雅黑" w:hAnsi="微软雅黑" w:eastAsia="微软雅黑" w:cs="宋体"/>
          <w:szCs w:val="21"/>
        </w:rPr>
        <w:t>《高压开关柜绝缘水平及绝缘试验》</w:t>
      </w:r>
      <w:r>
        <w:rPr>
          <w:rFonts w:ascii="微软雅黑" w:hAnsi="微软雅黑" w:eastAsia="微软雅黑" w:cs="宋体"/>
          <w:szCs w:val="21"/>
        </w:rPr>
        <w:t xml:space="preserve">     GB1094.3-1985</w:t>
      </w:r>
    </w:p>
    <w:p w14:paraId="2D64ED6A">
      <w:pPr>
        <w:spacing w:line="360" w:lineRule="exact"/>
        <w:rPr>
          <w:rFonts w:ascii="微软雅黑" w:hAnsi="微软雅黑" w:eastAsia="微软雅黑" w:cs="宋体"/>
          <w:szCs w:val="21"/>
        </w:rPr>
      </w:pPr>
      <w:r>
        <w:rPr>
          <w:rFonts w:hint="eastAsia" w:ascii="微软雅黑" w:hAnsi="微软雅黑" w:eastAsia="微软雅黑" w:cs="宋体"/>
          <w:szCs w:val="21"/>
        </w:rPr>
        <w:t>《电气设备抗干扰特性测量方法》</w:t>
      </w:r>
      <w:r>
        <w:rPr>
          <w:rFonts w:ascii="微软雅黑" w:hAnsi="微软雅黑" w:eastAsia="微软雅黑" w:cs="宋体"/>
          <w:szCs w:val="21"/>
        </w:rPr>
        <w:t xml:space="preserve">       GB/T11064-89</w:t>
      </w:r>
    </w:p>
    <w:p w14:paraId="120D35A0">
      <w:pPr>
        <w:spacing w:line="360" w:lineRule="exact"/>
        <w:rPr>
          <w:rFonts w:ascii="微软雅黑" w:hAnsi="微软雅黑" w:eastAsia="微软雅黑" w:cs="宋体"/>
          <w:szCs w:val="21"/>
        </w:rPr>
      </w:pPr>
      <w:r>
        <w:rPr>
          <w:rFonts w:hint="eastAsia" w:ascii="微软雅黑" w:hAnsi="微软雅黑" w:eastAsia="微软雅黑" w:cs="宋体"/>
          <w:szCs w:val="21"/>
        </w:rPr>
        <w:t>《电气设备无线电干扰测量方法》</w:t>
      </w:r>
      <w:r>
        <w:rPr>
          <w:rFonts w:ascii="微软雅黑" w:hAnsi="微软雅黑" w:eastAsia="微软雅黑" w:cs="宋体"/>
          <w:szCs w:val="21"/>
        </w:rPr>
        <w:t xml:space="preserve">       GB11604-89</w:t>
      </w:r>
    </w:p>
    <w:p w14:paraId="73FB9BE5">
      <w:pPr>
        <w:spacing w:line="360" w:lineRule="exact"/>
        <w:rPr>
          <w:rFonts w:ascii="微软雅黑" w:hAnsi="微软雅黑" w:eastAsia="微软雅黑" w:cs="宋体"/>
          <w:szCs w:val="21"/>
        </w:rPr>
      </w:pPr>
      <w:r>
        <w:rPr>
          <w:rFonts w:hint="eastAsia" w:ascii="微软雅黑" w:hAnsi="微软雅黑" w:eastAsia="微软雅黑" w:cs="宋体"/>
          <w:szCs w:val="21"/>
        </w:rPr>
        <w:t>《电力设备额定电流》</w:t>
      </w:r>
      <w:r>
        <w:rPr>
          <w:rFonts w:ascii="微软雅黑" w:hAnsi="微软雅黑" w:eastAsia="微软雅黑" w:cs="宋体"/>
          <w:szCs w:val="21"/>
        </w:rPr>
        <w:t xml:space="preserve">                 GB762-86</w:t>
      </w:r>
    </w:p>
    <w:p w14:paraId="05E56CDB">
      <w:pPr>
        <w:spacing w:line="360" w:lineRule="exact"/>
        <w:rPr>
          <w:rFonts w:ascii="微软雅黑" w:hAnsi="微软雅黑" w:eastAsia="微软雅黑" w:cs="宋体"/>
          <w:szCs w:val="21"/>
        </w:rPr>
      </w:pPr>
      <w:r>
        <w:rPr>
          <w:rFonts w:hint="eastAsia" w:ascii="微软雅黑" w:hAnsi="微软雅黑" w:eastAsia="微软雅黑" w:cs="宋体"/>
          <w:szCs w:val="21"/>
        </w:rPr>
        <w:t>《标准电压》</w:t>
      </w:r>
      <w:r>
        <w:rPr>
          <w:rFonts w:ascii="微软雅黑" w:hAnsi="微软雅黑" w:eastAsia="微软雅黑" w:cs="宋体"/>
          <w:szCs w:val="21"/>
        </w:rPr>
        <w:t xml:space="preserve">                       GB156-93</w:t>
      </w:r>
    </w:p>
    <w:p w14:paraId="59505061">
      <w:pPr>
        <w:spacing w:line="360" w:lineRule="exact"/>
        <w:rPr>
          <w:rFonts w:ascii="微软雅黑" w:hAnsi="微软雅黑" w:eastAsia="微软雅黑" w:cs="宋体"/>
          <w:szCs w:val="21"/>
        </w:rPr>
      </w:pPr>
      <w:r>
        <w:rPr>
          <w:rFonts w:hint="eastAsia" w:ascii="微软雅黑" w:hAnsi="微软雅黑" w:eastAsia="微软雅黑" w:cs="宋体"/>
          <w:szCs w:val="21"/>
        </w:rPr>
        <w:t>《保护用电流互感器暂态特性技术要求》</w:t>
      </w:r>
      <w:r>
        <w:rPr>
          <w:rFonts w:ascii="微软雅黑" w:hAnsi="微软雅黑" w:eastAsia="微软雅黑" w:cs="宋体"/>
          <w:szCs w:val="21"/>
        </w:rPr>
        <w:t xml:space="preserve"> GB16847-97 </w:t>
      </w:r>
    </w:p>
    <w:p w14:paraId="15EBF009">
      <w:pPr>
        <w:spacing w:line="360" w:lineRule="exact"/>
        <w:rPr>
          <w:rFonts w:ascii="微软雅黑" w:hAnsi="微软雅黑" w:eastAsia="微软雅黑" w:cs="宋体"/>
          <w:szCs w:val="21"/>
        </w:rPr>
      </w:pPr>
      <w:r>
        <w:rPr>
          <w:rFonts w:hint="eastAsia" w:ascii="微软雅黑" w:hAnsi="微软雅黑" w:eastAsia="微软雅黑" w:cs="宋体"/>
          <w:szCs w:val="21"/>
        </w:rPr>
        <w:t>《高压开关设备抗地震性能试验》</w:t>
      </w:r>
      <w:r>
        <w:rPr>
          <w:rFonts w:ascii="微软雅黑" w:hAnsi="微软雅黑" w:eastAsia="微软雅黑" w:cs="宋体"/>
          <w:szCs w:val="21"/>
        </w:rPr>
        <w:t xml:space="preserve">      GB/T13540-93 </w:t>
      </w:r>
    </w:p>
    <w:p w14:paraId="7C455887">
      <w:pPr>
        <w:spacing w:line="360" w:lineRule="exact"/>
        <w:rPr>
          <w:rFonts w:ascii="微软雅黑" w:hAnsi="微软雅黑" w:eastAsia="微软雅黑" w:cs="宋体"/>
          <w:szCs w:val="21"/>
        </w:rPr>
      </w:pPr>
      <w:r>
        <w:rPr>
          <w:rFonts w:hint="eastAsia" w:ascii="微软雅黑" w:hAnsi="微软雅黑" w:eastAsia="微软雅黑" w:cs="宋体"/>
          <w:szCs w:val="21"/>
        </w:rPr>
        <w:t>《</w:t>
      </w:r>
      <w:r>
        <w:rPr>
          <w:rFonts w:ascii="微软雅黑" w:hAnsi="微软雅黑" w:eastAsia="微软雅黑" w:cs="宋体"/>
          <w:szCs w:val="21"/>
        </w:rPr>
        <w:t>3~35KV</w:t>
      </w:r>
      <w:r>
        <w:rPr>
          <w:rFonts w:hint="eastAsia" w:ascii="微软雅黑" w:hAnsi="微软雅黑" w:eastAsia="微软雅黑" w:cs="宋体"/>
          <w:szCs w:val="21"/>
        </w:rPr>
        <w:t>交流金属开关设备》</w:t>
      </w:r>
      <w:r>
        <w:rPr>
          <w:rFonts w:ascii="微软雅黑" w:hAnsi="微软雅黑" w:eastAsia="微软雅黑" w:cs="宋体"/>
          <w:szCs w:val="21"/>
        </w:rPr>
        <w:t xml:space="preserve">           GB3906-91 </w:t>
      </w:r>
    </w:p>
    <w:p w14:paraId="2DD0EA54">
      <w:pPr>
        <w:spacing w:line="360" w:lineRule="exact"/>
        <w:rPr>
          <w:rFonts w:ascii="微软雅黑" w:hAnsi="微软雅黑" w:eastAsia="微软雅黑" w:cs="宋体"/>
          <w:szCs w:val="21"/>
        </w:rPr>
      </w:pPr>
      <w:r>
        <w:rPr>
          <w:rFonts w:hint="eastAsia" w:ascii="微软雅黑" w:hAnsi="微软雅黑" w:eastAsia="微软雅黑" w:cs="宋体"/>
          <w:szCs w:val="21"/>
        </w:rPr>
        <w:t>本技术协议书未提及的技术要求按相应最新国家标准执行。</w:t>
      </w:r>
    </w:p>
    <w:p w14:paraId="11EE774C">
      <w:pPr>
        <w:spacing w:line="360" w:lineRule="auto"/>
        <w:jc w:val="center"/>
        <w:rPr>
          <w:rFonts w:ascii="微软雅黑" w:hAnsi="微软雅黑" w:eastAsia="微软雅黑" w:cs="宋体"/>
          <w:b/>
          <w:szCs w:val="21"/>
        </w:rPr>
      </w:pPr>
      <w:r>
        <w:rPr>
          <w:rFonts w:hint="eastAsia" w:ascii="微软雅黑" w:hAnsi="微软雅黑" w:eastAsia="微软雅黑" w:cs="宋体"/>
          <w:b/>
          <w:szCs w:val="21"/>
        </w:rPr>
        <w:t>第五节 技术服务及售后</w:t>
      </w:r>
    </w:p>
    <w:p w14:paraId="71674CB1">
      <w:pPr>
        <w:spacing w:line="360" w:lineRule="exact"/>
        <w:rPr>
          <w:rFonts w:ascii="微软雅黑" w:hAnsi="微软雅黑" w:eastAsia="微软雅黑" w:cs="宋体"/>
          <w:szCs w:val="21"/>
        </w:rPr>
      </w:pPr>
      <w:r>
        <w:rPr>
          <w:rFonts w:hint="eastAsia" w:ascii="微软雅黑" w:hAnsi="微软雅黑" w:eastAsia="微软雅黑" w:cs="宋体"/>
          <w:szCs w:val="21"/>
        </w:rPr>
        <w:t>5</w:t>
      </w:r>
      <w:r>
        <w:rPr>
          <w:rFonts w:ascii="微软雅黑" w:hAnsi="微软雅黑" w:eastAsia="微软雅黑" w:cs="宋体"/>
          <w:szCs w:val="21"/>
        </w:rPr>
        <w:t>.1乙方负责选派有经验的技术人员到施工现场免费指导安装、调试。对安装调试质量负责，提供有关质量保证的各项文件，包括：①</w:t>
      </w:r>
      <w:r>
        <w:rPr>
          <w:rFonts w:hint="eastAsia" w:ascii="微软雅黑" w:hAnsi="微软雅黑" w:eastAsia="微软雅黑" w:cs="宋体"/>
          <w:szCs w:val="21"/>
        </w:rPr>
        <w:t>检验合格证书；②产品电气试验结果。</w:t>
      </w:r>
    </w:p>
    <w:p w14:paraId="1E4B580A">
      <w:pPr>
        <w:spacing w:line="360" w:lineRule="exact"/>
        <w:rPr>
          <w:rFonts w:ascii="微软雅黑" w:hAnsi="微软雅黑" w:eastAsia="微软雅黑" w:cs="宋体"/>
          <w:szCs w:val="21"/>
        </w:rPr>
      </w:pPr>
      <w:r>
        <w:rPr>
          <w:rFonts w:hint="eastAsia" w:ascii="微软雅黑" w:hAnsi="微软雅黑" w:eastAsia="微软雅黑" w:cs="宋体"/>
          <w:szCs w:val="21"/>
        </w:rPr>
        <w:t>5</w:t>
      </w:r>
      <w:r>
        <w:rPr>
          <w:rFonts w:ascii="微软雅黑" w:hAnsi="微软雅黑" w:eastAsia="微软雅黑" w:cs="宋体"/>
          <w:szCs w:val="21"/>
        </w:rPr>
        <w:t>.2设备安装过程中，乙方应免费为甲方培</w:t>
      </w:r>
      <w:r>
        <w:rPr>
          <w:rFonts w:hint="eastAsia" w:ascii="微软雅黑" w:hAnsi="微软雅黑" w:eastAsia="微软雅黑" w:cs="宋体"/>
          <w:szCs w:val="21"/>
        </w:rPr>
        <w:t>训</w:t>
      </w:r>
      <w:r>
        <w:rPr>
          <w:rFonts w:ascii="微软雅黑" w:hAnsi="微软雅黑" w:eastAsia="微软雅黑" w:cs="宋体"/>
          <w:szCs w:val="21"/>
        </w:rPr>
        <w:t>设备操作与检修维护人员。</w:t>
      </w:r>
    </w:p>
    <w:p w14:paraId="24A13563">
      <w:pPr>
        <w:spacing w:line="360" w:lineRule="exact"/>
        <w:rPr>
          <w:rFonts w:ascii="微软雅黑" w:hAnsi="微软雅黑" w:eastAsia="微软雅黑" w:cs="宋体"/>
          <w:szCs w:val="21"/>
        </w:rPr>
      </w:pPr>
      <w:r>
        <w:rPr>
          <w:rFonts w:hint="eastAsia" w:ascii="微软雅黑" w:hAnsi="微软雅黑" w:eastAsia="微软雅黑" w:cs="宋体"/>
          <w:szCs w:val="21"/>
        </w:rPr>
        <w:t>5</w:t>
      </w:r>
      <w:r>
        <w:rPr>
          <w:rFonts w:ascii="微软雅黑" w:hAnsi="微软雅黑" w:eastAsia="微软雅黑" w:cs="宋体"/>
          <w:szCs w:val="21"/>
        </w:rPr>
        <w:t>.3对产品出现质量问题，乙方接到通知后应在24小时内赶到现场解决。</w:t>
      </w:r>
    </w:p>
    <w:p w14:paraId="7A26DB77">
      <w:pPr>
        <w:spacing w:line="360" w:lineRule="exact"/>
        <w:rPr>
          <w:rFonts w:ascii="微软雅黑" w:hAnsi="微软雅黑" w:eastAsia="微软雅黑" w:cs="宋体"/>
          <w:szCs w:val="21"/>
        </w:rPr>
      </w:pPr>
      <w:r>
        <w:rPr>
          <w:rFonts w:hint="eastAsia" w:ascii="微软雅黑" w:hAnsi="微软雅黑" w:eastAsia="微软雅黑" w:cs="宋体"/>
          <w:szCs w:val="21"/>
        </w:rPr>
        <w:t>5</w:t>
      </w:r>
      <w:r>
        <w:rPr>
          <w:rFonts w:ascii="微软雅黑" w:hAnsi="微软雅黑" w:eastAsia="微软雅黑" w:cs="宋体"/>
          <w:szCs w:val="21"/>
        </w:rPr>
        <w:t>.4设备质保期为12个月，自投产运行后开始计算。</w:t>
      </w:r>
    </w:p>
    <w:p w14:paraId="3785D995">
      <w:pPr>
        <w:spacing w:line="360" w:lineRule="exact"/>
        <w:rPr>
          <w:rFonts w:ascii="微软雅黑" w:hAnsi="微软雅黑" w:eastAsia="微软雅黑" w:cs="宋体"/>
          <w:szCs w:val="21"/>
        </w:rPr>
      </w:pPr>
      <w:r>
        <w:rPr>
          <w:rFonts w:hint="eastAsia" w:ascii="微软雅黑" w:hAnsi="微软雅黑" w:eastAsia="微软雅黑" w:cs="宋体"/>
          <w:szCs w:val="21"/>
        </w:rPr>
        <w:t>5</w:t>
      </w:r>
      <w:r>
        <w:rPr>
          <w:rFonts w:ascii="微软雅黑" w:hAnsi="微软雅黑" w:eastAsia="微软雅黑" w:cs="宋体"/>
          <w:szCs w:val="21"/>
        </w:rPr>
        <w:t>.5质保期内如因设备本身制造引起的质量问题，发生的费用由乙方承担。</w:t>
      </w:r>
    </w:p>
    <w:p w14:paraId="04EF14C9">
      <w:pPr>
        <w:spacing w:line="360" w:lineRule="exact"/>
        <w:rPr>
          <w:rFonts w:ascii="微软雅黑" w:hAnsi="微软雅黑" w:eastAsia="微软雅黑" w:cs="宋体"/>
          <w:szCs w:val="21"/>
        </w:rPr>
      </w:pPr>
      <w:r>
        <w:rPr>
          <w:rFonts w:hint="eastAsia" w:ascii="微软雅黑" w:hAnsi="微软雅黑" w:eastAsia="微软雅黑" w:cs="宋体"/>
          <w:szCs w:val="21"/>
        </w:rPr>
        <w:t>5</w:t>
      </w:r>
      <w:r>
        <w:rPr>
          <w:rFonts w:ascii="微软雅黑" w:hAnsi="微软雅黑" w:eastAsia="微软雅黑" w:cs="宋体"/>
          <w:szCs w:val="21"/>
        </w:rPr>
        <w:t>.6安装调试过程中损坏和失效的备件，应由乙方免费提供。若要临时使用1年运行备件中的某些备件时，乙方在使用后应尽决免费为甲方补充相应备件。</w:t>
      </w:r>
    </w:p>
    <w:p w14:paraId="6FCA6169">
      <w:pPr>
        <w:spacing w:line="360" w:lineRule="auto"/>
        <w:jc w:val="center"/>
        <w:rPr>
          <w:rFonts w:ascii="微软雅黑" w:hAnsi="微软雅黑" w:eastAsia="微软雅黑" w:cs="宋体"/>
          <w:b/>
          <w:szCs w:val="21"/>
        </w:rPr>
      </w:pPr>
      <w:r>
        <w:rPr>
          <w:rFonts w:hint="eastAsia" w:ascii="微软雅黑" w:hAnsi="微软雅黑" w:eastAsia="微软雅黑" w:cs="宋体"/>
          <w:b/>
          <w:szCs w:val="21"/>
        </w:rPr>
        <w:t>第六节 设备监制、组装试运转及验收</w:t>
      </w:r>
    </w:p>
    <w:p w14:paraId="19BBCCA3">
      <w:pPr>
        <w:spacing w:line="360" w:lineRule="exact"/>
        <w:rPr>
          <w:rFonts w:ascii="微软雅黑" w:hAnsi="微软雅黑" w:eastAsia="微软雅黑" w:cs="宋体"/>
          <w:szCs w:val="21"/>
        </w:rPr>
      </w:pPr>
      <w:r>
        <w:rPr>
          <w:rFonts w:hint="eastAsia" w:ascii="微软雅黑" w:hAnsi="微软雅黑" w:eastAsia="微软雅黑" w:cs="宋体"/>
          <w:szCs w:val="21"/>
        </w:rPr>
        <w:t>6</w:t>
      </w:r>
      <w:r>
        <w:rPr>
          <w:rFonts w:ascii="微软雅黑" w:hAnsi="微软雅黑" w:eastAsia="微软雅黑" w:cs="宋体"/>
          <w:szCs w:val="21"/>
        </w:rPr>
        <w:t>.1乙方在合同生效后在设备制造阶段定期反馈制造进度清况，甲方根据设备制造清况认为有必要可安排人员赴乙方进行监制，或参加质量检测和预组装试车。</w:t>
      </w:r>
    </w:p>
    <w:p w14:paraId="680A80A8">
      <w:pPr>
        <w:spacing w:line="360" w:lineRule="exact"/>
        <w:rPr>
          <w:rFonts w:ascii="微软雅黑" w:hAnsi="微软雅黑" w:eastAsia="微软雅黑" w:cs="宋体"/>
          <w:szCs w:val="21"/>
        </w:rPr>
      </w:pPr>
      <w:r>
        <w:rPr>
          <w:rFonts w:hint="eastAsia" w:ascii="微软雅黑" w:hAnsi="微软雅黑" w:eastAsia="微软雅黑" w:cs="宋体"/>
          <w:szCs w:val="21"/>
        </w:rPr>
        <w:t>6</w:t>
      </w:r>
      <w:r>
        <w:rPr>
          <w:rFonts w:ascii="微软雅黑" w:hAnsi="微软雅黑" w:eastAsia="微软雅黑" w:cs="宋体"/>
          <w:szCs w:val="21"/>
        </w:rPr>
        <w:t>.2严格执行国家、行必重用技术标准和规范。</w:t>
      </w:r>
    </w:p>
    <w:p w14:paraId="4F6A1347">
      <w:pPr>
        <w:spacing w:line="360" w:lineRule="exact"/>
        <w:rPr>
          <w:rFonts w:ascii="微软雅黑" w:hAnsi="微软雅黑" w:eastAsia="微软雅黑" w:cs="宋体"/>
          <w:szCs w:val="21"/>
        </w:rPr>
      </w:pPr>
      <w:r>
        <w:rPr>
          <w:rFonts w:hint="eastAsia" w:ascii="微软雅黑" w:hAnsi="微软雅黑" w:eastAsia="微软雅黑" w:cs="宋体"/>
          <w:szCs w:val="21"/>
        </w:rPr>
        <w:t>6</w:t>
      </w:r>
      <w:r>
        <w:rPr>
          <w:rFonts w:ascii="微软雅黑" w:hAnsi="微软雅黑" w:eastAsia="微软雅黑" w:cs="宋体"/>
          <w:szCs w:val="21"/>
        </w:rPr>
        <w:t>.3设备安装调试完毕由甲方组织相关单位（设计、安装、监理进行整体</w:t>
      </w:r>
      <w:r>
        <w:rPr>
          <w:rFonts w:hint="eastAsia" w:ascii="微软雅黑" w:hAnsi="微软雅黑" w:eastAsia="微软雅黑" w:cs="宋体"/>
          <w:szCs w:val="21"/>
        </w:rPr>
        <w:t>验收）</w:t>
      </w:r>
      <w:r>
        <w:rPr>
          <w:rFonts w:ascii="微软雅黑" w:hAnsi="微软雅黑" w:eastAsia="微软雅黑" w:cs="宋体"/>
          <w:szCs w:val="21"/>
        </w:rPr>
        <w:t>。</w:t>
      </w:r>
    </w:p>
    <w:p w14:paraId="3411952C">
      <w:pPr>
        <w:spacing w:line="360" w:lineRule="exact"/>
        <w:rPr>
          <w:rFonts w:ascii="微软雅黑" w:hAnsi="微软雅黑" w:eastAsia="微软雅黑" w:cs="宋体"/>
          <w:szCs w:val="21"/>
        </w:rPr>
      </w:pPr>
      <w:r>
        <w:rPr>
          <w:rFonts w:hint="eastAsia" w:ascii="微软雅黑" w:hAnsi="微软雅黑" w:eastAsia="微软雅黑" w:cs="宋体"/>
          <w:szCs w:val="21"/>
        </w:rPr>
        <w:t>6</w:t>
      </w:r>
      <w:r>
        <w:rPr>
          <w:rFonts w:ascii="微软雅黑" w:hAnsi="微软雅黑" w:eastAsia="微软雅黑" w:cs="宋体"/>
          <w:szCs w:val="21"/>
        </w:rPr>
        <w:t>.4本技术协议书未提及的技术要求按相应最新国家标准执行。</w:t>
      </w:r>
    </w:p>
    <w:p w14:paraId="6597EEC5">
      <w:pPr>
        <w:spacing w:line="360" w:lineRule="auto"/>
        <w:jc w:val="center"/>
        <w:rPr>
          <w:rFonts w:ascii="微软雅黑" w:hAnsi="微软雅黑" w:eastAsia="微软雅黑" w:cs="宋体"/>
          <w:b/>
          <w:szCs w:val="21"/>
        </w:rPr>
      </w:pPr>
      <w:r>
        <w:rPr>
          <w:rFonts w:hint="eastAsia" w:ascii="微软雅黑" w:hAnsi="微软雅黑" w:eastAsia="微软雅黑" w:cs="宋体"/>
          <w:b/>
          <w:szCs w:val="21"/>
        </w:rPr>
        <w:t>第七节 设备的包装和运输</w:t>
      </w:r>
    </w:p>
    <w:p w14:paraId="55BD9904">
      <w:pPr>
        <w:spacing w:line="360" w:lineRule="exact"/>
        <w:rPr>
          <w:rFonts w:ascii="微软雅黑" w:hAnsi="微软雅黑" w:eastAsia="微软雅黑" w:cs="宋体"/>
          <w:szCs w:val="21"/>
        </w:rPr>
      </w:pPr>
      <w:r>
        <w:rPr>
          <w:rFonts w:hint="eastAsia" w:ascii="微软雅黑" w:hAnsi="微软雅黑" w:eastAsia="微软雅黑" w:cs="宋体"/>
          <w:szCs w:val="21"/>
        </w:rPr>
        <w:t>7</w:t>
      </w:r>
      <w:r>
        <w:rPr>
          <w:rFonts w:ascii="微软雅黑" w:hAnsi="微软雅黑" w:eastAsia="微软雅黑" w:cs="宋体"/>
          <w:szCs w:val="21"/>
        </w:rPr>
        <w:t>.1包装</w:t>
      </w:r>
    </w:p>
    <w:p w14:paraId="0F047839">
      <w:pPr>
        <w:spacing w:line="360" w:lineRule="exact"/>
        <w:rPr>
          <w:rFonts w:ascii="微软雅黑" w:hAnsi="微软雅黑" w:eastAsia="微软雅黑" w:cs="宋体"/>
          <w:szCs w:val="21"/>
        </w:rPr>
      </w:pPr>
      <w:r>
        <w:rPr>
          <w:rFonts w:hint="eastAsia" w:ascii="微软雅黑" w:hAnsi="微软雅黑" w:eastAsia="微软雅黑" w:cs="宋体"/>
          <w:szCs w:val="21"/>
        </w:rPr>
        <w:t>7</w:t>
      </w:r>
      <w:r>
        <w:rPr>
          <w:rFonts w:ascii="微软雅黑" w:hAnsi="微软雅黑" w:eastAsia="微软雅黑" w:cs="宋体"/>
          <w:szCs w:val="21"/>
        </w:rPr>
        <w:t>.1.1设备的包装能满足长途运输、多次搬运及存储的需要。包装要坚固、牢靠、防腐、防潮、防盗。裸露件和捆扎件应有金属标签。</w:t>
      </w:r>
    </w:p>
    <w:p w14:paraId="35BC8295">
      <w:pPr>
        <w:spacing w:line="360" w:lineRule="exact"/>
        <w:rPr>
          <w:rFonts w:ascii="微软雅黑" w:hAnsi="微软雅黑" w:eastAsia="微软雅黑" w:cs="宋体"/>
          <w:szCs w:val="21"/>
        </w:rPr>
      </w:pPr>
      <w:r>
        <w:rPr>
          <w:rFonts w:hint="eastAsia" w:ascii="微软雅黑" w:hAnsi="微软雅黑" w:eastAsia="微软雅黑" w:cs="宋体"/>
          <w:szCs w:val="21"/>
        </w:rPr>
        <w:t>7</w:t>
      </w:r>
      <w:r>
        <w:rPr>
          <w:rFonts w:ascii="微软雅黑" w:hAnsi="微软雅黑" w:eastAsia="微软雅黑" w:cs="宋体"/>
          <w:szCs w:val="21"/>
        </w:rPr>
        <w:t>.1.2零部件箱面上各种标记必须齐全，如箱号、名称、合同号、收货单位、发货单位、收发货站、重量、外形尺寸、吊装位置、防雨、防碎、防倒置标记等。箱内设备用标签做标记，注明设备名称、安装位置、并在设备上带有铭牌。</w:t>
      </w:r>
    </w:p>
    <w:p w14:paraId="469D4AA5">
      <w:pPr>
        <w:spacing w:line="360" w:lineRule="exact"/>
        <w:rPr>
          <w:rFonts w:ascii="微软雅黑" w:hAnsi="微软雅黑" w:eastAsia="微软雅黑" w:cs="宋体"/>
          <w:szCs w:val="21"/>
        </w:rPr>
      </w:pPr>
      <w:r>
        <w:rPr>
          <w:rFonts w:hint="eastAsia" w:ascii="微软雅黑" w:hAnsi="微软雅黑" w:eastAsia="微软雅黑" w:cs="宋体"/>
          <w:szCs w:val="21"/>
        </w:rPr>
        <w:t>7</w:t>
      </w:r>
      <w:r>
        <w:rPr>
          <w:rFonts w:ascii="微软雅黑" w:hAnsi="微软雅黑" w:eastAsia="微软雅黑" w:cs="宋体"/>
          <w:szCs w:val="21"/>
        </w:rPr>
        <w:t>.1.3由于乙方包装不善或标记不清所造成的设备丢失、缺损、发霉、锈蚀、受潮和错发等问题，乙方负责修理、补充或更换。</w:t>
      </w:r>
    </w:p>
    <w:p w14:paraId="717D2C62">
      <w:pPr>
        <w:spacing w:line="360" w:lineRule="exact"/>
        <w:rPr>
          <w:rFonts w:ascii="微软雅黑" w:hAnsi="微软雅黑" w:eastAsia="微软雅黑" w:cs="宋体"/>
          <w:szCs w:val="21"/>
        </w:rPr>
      </w:pPr>
      <w:r>
        <w:rPr>
          <w:rFonts w:hint="eastAsia" w:ascii="微软雅黑" w:hAnsi="微软雅黑" w:eastAsia="微软雅黑" w:cs="宋体"/>
          <w:szCs w:val="21"/>
        </w:rPr>
        <w:t>7</w:t>
      </w:r>
      <w:r>
        <w:rPr>
          <w:rFonts w:ascii="微软雅黑" w:hAnsi="微软雅黑" w:eastAsia="微软雅黑" w:cs="宋体"/>
          <w:szCs w:val="21"/>
        </w:rPr>
        <w:t>.2运输</w:t>
      </w:r>
    </w:p>
    <w:p w14:paraId="6B2429D3">
      <w:pPr>
        <w:spacing w:line="360" w:lineRule="exact"/>
        <w:rPr>
          <w:rFonts w:ascii="微软雅黑" w:hAnsi="微软雅黑" w:eastAsia="微软雅黑" w:cs="宋体"/>
          <w:szCs w:val="21"/>
        </w:rPr>
      </w:pPr>
      <w:r>
        <w:rPr>
          <w:rFonts w:hint="eastAsia" w:ascii="微软雅黑" w:hAnsi="微软雅黑" w:eastAsia="微软雅黑" w:cs="宋体"/>
          <w:szCs w:val="21"/>
        </w:rPr>
        <w:t>7</w:t>
      </w:r>
      <w:r>
        <w:rPr>
          <w:rFonts w:ascii="微软雅黑" w:hAnsi="微软雅黑" w:eastAsia="微软雅黑" w:cs="宋体"/>
          <w:szCs w:val="21"/>
        </w:rPr>
        <w:t>.</w:t>
      </w:r>
      <w:r>
        <w:rPr>
          <w:rFonts w:hint="eastAsia" w:ascii="微软雅黑" w:hAnsi="微软雅黑" w:eastAsia="微软雅黑" w:cs="宋体"/>
          <w:szCs w:val="21"/>
        </w:rPr>
        <w:t>2</w:t>
      </w:r>
      <w:r>
        <w:rPr>
          <w:rFonts w:ascii="微软雅黑" w:hAnsi="微软雅黑" w:eastAsia="微软雅黑" w:cs="宋体"/>
          <w:szCs w:val="21"/>
        </w:rPr>
        <w:t>.1运输手续（包括保险）由乙方办理，途中押运由乙方负责，运输费用由乙方承担（即由乙方送达甲方指定地点）。</w:t>
      </w:r>
    </w:p>
    <w:p w14:paraId="1A110A6F">
      <w:pPr>
        <w:spacing w:line="360" w:lineRule="exact"/>
        <w:rPr>
          <w:rFonts w:ascii="微软雅黑" w:hAnsi="微软雅黑" w:eastAsia="微软雅黑" w:cs="宋体"/>
          <w:szCs w:val="21"/>
        </w:rPr>
      </w:pPr>
      <w:r>
        <w:rPr>
          <w:rFonts w:hint="eastAsia" w:ascii="微软雅黑" w:hAnsi="微软雅黑" w:eastAsia="微软雅黑" w:cs="宋体"/>
          <w:szCs w:val="21"/>
        </w:rPr>
        <w:t>7</w:t>
      </w:r>
      <w:r>
        <w:rPr>
          <w:rFonts w:ascii="微软雅黑" w:hAnsi="微软雅黑" w:eastAsia="微软雅黑" w:cs="宋体"/>
          <w:szCs w:val="21"/>
        </w:rPr>
        <w:t>.</w:t>
      </w:r>
      <w:r>
        <w:rPr>
          <w:rFonts w:hint="eastAsia" w:ascii="微软雅黑" w:hAnsi="微软雅黑" w:eastAsia="微软雅黑" w:cs="宋体"/>
          <w:szCs w:val="21"/>
        </w:rPr>
        <w:t>2</w:t>
      </w:r>
      <w:r>
        <w:rPr>
          <w:rFonts w:ascii="微软雅黑" w:hAnsi="微软雅黑" w:eastAsia="微软雅黑" w:cs="宋体"/>
          <w:szCs w:val="21"/>
        </w:rPr>
        <w:t>.2乙方发货后3天内电告甲方，并将发运提货等有关单据一式三份用快件寄给甲方。甲方接货时双方共同开箱清点，开箱中发现问题由乙方负责处理。</w:t>
      </w:r>
    </w:p>
    <w:p w14:paraId="24F0AD33">
      <w:pPr>
        <w:spacing w:line="360" w:lineRule="exact"/>
        <w:rPr>
          <w:rFonts w:ascii="微软雅黑" w:hAnsi="微软雅黑" w:eastAsia="微软雅黑" w:cs="宋体"/>
          <w:szCs w:val="21"/>
        </w:rPr>
      </w:pPr>
      <w:r>
        <w:rPr>
          <w:rFonts w:hint="eastAsia" w:ascii="微软雅黑" w:hAnsi="微软雅黑" w:eastAsia="微软雅黑" w:cs="宋体"/>
          <w:szCs w:val="21"/>
        </w:rPr>
        <w:t>7</w:t>
      </w:r>
      <w:r>
        <w:rPr>
          <w:rFonts w:ascii="微软雅黑" w:hAnsi="微软雅黑" w:eastAsia="微软雅黑" w:cs="宋体"/>
          <w:szCs w:val="21"/>
        </w:rPr>
        <w:t>.</w:t>
      </w:r>
      <w:r>
        <w:rPr>
          <w:rFonts w:hint="eastAsia" w:ascii="微软雅黑" w:hAnsi="微软雅黑" w:eastAsia="微软雅黑" w:cs="宋体"/>
          <w:szCs w:val="21"/>
        </w:rPr>
        <w:t>3</w:t>
      </w:r>
      <w:r>
        <w:rPr>
          <w:rFonts w:ascii="微软雅黑" w:hAnsi="微软雅黑" w:eastAsia="微软雅黑" w:cs="宋体"/>
          <w:szCs w:val="21"/>
        </w:rPr>
        <w:t>设备到货地点：</w:t>
      </w:r>
    </w:p>
    <w:p w14:paraId="7F5A358C">
      <w:pPr>
        <w:spacing w:line="360" w:lineRule="exact"/>
        <w:rPr>
          <w:rFonts w:ascii="微软雅黑" w:hAnsi="微软雅黑" w:eastAsia="微软雅黑" w:cs="宋体"/>
          <w:szCs w:val="21"/>
        </w:rPr>
      </w:pPr>
      <w:r>
        <w:rPr>
          <w:rFonts w:ascii="微软雅黑" w:hAnsi="微软雅黑" w:eastAsia="微软雅黑" w:cs="宋体"/>
          <w:szCs w:val="21"/>
        </w:rPr>
        <w:t>甘肃省嘉峪关市五一中路7号，酒钢（集团）宏联自控有限责任公司</w:t>
      </w:r>
    </w:p>
    <w:p w14:paraId="318C4BD0">
      <w:pPr>
        <w:spacing w:line="360" w:lineRule="exact"/>
        <w:rPr>
          <w:rFonts w:ascii="微软雅黑" w:hAnsi="微软雅黑" w:eastAsia="微软雅黑" w:cs="宋体"/>
          <w:szCs w:val="21"/>
        </w:rPr>
      </w:pPr>
      <w:r>
        <w:rPr>
          <w:rFonts w:hint="eastAsia" w:ascii="微软雅黑" w:hAnsi="微软雅黑" w:eastAsia="微软雅黑" w:cs="宋体"/>
          <w:szCs w:val="21"/>
        </w:rPr>
        <w:t>7</w:t>
      </w:r>
      <w:r>
        <w:rPr>
          <w:rFonts w:ascii="微软雅黑" w:hAnsi="微软雅黑" w:eastAsia="微软雅黑" w:cs="宋体"/>
          <w:szCs w:val="21"/>
        </w:rPr>
        <w:t>.</w:t>
      </w:r>
      <w:r>
        <w:rPr>
          <w:rFonts w:hint="eastAsia" w:ascii="微软雅黑" w:hAnsi="微软雅黑" w:eastAsia="微软雅黑" w:cs="宋体"/>
          <w:szCs w:val="21"/>
        </w:rPr>
        <w:t>4</w:t>
      </w:r>
      <w:r>
        <w:rPr>
          <w:rFonts w:ascii="微软雅黑" w:hAnsi="微软雅黑" w:eastAsia="微软雅黑" w:cs="宋体"/>
          <w:szCs w:val="21"/>
        </w:rPr>
        <w:t>设备到货时间：</w:t>
      </w:r>
      <w:r>
        <w:rPr>
          <w:rFonts w:hint="eastAsia" w:ascii="微软雅黑" w:hAnsi="微软雅黑" w:eastAsia="微软雅黑" w:cs="宋体"/>
          <w:szCs w:val="21"/>
        </w:rPr>
        <w:t>以采购合同为准。</w:t>
      </w:r>
    </w:p>
    <w:p w14:paraId="10327D98">
      <w:pPr>
        <w:spacing w:line="360" w:lineRule="auto"/>
        <w:jc w:val="center"/>
        <w:rPr>
          <w:rFonts w:ascii="微软雅黑" w:hAnsi="微软雅黑" w:eastAsia="微软雅黑" w:cs="宋体"/>
          <w:b/>
          <w:szCs w:val="21"/>
        </w:rPr>
      </w:pPr>
      <w:r>
        <w:rPr>
          <w:rFonts w:hint="eastAsia" w:ascii="微软雅黑" w:hAnsi="微软雅黑" w:eastAsia="微软雅黑" w:cs="宋体"/>
          <w:b/>
          <w:szCs w:val="21"/>
        </w:rPr>
        <w:t>第八节 设备的功能指标、保证值和考核办法</w:t>
      </w:r>
    </w:p>
    <w:p w14:paraId="65198E19">
      <w:pPr>
        <w:spacing w:line="360" w:lineRule="exact"/>
        <w:rPr>
          <w:rFonts w:ascii="微软雅黑" w:hAnsi="微软雅黑" w:eastAsia="微软雅黑" w:cs="宋体"/>
          <w:szCs w:val="21"/>
        </w:rPr>
      </w:pPr>
      <w:r>
        <w:rPr>
          <w:rFonts w:hint="eastAsia" w:ascii="微软雅黑" w:hAnsi="微软雅黑" w:eastAsia="微软雅黑" w:cs="宋体"/>
          <w:szCs w:val="21"/>
        </w:rPr>
        <w:t>8</w:t>
      </w:r>
      <w:r>
        <w:rPr>
          <w:rFonts w:ascii="微软雅黑" w:hAnsi="微软雅黑" w:eastAsia="微软雅黑" w:cs="宋体"/>
          <w:szCs w:val="21"/>
        </w:rPr>
        <w:t>.1乙方保证开关柜及元件采用优等材料、先进工艺制成，全新并符合合同规定的技术要求、质量要求、规格和性能规定，也能满足安全和长期操作的要求。</w:t>
      </w:r>
    </w:p>
    <w:p w14:paraId="2583BC9B">
      <w:pPr>
        <w:spacing w:line="360" w:lineRule="exact"/>
        <w:rPr>
          <w:rFonts w:ascii="微软雅黑" w:hAnsi="微软雅黑" w:eastAsia="微软雅黑" w:cs="宋体"/>
          <w:szCs w:val="21"/>
        </w:rPr>
      </w:pPr>
      <w:r>
        <w:rPr>
          <w:rFonts w:hint="eastAsia" w:ascii="微软雅黑" w:hAnsi="微软雅黑" w:eastAsia="微软雅黑" w:cs="宋体"/>
          <w:szCs w:val="21"/>
        </w:rPr>
        <w:t>8</w:t>
      </w:r>
      <w:r>
        <w:rPr>
          <w:rFonts w:ascii="微软雅黑" w:hAnsi="微软雅黑" w:eastAsia="微软雅黑" w:cs="宋体"/>
          <w:szCs w:val="21"/>
        </w:rPr>
        <w:t>.2开关柜在乙方工厂制造，但不包括次级供货商部件。乙方将保证开关柜满足国内外行业制造的标准。所有的机械制造和购买部件用国际公制单位设计和安装。</w:t>
      </w:r>
    </w:p>
    <w:p w14:paraId="0A461032">
      <w:pPr>
        <w:spacing w:line="360" w:lineRule="exact"/>
        <w:rPr>
          <w:rFonts w:ascii="微软雅黑" w:hAnsi="微软雅黑" w:eastAsia="微软雅黑" w:cs="宋体"/>
          <w:szCs w:val="21"/>
        </w:rPr>
      </w:pPr>
      <w:r>
        <w:rPr>
          <w:rFonts w:hint="eastAsia" w:ascii="微软雅黑" w:hAnsi="微软雅黑" w:eastAsia="微软雅黑" w:cs="宋体"/>
          <w:szCs w:val="21"/>
        </w:rPr>
        <w:t>8</w:t>
      </w:r>
      <w:r>
        <w:rPr>
          <w:rFonts w:ascii="微软雅黑" w:hAnsi="微软雅黑" w:eastAsia="微软雅黑" w:cs="宋体"/>
          <w:szCs w:val="21"/>
        </w:rPr>
        <w:t>.3乙方提供开关柜的供货范围及设备性能完全符合本协议要求。</w:t>
      </w:r>
    </w:p>
    <w:p w14:paraId="185177F6">
      <w:pPr>
        <w:spacing w:line="360" w:lineRule="exact"/>
        <w:rPr>
          <w:rFonts w:ascii="微软雅黑" w:hAnsi="微软雅黑" w:eastAsia="微软雅黑" w:cs="宋体"/>
          <w:szCs w:val="21"/>
        </w:rPr>
      </w:pPr>
      <w:r>
        <w:rPr>
          <w:rFonts w:hint="eastAsia" w:ascii="微软雅黑" w:hAnsi="微软雅黑" w:eastAsia="微软雅黑" w:cs="宋体"/>
          <w:szCs w:val="21"/>
        </w:rPr>
        <w:t>8</w:t>
      </w:r>
      <w:r>
        <w:rPr>
          <w:rFonts w:ascii="微软雅黑" w:hAnsi="微软雅黑" w:eastAsia="微软雅黑" w:cs="宋体"/>
          <w:szCs w:val="21"/>
        </w:rPr>
        <w:t>.4乙方所制造设备必须满足图纸、技术文件和甲方各种正式文件、资料·</w:t>
      </w:r>
      <w:r>
        <w:rPr>
          <w:rFonts w:hint="eastAsia" w:ascii="微软雅黑" w:hAnsi="微软雅黑" w:eastAsia="微软雅黑" w:cs="宋体"/>
          <w:szCs w:val="21"/>
        </w:rPr>
        <w:t>等的各项要求。</w:t>
      </w:r>
    </w:p>
    <w:p w14:paraId="73C9DEB3">
      <w:pPr>
        <w:spacing w:line="360" w:lineRule="exact"/>
        <w:rPr>
          <w:rFonts w:ascii="微软雅黑" w:hAnsi="微软雅黑" w:eastAsia="微软雅黑" w:cs="宋体"/>
          <w:szCs w:val="21"/>
        </w:rPr>
      </w:pPr>
      <w:r>
        <w:rPr>
          <w:rFonts w:hint="eastAsia" w:ascii="微软雅黑" w:hAnsi="微软雅黑" w:eastAsia="微软雅黑" w:cs="宋体"/>
          <w:szCs w:val="21"/>
        </w:rPr>
        <w:t>8</w:t>
      </w:r>
      <w:r>
        <w:rPr>
          <w:rFonts w:ascii="微软雅黑" w:hAnsi="微软雅黑" w:eastAsia="微软雅黑" w:cs="宋体"/>
          <w:szCs w:val="21"/>
        </w:rPr>
        <w:t>.5设备完整安装到位后，进行空负荷、负荷试车。在功能测试过程中甲方负责组织并确认最终的测试结果，乙方对整个功能测试过程进行技术指导。设备验收后一个月内达到各项经济技术指标。</w:t>
      </w:r>
    </w:p>
    <w:p w14:paraId="28BA7FEC">
      <w:pPr>
        <w:spacing w:line="360" w:lineRule="exact"/>
        <w:rPr>
          <w:rFonts w:ascii="微软雅黑" w:hAnsi="微软雅黑" w:eastAsia="微软雅黑" w:cs="宋体"/>
          <w:szCs w:val="21"/>
        </w:rPr>
      </w:pPr>
      <w:r>
        <w:rPr>
          <w:rFonts w:hint="eastAsia" w:ascii="微软雅黑" w:hAnsi="微软雅黑" w:eastAsia="微软雅黑" w:cs="宋体"/>
          <w:szCs w:val="21"/>
        </w:rPr>
        <w:t>8</w:t>
      </w:r>
      <w:r>
        <w:rPr>
          <w:rFonts w:ascii="微软雅黑" w:hAnsi="微软雅黑" w:eastAsia="微软雅黑" w:cs="宋体"/>
          <w:szCs w:val="21"/>
        </w:rPr>
        <w:t>.6在正常使用条件下，开关柜整体设计寿命30年以上</w:t>
      </w:r>
      <w:r>
        <w:rPr>
          <w:rFonts w:hint="eastAsia" w:ascii="微软雅黑" w:hAnsi="微软雅黑" w:eastAsia="微软雅黑" w:cs="宋体"/>
          <w:szCs w:val="21"/>
        </w:rPr>
        <w:t>，</w:t>
      </w:r>
      <w:r>
        <w:rPr>
          <w:rFonts w:ascii="微软雅黑" w:hAnsi="微软雅黑" w:eastAsia="微软雅黑" w:cs="宋体"/>
          <w:szCs w:val="21"/>
        </w:rPr>
        <w:t>易损件的使用寿命不少于1年。</w:t>
      </w:r>
    </w:p>
    <w:p w14:paraId="41217806">
      <w:pPr>
        <w:spacing w:line="360" w:lineRule="exact"/>
        <w:rPr>
          <w:rFonts w:ascii="微软雅黑" w:hAnsi="微软雅黑" w:eastAsia="微软雅黑" w:cs="宋体"/>
          <w:szCs w:val="21"/>
        </w:rPr>
      </w:pPr>
      <w:r>
        <w:rPr>
          <w:rFonts w:hint="eastAsia" w:ascii="微软雅黑" w:hAnsi="微软雅黑" w:eastAsia="微软雅黑" w:cs="宋体"/>
          <w:szCs w:val="21"/>
        </w:rPr>
        <w:t>8</w:t>
      </w:r>
      <w:r>
        <w:rPr>
          <w:rFonts w:ascii="微软雅黑" w:hAnsi="微软雅黑" w:eastAsia="微软雅黑" w:cs="宋体"/>
          <w:szCs w:val="21"/>
        </w:rPr>
        <w:t>.7故障率：设备连续运行8000小时无较大故障。</w:t>
      </w:r>
    </w:p>
    <w:p w14:paraId="3CF0D799">
      <w:pPr>
        <w:spacing w:line="360" w:lineRule="exact"/>
        <w:rPr>
          <w:rFonts w:ascii="微软雅黑" w:hAnsi="微软雅黑" w:eastAsia="微软雅黑" w:cs="宋体"/>
          <w:szCs w:val="21"/>
        </w:rPr>
      </w:pPr>
      <w:r>
        <w:rPr>
          <w:rFonts w:hint="eastAsia" w:ascii="微软雅黑" w:hAnsi="微软雅黑" w:eastAsia="微软雅黑" w:cs="宋体"/>
          <w:szCs w:val="21"/>
        </w:rPr>
        <w:t>8</w:t>
      </w:r>
      <w:r>
        <w:rPr>
          <w:rFonts w:ascii="微软雅黑" w:hAnsi="微软雅黑" w:eastAsia="微软雅黑" w:cs="宋体"/>
          <w:szCs w:val="21"/>
        </w:rPr>
        <w:t>.8质量保证期内合同产品出现质量问题，供货方应及时派遣技术人员给予无偿服务，买方为其提供工作方便。</w:t>
      </w:r>
    </w:p>
    <w:p w14:paraId="734B370F">
      <w:pPr>
        <w:spacing w:line="360" w:lineRule="exact"/>
        <w:rPr>
          <w:rFonts w:ascii="微软雅黑" w:hAnsi="微软雅黑" w:eastAsia="微软雅黑" w:cs="宋体"/>
          <w:szCs w:val="21"/>
        </w:rPr>
      </w:pPr>
      <w:r>
        <w:rPr>
          <w:rFonts w:hint="eastAsia" w:ascii="微软雅黑" w:hAnsi="微软雅黑" w:eastAsia="微软雅黑" w:cs="宋体"/>
          <w:szCs w:val="21"/>
        </w:rPr>
        <w:t>8</w:t>
      </w:r>
      <w:r>
        <w:rPr>
          <w:rFonts w:ascii="微软雅黑" w:hAnsi="微软雅黑" w:eastAsia="微软雅黑" w:cs="宋体"/>
          <w:szCs w:val="21"/>
        </w:rPr>
        <w:t>.9产品质量的考核：甲方在负荷试车时，甲方将按照技术附件要求对设备进行72小时连续运转，对技术协议中的有关性能指标进行检验。在考核的过程中，如果由于设备质量原因造成停机超过1小时，将导致连续考核重新开始，三天的检验均达到合同要求才能视为此项考核合格。</w:t>
      </w:r>
    </w:p>
    <w:p w14:paraId="304D89A8">
      <w:pPr>
        <w:spacing w:line="360" w:lineRule="exact"/>
        <w:rPr>
          <w:rFonts w:ascii="微软雅黑" w:hAnsi="微软雅黑" w:eastAsia="微软雅黑" w:cs="宋体"/>
          <w:szCs w:val="21"/>
        </w:rPr>
      </w:pPr>
      <w:r>
        <w:rPr>
          <w:rFonts w:hint="eastAsia" w:ascii="微软雅黑" w:hAnsi="微软雅黑" w:eastAsia="微软雅黑" w:cs="宋体"/>
          <w:szCs w:val="21"/>
        </w:rPr>
        <w:t>8</w:t>
      </w:r>
      <w:r>
        <w:rPr>
          <w:rFonts w:ascii="微软雅黑" w:hAnsi="微软雅黑" w:eastAsia="微软雅黑" w:cs="宋体"/>
          <w:szCs w:val="21"/>
        </w:rPr>
        <w:t>.10设备质保期为一年</w:t>
      </w:r>
      <w:r>
        <w:rPr>
          <w:rFonts w:hint="eastAsia" w:ascii="微软雅黑" w:hAnsi="微软雅黑" w:eastAsia="微软雅黑" w:cs="宋体"/>
          <w:szCs w:val="21"/>
        </w:rPr>
        <w:t>（使用方投产日开始计算）</w:t>
      </w:r>
      <w:r>
        <w:rPr>
          <w:rFonts w:ascii="微软雅黑" w:hAnsi="微软雅黑" w:eastAsia="微软雅黑" w:cs="宋体"/>
          <w:szCs w:val="21"/>
        </w:rPr>
        <w:t>。</w:t>
      </w:r>
    </w:p>
    <w:p w14:paraId="42C78B42">
      <w:pPr>
        <w:spacing w:line="360" w:lineRule="auto"/>
        <w:jc w:val="center"/>
        <w:rPr>
          <w:rFonts w:hint="eastAsia" w:ascii="微软雅黑" w:hAnsi="微软雅黑" w:eastAsia="微软雅黑" w:cs="宋体"/>
          <w:b/>
          <w:szCs w:val="21"/>
          <w:lang w:val="en-US" w:eastAsia="zh-CN"/>
        </w:rPr>
      </w:pPr>
      <w:r>
        <w:rPr>
          <w:rFonts w:hint="eastAsia" w:ascii="微软雅黑" w:hAnsi="微软雅黑" w:eastAsia="微软雅黑" w:cs="宋体"/>
          <w:b/>
          <w:szCs w:val="21"/>
          <w:lang w:val="en-US" w:eastAsia="zh-CN"/>
        </w:rPr>
        <w:t>第六节 其它</w:t>
      </w:r>
    </w:p>
    <w:p w14:paraId="082A7D45">
      <w:pPr>
        <w:spacing w:line="360" w:lineRule="exact"/>
        <w:rPr>
          <w:rFonts w:hint="eastAsia" w:ascii="微软雅黑" w:hAnsi="微软雅黑" w:eastAsia="微软雅黑" w:cs="宋体"/>
          <w:szCs w:val="21"/>
          <w:lang w:val="en-US" w:eastAsia="zh-CN"/>
        </w:rPr>
      </w:pPr>
      <w:r>
        <w:rPr>
          <w:rFonts w:hint="eastAsia" w:ascii="微软雅黑" w:hAnsi="微软雅黑" w:eastAsia="微软雅黑" w:cs="宋体"/>
          <w:szCs w:val="21"/>
          <w:lang w:val="en-US" w:eastAsia="zh-CN"/>
        </w:rPr>
        <w:t>6.1.本技术规格书一式四份，甲方三份，乙方一份。</w:t>
      </w:r>
    </w:p>
    <w:p w14:paraId="2AA7B4C3">
      <w:pPr>
        <w:keepNext w:val="0"/>
        <w:keepLines w:val="0"/>
        <w:pageBreakBefore w:val="0"/>
        <w:widowControl w:val="0"/>
        <w:kinsoku/>
        <w:wordWrap/>
        <w:overflowPunct/>
        <w:topLinePunct w:val="0"/>
        <w:autoSpaceDE/>
        <w:autoSpaceDN/>
        <w:bidi w:val="0"/>
        <w:adjustRightInd/>
        <w:spacing w:line="240" w:lineRule="auto"/>
        <w:textAlignment w:val="auto"/>
        <w:rPr>
          <w:rFonts w:hint="eastAsia" w:asciiTheme="majorEastAsia" w:hAnsiTheme="majorEastAsia" w:eastAsiaTheme="majorEastAsia" w:cstheme="majorEastAsia"/>
          <w:sz w:val="30"/>
          <w:szCs w:val="30"/>
          <w:u w:val="single"/>
          <w:lang w:val="en-US" w:eastAsia="zh-CN"/>
        </w:rPr>
      </w:pPr>
      <w:r>
        <w:rPr>
          <w:rFonts w:hint="eastAsia" w:ascii="微软雅黑" w:hAnsi="微软雅黑" w:eastAsia="微软雅黑" w:cs="宋体"/>
          <w:szCs w:val="21"/>
          <w:lang w:val="en-US" w:eastAsia="zh-CN"/>
        </w:rPr>
        <w:t>6.2.本规格书内容经由甲乙双方于</w:t>
      </w:r>
      <w:r>
        <w:rPr>
          <w:rFonts w:hint="eastAsia" w:asciiTheme="majorEastAsia" w:hAnsiTheme="majorEastAsia" w:eastAsiaTheme="majorEastAsia" w:cstheme="majorEastAsia"/>
          <w:sz w:val="30"/>
          <w:szCs w:val="30"/>
          <w:u w:val="single"/>
          <w:lang w:val="en-US" w:eastAsia="zh-CN"/>
        </w:rPr>
        <w:t xml:space="preserve">      </w:t>
      </w:r>
      <w:r>
        <w:rPr>
          <w:rFonts w:hint="eastAsia" w:ascii="微软雅黑" w:hAnsi="微软雅黑" w:eastAsia="微软雅黑" w:cs="宋体"/>
          <w:szCs w:val="21"/>
          <w:lang w:val="en-US" w:eastAsia="zh-CN"/>
        </w:rPr>
        <w:t>年</w:t>
      </w:r>
      <w:r>
        <w:rPr>
          <w:rFonts w:hint="eastAsia" w:asciiTheme="majorEastAsia" w:hAnsiTheme="majorEastAsia" w:eastAsiaTheme="majorEastAsia" w:cstheme="majorEastAsia"/>
          <w:sz w:val="30"/>
          <w:szCs w:val="30"/>
          <w:u w:val="single"/>
          <w:lang w:val="en-US" w:eastAsia="zh-CN"/>
        </w:rPr>
        <w:t xml:space="preserve">      </w:t>
      </w:r>
      <w:r>
        <w:rPr>
          <w:rFonts w:hint="eastAsia" w:ascii="微软雅黑" w:hAnsi="微软雅黑" w:eastAsia="微软雅黑" w:cs="宋体"/>
          <w:szCs w:val="21"/>
          <w:lang w:val="en-US" w:eastAsia="zh-CN"/>
        </w:rPr>
        <w:t>月</w:t>
      </w:r>
      <w:r>
        <w:rPr>
          <w:rFonts w:hint="eastAsia" w:asciiTheme="majorEastAsia" w:hAnsiTheme="majorEastAsia" w:eastAsiaTheme="majorEastAsia" w:cstheme="majorEastAsia"/>
          <w:sz w:val="30"/>
          <w:szCs w:val="30"/>
          <w:u w:val="single"/>
          <w:lang w:val="en-US" w:eastAsia="zh-CN"/>
        </w:rPr>
        <w:t xml:space="preserve">      </w:t>
      </w:r>
      <w:r>
        <w:rPr>
          <w:rFonts w:hint="eastAsia" w:ascii="微软雅黑" w:hAnsi="微软雅黑" w:eastAsia="微软雅黑" w:cs="宋体"/>
          <w:szCs w:val="21"/>
          <w:lang w:val="en-US" w:eastAsia="zh-CN"/>
        </w:rPr>
        <w:t xml:space="preserve">日 </w:t>
      </w:r>
      <w:r>
        <w:rPr>
          <w:rFonts w:hint="eastAsia" w:asciiTheme="majorEastAsia" w:hAnsiTheme="majorEastAsia" w:eastAsiaTheme="majorEastAsia" w:cstheme="majorEastAsia"/>
          <w:sz w:val="30"/>
          <w:szCs w:val="30"/>
          <w:u w:val="single"/>
          <w:lang w:val="en-US" w:eastAsia="zh-CN"/>
        </w:rPr>
        <w:t xml:space="preserve">                       </w:t>
      </w:r>
    </w:p>
    <w:p w14:paraId="0F8FC728">
      <w:pPr>
        <w:keepNext w:val="0"/>
        <w:keepLines w:val="0"/>
        <w:pageBreakBefore w:val="0"/>
        <w:widowControl w:val="0"/>
        <w:kinsoku/>
        <w:wordWrap/>
        <w:overflowPunct/>
        <w:topLinePunct w:val="0"/>
        <w:autoSpaceDE/>
        <w:autoSpaceDN/>
        <w:bidi w:val="0"/>
        <w:adjustRightInd/>
        <w:spacing w:line="240" w:lineRule="auto"/>
        <w:textAlignment w:val="auto"/>
        <w:rPr>
          <w:rFonts w:hint="default" w:asciiTheme="majorEastAsia" w:hAnsiTheme="majorEastAsia" w:eastAsiaTheme="majorEastAsia" w:cstheme="majorEastAsia"/>
          <w:sz w:val="30"/>
          <w:szCs w:val="30"/>
          <w:lang w:val="en-US" w:eastAsia="zh-CN"/>
        </w:rPr>
      </w:pPr>
      <w:r>
        <w:rPr>
          <w:rFonts w:hint="eastAsia" w:asciiTheme="majorEastAsia" w:hAnsiTheme="majorEastAsia" w:eastAsiaTheme="majorEastAsia" w:cstheme="majorEastAsia"/>
          <w:sz w:val="30"/>
          <w:szCs w:val="30"/>
          <w:u w:val="single"/>
          <w:lang w:val="en-US" w:eastAsia="zh-CN"/>
        </w:rPr>
        <w:t xml:space="preserve">      </w:t>
      </w:r>
      <w:r>
        <w:rPr>
          <w:rFonts w:hint="eastAsia" w:ascii="微软雅黑" w:hAnsi="微软雅黑" w:eastAsia="微软雅黑" w:cs="宋体"/>
          <w:szCs w:val="21"/>
          <w:lang w:val="en-US" w:eastAsia="zh-CN"/>
        </w:rPr>
        <w:t>时至</w:t>
      </w:r>
      <w:r>
        <w:rPr>
          <w:rFonts w:hint="eastAsia" w:asciiTheme="majorEastAsia" w:hAnsiTheme="majorEastAsia" w:eastAsiaTheme="majorEastAsia" w:cstheme="majorEastAsia"/>
          <w:sz w:val="30"/>
          <w:szCs w:val="30"/>
          <w:u w:val="single"/>
          <w:lang w:val="en-US" w:eastAsia="zh-CN"/>
        </w:rPr>
        <w:t xml:space="preserve">      </w:t>
      </w:r>
      <w:r>
        <w:rPr>
          <w:rFonts w:hint="eastAsia" w:ascii="微软雅黑" w:hAnsi="微软雅黑" w:eastAsia="微软雅黑" w:cs="宋体"/>
          <w:szCs w:val="21"/>
          <w:lang w:val="en-US" w:eastAsia="zh-CN"/>
        </w:rPr>
        <w:t>时通过</w:t>
      </w:r>
      <w:r>
        <w:rPr>
          <w:rFonts w:hint="eastAsia" w:asciiTheme="majorEastAsia" w:hAnsiTheme="majorEastAsia" w:eastAsiaTheme="majorEastAsia" w:cstheme="majorEastAsia"/>
          <w:sz w:val="30"/>
          <w:szCs w:val="30"/>
          <w:u w:val="single"/>
          <w:lang w:val="en-US" w:eastAsia="zh-CN"/>
        </w:rPr>
        <w:t xml:space="preserve"> 电话 </w:t>
      </w:r>
      <w:r>
        <w:rPr>
          <w:rFonts w:hint="eastAsia" w:ascii="微软雅黑" w:hAnsi="微软雅黑" w:eastAsia="微软雅黑" w:cs="宋体"/>
          <w:szCs w:val="21"/>
          <w:lang w:val="en-US" w:eastAsia="zh-CN"/>
        </w:rPr>
        <w:t>商定。</w:t>
      </w:r>
    </w:p>
    <w:p w14:paraId="4523F6C1">
      <w:pPr>
        <w:keepNext w:val="0"/>
        <w:keepLines w:val="0"/>
        <w:pageBreakBefore w:val="0"/>
        <w:widowControl w:val="0"/>
        <w:kinsoku/>
        <w:wordWrap/>
        <w:overflowPunct/>
        <w:topLinePunct w:val="0"/>
        <w:autoSpaceDE/>
        <w:autoSpaceDN/>
        <w:bidi w:val="0"/>
        <w:adjustRightInd/>
        <w:spacing w:line="240" w:lineRule="auto"/>
        <w:textAlignment w:val="auto"/>
        <w:rPr>
          <w:rFonts w:hint="eastAsia" w:asciiTheme="majorEastAsia" w:hAnsiTheme="majorEastAsia" w:eastAsiaTheme="majorEastAsia" w:cstheme="majorEastAsia"/>
          <w:sz w:val="30"/>
          <w:szCs w:val="30"/>
          <w:lang w:val="en-US" w:eastAsia="zh-CN"/>
        </w:rPr>
      </w:pPr>
      <w:r>
        <w:rPr>
          <w:rFonts w:hint="eastAsia" w:ascii="微软雅黑" w:hAnsi="微软雅黑" w:eastAsia="微软雅黑" w:cs="宋体"/>
          <w:szCs w:val="21"/>
          <w:lang w:val="en-US" w:eastAsia="zh-CN"/>
        </w:rPr>
        <w:t>6.3.甲乙双方应当就签订本规格书的相关事宜保密，不得将签订主体、时间、内容等信息透露给其他第三人。</w:t>
      </w:r>
    </w:p>
    <w:p w14:paraId="68850F26">
      <w:pPr>
        <w:keepNext w:val="0"/>
        <w:keepLines w:val="0"/>
        <w:pageBreakBefore w:val="0"/>
        <w:widowControl w:val="0"/>
        <w:kinsoku/>
        <w:wordWrap/>
        <w:overflowPunct/>
        <w:topLinePunct w:val="0"/>
        <w:autoSpaceDE/>
        <w:autoSpaceDN/>
        <w:bidi w:val="0"/>
        <w:adjustRightInd/>
        <w:spacing w:line="240" w:lineRule="auto"/>
        <w:textAlignment w:val="auto"/>
        <w:rPr>
          <w:rFonts w:hint="eastAsia" w:ascii="微软雅黑" w:hAnsi="微软雅黑" w:eastAsia="微软雅黑" w:cs="宋体"/>
          <w:szCs w:val="21"/>
          <w:lang w:val="en-US" w:eastAsia="zh-CN"/>
        </w:rPr>
      </w:pPr>
      <w:r>
        <w:rPr>
          <w:rFonts w:hint="eastAsia" w:ascii="微软雅黑" w:hAnsi="微软雅黑" w:eastAsia="微软雅黑" w:cs="宋体"/>
          <w:szCs w:val="21"/>
          <w:lang w:val="en-US" w:eastAsia="zh-CN"/>
        </w:rPr>
        <w:t>6.4.若</w:t>
      </w:r>
      <w:r>
        <w:rPr>
          <w:rFonts w:hint="eastAsia" w:asciiTheme="majorEastAsia" w:hAnsiTheme="majorEastAsia" w:eastAsiaTheme="majorEastAsia" w:cstheme="majorEastAsia"/>
          <w:sz w:val="30"/>
          <w:szCs w:val="30"/>
          <w:u w:val="single"/>
          <w:lang w:val="en-US" w:eastAsia="zh-CN"/>
        </w:rPr>
        <w:t xml:space="preserve">                        </w:t>
      </w:r>
      <w:r>
        <w:rPr>
          <w:rFonts w:hint="eastAsia" w:ascii="微软雅黑" w:hAnsi="微软雅黑" w:eastAsia="微软雅黑" w:cs="宋体"/>
          <w:szCs w:val="21"/>
          <w:lang w:val="en-US" w:eastAsia="zh-CN"/>
        </w:rPr>
        <w:t>单位不中标，本技术规格书自动失效，双方互不承担任何责任。</w:t>
      </w:r>
    </w:p>
    <w:p w14:paraId="54B93556">
      <w:pPr>
        <w:pStyle w:val="5"/>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p>
    <w:p w14:paraId="7D08B7A0">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p>
    <w:p w14:paraId="4431CBBF">
      <w:pPr>
        <w:pStyle w:val="5"/>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p>
    <w:p w14:paraId="7F89380A">
      <w:pPr>
        <w:keepNext w:val="0"/>
        <w:keepLines w:val="0"/>
        <w:pageBreakBefore w:val="0"/>
        <w:widowControl w:val="0"/>
        <w:kinsoku/>
        <w:wordWrap/>
        <w:overflowPunct/>
        <w:topLinePunct w:val="0"/>
        <w:autoSpaceDE/>
        <w:autoSpaceDN/>
        <w:bidi w:val="0"/>
        <w:adjustRightInd/>
        <w:spacing w:line="240" w:lineRule="auto"/>
        <w:ind w:firstLine="600" w:firstLineChars="200"/>
        <w:textAlignment w:val="auto"/>
        <w:rPr>
          <w:rFonts w:hint="eastAsia" w:asciiTheme="majorEastAsia" w:hAnsiTheme="majorEastAsia" w:eastAsiaTheme="majorEastAsia" w:cstheme="majorEastAsia"/>
          <w:sz w:val="30"/>
          <w:szCs w:val="30"/>
        </w:rPr>
      </w:pPr>
    </w:p>
    <w:p w14:paraId="7273E1D6">
      <w:pPr>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hint="eastAsia" w:ascii="微软雅黑" w:hAnsi="微软雅黑" w:eastAsia="微软雅黑" w:cs="宋体"/>
          <w:szCs w:val="21"/>
          <w:lang w:val="en-US" w:eastAsia="zh-CN"/>
        </w:rPr>
      </w:pPr>
      <w:r>
        <w:rPr>
          <w:rFonts w:hint="eastAsia" w:ascii="微软雅黑" w:hAnsi="微软雅黑" w:eastAsia="微软雅黑" w:cs="宋体"/>
          <w:szCs w:val="21"/>
          <w:lang w:val="en-US" w:eastAsia="zh-CN"/>
        </w:rPr>
        <w:t xml:space="preserve">甲方：酒钢（集团）宏联自控有限责任公司              乙方： </w:t>
      </w:r>
    </w:p>
    <w:p w14:paraId="047787C4">
      <w:pPr>
        <w:keepNext w:val="0"/>
        <w:keepLines w:val="0"/>
        <w:pageBreakBefore w:val="0"/>
        <w:widowControl w:val="0"/>
        <w:kinsoku/>
        <w:wordWrap/>
        <w:overflowPunct/>
        <w:topLinePunct w:val="0"/>
        <w:autoSpaceDE/>
        <w:autoSpaceDN/>
        <w:bidi w:val="0"/>
        <w:adjustRightInd/>
        <w:spacing w:line="240" w:lineRule="auto"/>
        <w:textAlignment w:val="auto"/>
        <w:rPr>
          <w:rFonts w:hint="eastAsia" w:ascii="微软雅黑" w:hAnsi="微软雅黑" w:eastAsia="微软雅黑" w:cs="宋体"/>
          <w:szCs w:val="21"/>
          <w:lang w:val="en-US" w:eastAsia="zh-CN"/>
        </w:rPr>
      </w:pPr>
      <w:r>
        <w:rPr>
          <w:rFonts w:hint="eastAsia" w:ascii="微软雅黑" w:hAnsi="微软雅黑" w:eastAsia="微软雅黑" w:cs="宋体"/>
          <w:szCs w:val="21"/>
          <w:lang w:val="en-US" w:eastAsia="zh-CN"/>
        </w:rPr>
        <w:tab/>
      </w:r>
      <w:r>
        <w:rPr>
          <w:rFonts w:hint="eastAsia" w:ascii="微软雅黑" w:hAnsi="微软雅黑" w:eastAsia="微软雅黑" w:cs="宋体"/>
          <w:szCs w:val="21"/>
          <w:lang w:val="en-US" w:eastAsia="zh-CN"/>
        </w:rPr>
        <w:t xml:space="preserve">          </w:t>
      </w:r>
    </w:p>
    <w:p w14:paraId="299F7D28">
      <w:pPr>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hint="eastAsia" w:ascii="微软雅黑" w:hAnsi="微软雅黑" w:eastAsia="微软雅黑" w:cs="宋体"/>
          <w:szCs w:val="21"/>
          <w:lang w:val="en-US" w:eastAsia="zh-CN"/>
        </w:rPr>
      </w:pPr>
      <w:r>
        <w:rPr>
          <w:rFonts w:hint="eastAsia" w:ascii="微软雅黑" w:hAnsi="微软雅黑" w:eastAsia="微软雅黑" w:cs="宋体"/>
          <w:szCs w:val="21"/>
          <w:lang w:val="en-US" w:eastAsia="zh-CN"/>
        </w:rPr>
        <w:t>甲方代表：</w:t>
      </w:r>
      <w:r>
        <w:rPr>
          <w:rFonts w:hint="eastAsia" w:asciiTheme="majorEastAsia" w:hAnsiTheme="majorEastAsia" w:eastAsiaTheme="majorEastAsia" w:cstheme="majorEastAsia"/>
          <w:b/>
          <w:sz w:val="30"/>
          <w:szCs w:val="30"/>
        </w:rPr>
        <w:tab/>
      </w:r>
      <w:r>
        <w:rPr>
          <w:rFonts w:hint="eastAsia" w:asciiTheme="majorEastAsia" w:hAnsiTheme="majorEastAsia" w:eastAsiaTheme="majorEastAsia" w:cstheme="majorEastAsia"/>
          <w:b/>
          <w:sz w:val="30"/>
          <w:szCs w:val="30"/>
        </w:rPr>
        <w:t xml:space="preserve">                  </w:t>
      </w:r>
      <w:r>
        <w:rPr>
          <w:rFonts w:hint="eastAsia" w:asciiTheme="majorEastAsia" w:hAnsiTheme="majorEastAsia" w:eastAsiaTheme="majorEastAsia" w:cstheme="majorEastAsia"/>
          <w:b/>
          <w:sz w:val="30"/>
          <w:szCs w:val="30"/>
          <w:lang w:val="en-US" w:eastAsia="zh-CN"/>
        </w:rPr>
        <w:t xml:space="preserve">          </w:t>
      </w:r>
      <w:r>
        <w:rPr>
          <w:rFonts w:hint="eastAsia" w:ascii="微软雅黑" w:hAnsi="微软雅黑" w:eastAsia="微软雅黑" w:cs="宋体"/>
          <w:szCs w:val="21"/>
          <w:lang w:val="en-US" w:eastAsia="zh-CN"/>
        </w:rPr>
        <w:t>乙方代表：</w:t>
      </w:r>
    </w:p>
    <w:p w14:paraId="3100FC3D">
      <w:pPr>
        <w:keepNext w:val="0"/>
        <w:keepLines w:val="0"/>
        <w:pageBreakBefore w:val="0"/>
        <w:widowControl w:val="0"/>
        <w:kinsoku/>
        <w:wordWrap/>
        <w:overflowPunct/>
        <w:topLinePunct w:val="0"/>
        <w:autoSpaceDE/>
        <w:autoSpaceDN/>
        <w:bidi w:val="0"/>
        <w:adjustRightInd/>
        <w:spacing w:line="240" w:lineRule="auto"/>
        <w:ind w:firstLine="602" w:firstLineChars="200"/>
        <w:textAlignment w:val="auto"/>
        <w:rPr>
          <w:rFonts w:hint="eastAsia" w:asciiTheme="majorEastAsia" w:hAnsiTheme="majorEastAsia" w:eastAsiaTheme="majorEastAsia" w:cstheme="majorEastAsia"/>
          <w:b/>
          <w:sz w:val="30"/>
          <w:szCs w:val="30"/>
        </w:rPr>
      </w:pPr>
      <w:r>
        <w:rPr>
          <w:rFonts w:hint="eastAsia" w:asciiTheme="majorEastAsia" w:hAnsiTheme="majorEastAsia" w:eastAsiaTheme="majorEastAsia" w:cstheme="majorEastAsia"/>
          <w:b/>
          <w:sz w:val="30"/>
          <w:szCs w:val="30"/>
        </w:rPr>
        <w:t xml:space="preserve">  </w:t>
      </w:r>
      <w:r>
        <w:rPr>
          <w:rFonts w:hint="eastAsia" w:asciiTheme="majorEastAsia" w:hAnsiTheme="majorEastAsia" w:eastAsiaTheme="majorEastAsia" w:cstheme="majorEastAsia"/>
          <w:sz w:val="30"/>
          <w:szCs w:val="30"/>
        </w:rPr>
        <w:t xml:space="preserve"> </w:t>
      </w:r>
      <w:r>
        <w:rPr>
          <w:rFonts w:hint="eastAsia" w:asciiTheme="majorEastAsia" w:hAnsiTheme="majorEastAsia" w:eastAsiaTheme="majorEastAsia" w:cstheme="majorEastAsia"/>
          <w:b/>
          <w:sz w:val="30"/>
          <w:szCs w:val="30"/>
        </w:rPr>
        <w:t xml:space="preserve">               </w:t>
      </w:r>
    </w:p>
    <w:p w14:paraId="4CCF16FD">
      <w:pPr>
        <w:keepNext w:val="0"/>
        <w:keepLines w:val="0"/>
        <w:pageBreakBefore w:val="0"/>
        <w:widowControl w:val="0"/>
        <w:kinsoku/>
        <w:wordWrap/>
        <w:overflowPunct/>
        <w:topLinePunct w:val="0"/>
        <w:autoSpaceDE/>
        <w:autoSpaceDN/>
        <w:bidi w:val="0"/>
        <w:adjustRightInd/>
        <w:spacing w:line="240" w:lineRule="auto"/>
        <w:ind w:firstLine="420" w:firstLineChars="200"/>
        <w:textAlignment w:val="auto"/>
        <w:rPr>
          <w:rFonts w:ascii="微软雅黑" w:hAnsi="微软雅黑" w:eastAsia="微软雅黑"/>
          <w:b/>
          <w:szCs w:val="21"/>
        </w:rPr>
      </w:pPr>
      <w:r>
        <w:rPr>
          <w:rFonts w:hint="eastAsia" w:ascii="微软雅黑" w:hAnsi="微软雅黑" w:eastAsia="微软雅黑" w:cs="宋体"/>
          <w:szCs w:val="21"/>
          <w:lang w:val="en-US" w:eastAsia="zh-CN"/>
        </w:rPr>
        <w:t>日    期：</w:t>
      </w:r>
      <w:r>
        <w:rPr>
          <w:rFonts w:hint="eastAsia" w:asciiTheme="majorEastAsia" w:hAnsiTheme="majorEastAsia" w:eastAsiaTheme="majorEastAsia" w:cstheme="majorEastAsia"/>
          <w:b/>
          <w:sz w:val="30"/>
          <w:szCs w:val="30"/>
        </w:rPr>
        <w:t xml:space="preserve">  </w:t>
      </w:r>
      <w:r>
        <w:rPr>
          <w:rFonts w:hint="eastAsia" w:asciiTheme="majorEastAsia" w:hAnsiTheme="majorEastAsia" w:eastAsiaTheme="majorEastAsia" w:cstheme="majorEastAsia"/>
          <w:sz w:val="30"/>
          <w:szCs w:val="30"/>
        </w:rPr>
        <w:t xml:space="preserve"> </w:t>
      </w:r>
      <w:r>
        <w:rPr>
          <w:rFonts w:hint="eastAsia" w:asciiTheme="majorEastAsia" w:hAnsiTheme="majorEastAsia" w:eastAsiaTheme="majorEastAsia" w:cstheme="majorEastAsia"/>
          <w:b/>
          <w:sz w:val="30"/>
          <w:szCs w:val="30"/>
        </w:rPr>
        <w:t xml:space="preserve">                  </w:t>
      </w:r>
      <w:r>
        <w:rPr>
          <w:rFonts w:hint="eastAsia" w:asciiTheme="majorEastAsia" w:hAnsiTheme="majorEastAsia" w:eastAsiaTheme="majorEastAsia" w:cstheme="majorEastAsia"/>
          <w:b/>
          <w:sz w:val="30"/>
          <w:szCs w:val="30"/>
          <w:lang w:val="en-US" w:eastAsia="zh-CN"/>
        </w:rPr>
        <w:t xml:space="preserve">        </w:t>
      </w:r>
      <w:r>
        <w:rPr>
          <w:rFonts w:hint="eastAsia" w:ascii="微软雅黑" w:hAnsi="微软雅黑" w:eastAsia="微软雅黑" w:cs="宋体"/>
          <w:szCs w:val="21"/>
          <w:lang w:val="en-US" w:eastAsia="zh-CN"/>
        </w:rPr>
        <w:t>日    期：</w:t>
      </w:r>
      <w:bookmarkStart w:id="0" w:name="_GoBack"/>
      <w:bookmarkEnd w:id="0"/>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10022FF" w:usb1="C000E47F" w:usb2="00000029" w:usb3="00000000" w:csb0="200001DF" w:csb1="20000000"/>
  </w:font>
  <w:font w:name="等线">
    <w:altName w:val="微软雅黑"/>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wZWU3N2UzYjIyZmU1NDY3MGJmNjdjZTc1ODY1MzcifQ=="/>
  </w:docVars>
  <w:rsids>
    <w:rsidRoot w:val="004540C6"/>
    <w:rsid w:val="00004505"/>
    <w:rsid w:val="00012516"/>
    <w:rsid w:val="00013112"/>
    <w:rsid w:val="0001383C"/>
    <w:rsid w:val="00016068"/>
    <w:rsid w:val="00021C3C"/>
    <w:rsid w:val="00022139"/>
    <w:rsid w:val="000272CA"/>
    <w:rsid w:val="00030F47"/>
    <w:rsid w:val="00033FAC"/>
    <w:rsid w:val="00041E8A"/>
    <w:rsid w:val="000425DB"/>
    <w:rsid w:val="00043788"/>
    <w:rsid w:val="000510B2"/>
    <w:rsid w:val="00052547"/>
    <w:rsid w:val="00061174"/>
    <w:rsid w:val="00063B8F"/>
    <w:rsid w:val="000853F2"/>
    <w:rsid w:val="00086FEA"/>
    <w:rsid w:val="00091C2C"/>
    <w:rsid w:val="00097DFA"/>
    <w:rsid w:val="000A47D3"/>
    <w:rsid w:val="000A5EF7"/>
    <w:rsid w:val="000B66E0"/>
    <w:rsid w:val="000C5B50"/>
    <w:rsid w:val="000D03FD"/>
    <w:rsid w:val="000D7F0A"/>
    <w:rsid w:val="000E016C"/>
    <w:rsid w:val="000E3F4B"/>
    <w:rsid w:val="000F4ADC"/>
    <w:rsid w:val="000F6121"/>
    <w:rsid w:val="001020B2"/>
    <w:rsid w:val="001039C0"/>
    <w:rsid w:val="00104066"/>
    <w:rsid w:val="001179F5"/>
    <w:rsid w:val="0012449B"/>
    <w:rsid w:val="00133CEE"/>
    <w:rsid w:val="0013505B"/>
    <w:rsid w:val="00157C62"/>
    <w:rsid w:val="001639FC"/>
    <w:rsid w:val="00167716"/>
    <w:rsid w:val="00170693"/>
    <w:rsid w:val="001712C7"/>
    <w:rsid w:val="00171FB5"/>
    <w:rsid w:val="00171FBD"/>
    <w:rsid w:val="00173255"/>
    <w:rsid w:val="00173879"/>
    <w:rsid w:val="00176269"/>
    <w:rsid w:val="00177AA5"/>
    <w:rsid w:val="00182981"/>
    <w:rsid w:val="001C11B2"/>
    <w:rsid w:val="001C45D2"/>
    <w:rsid w:val="001E7E33"/>
    <w:rsid w:val="001F3735"/>
    <w:rsid w:val="001F40B9"/>
    <w:rsid w:val="002073A2"/>
    <w:rsid w:val="002122B2"/>
    <w:rsid w:val="002145E0"/>
    <w:rsid w:val="00214BE9"/>
    <w:rsid w:val="002153E5"/>
    <w:rsid w:val="0021784D"/>
    <w:rsid w:val="002259DE"/>
    <w:rsid w:val="00233B28"/>
    <w:rsid w:val="002459BF"/>
    <w:rsid w:val="00252730"/>
    <w:rsid w:val="00253537"/>
    <w:rsid w:val="00256E85"/>
    <w:rsid w:val="002666A2"/>
    <w:rsid w:val="00273E9C"/>
    <w:rsid w:val="0028115B"/>
    <w:rsid w:val="00287098"/>
    <w:rsid w:val="002A0CB2"/>
    <w:rsid w:val="002B2D58"/>
    <w:rsid w:val="002B356A"/>
    <w:rsid w:val="002B3B5B"/>
    <w:rsid w:val="002B53BB"/>
    <w:rsid w:val="002C683D"/>
    <w:rsid w:val="002D64A1"/>
    <w:rsid w:val="002E12FF"/>
    <w:rsid w:val="002E4F8F"/>
    <w:rsid w:val="003174FF"/>
    <w:rsid w:val="00317881"/>
    <w:rsid w:val="00323742"/>
    <w:rsid w:val="00337A9C"/>
    <w:rsid w:val="00345F5A"/>
    <w:rsid w:val="00346488"/>
    <w:rsid w:val="00353F26"/>
    <w:rsid w:val="0035499B"/>
    <w:rsid w:val="00360EA5"/>
    <w:rsid w:val="0038524A"/>
    <w:rsid w:val="00387568"/>
    <w:rsid w:val="003A2B88"/>
    <w:rsid w:val="003A42E3"/>
    <w:rsid w:val="003B0AFE"/>
    <w:rsid w:val="003B49CB"/>
    <w:rsid w:val="003B595E"/>
    <w:rsid w:val="003C098F"/>
    <w:rsid w:val="003C72EA"/>
    <w:rsid w:val="003E5A1E"/>
    <w:rsid w:val="003E5D7E"/>
    <w:rsid w:val="00402F6D"/>
    <w:rsid w:val="00410504"/>
    <w:rsid w:val="00416670"/>
    <w:rsid w:val="004176D0"/>
    <w:rsid w:val="00431A23"/>
    <w:rsid w:val="00445087"/>
    <w:rsid w:val="004540C6"/>
    <w:rsid w:val="00455072"/>
    <w:rsid w:val="004614A9"/>
    <w:rsid w:val="004701B0"/>
    <w:rsid w:val="004958FF"/>
    <w:rsid w:val="004A4BFC"/>
    <w:rsid w:val="004B0D60"/>
    <w:rsid w:val="004B1A6F"/>
    <w:rsid w:val="004B722E"/>
    <w:rsid w:val="004C64F0"/>
    <w:rsid w:val="004C6F0A"/>
    <w:rsid w:val="004D07E5"/>
    <w:rsid w:val="004D09D3"/>
    <w:rsid w:val="004D3D5D"/>
    <w:rsid w:val="004F135B"/>
    <w:rsid w:val="00500AF8"/>
    <w:rsid w:val="00512ADC"/>
    <w:rsid w:val="00535527"/>
    <w:rsid w:val="00543CB6"/>
    <w:rsid w:val="00551551"/>
    <w:rsid w:val="005774CF"/>
    <w:rsid w:val="00582DB9"/>
    <w:rsid w:val="00590935"/>
    <w:rsid w:val="00594EA0"/>
    <w:rsid w:val="00595F88"/>
    <w:rsid w:val="005A1FD5"/>
    <w:rsid w:val="005A3A4F"/>
    <w:rsid w:val="005A70A3"/>
    <w:rsid w:val="005B3326"/>
    <w:rsid w:val="005B460B"/>
    <w:rsid w:val="005E5DFE"/>
    <w:rsid w:val="005F382B"/>
    <w:rsid w:val="00605E93"/>
    <w:rsid w:val="00610B30"/>
    <w:rsid w:val="006209EB"/>
    <w:rsid w:val="00621C92"/>
    <w:rsid w:val="00627229"/>
    <w:rsid w:val="006274FF"/>
    <w:rsid w:val="00630F06"/>
    <w:rsid w:val="00642E81"/>
    <w:rsid w:val="00646BF3"/>
    <w:rsid w:val="0066467F"/>
    <w:rsid w:val="00670226"/>
    <w:rsid w:val="0067538E"/>
    <w:rsid w:val="00682EBE"/>
    <w:rsid w:val="0068742E"/>
    <w:rsid w:val="00695AD4"/>
    <w:rsid w:val="00697AFA"/>
    <w:rsid w:val="006A5E7A"/>
    <w:rsid w:val="006B4025"/>
    <w:rsid w:val="006B6138"/>
    <w:rsid w:val="006B625B"/>
    <w:rsid w:val="006C05C8"/>
    <w:rsid w:val="006D3160"/>
    <w:rsid w:val="006F5214"/>
    <w:rsid w:val="00702B84"/>
    <w:rsid w:val="00705A4A"/>
    <w:rsid w:val="00737985"/>
    <w:rsid w:val="00740167"/>
    <w:rsid w:val="00741749"/>
    <w:rsid w:val="0074293F"/>
    <w:rsid w:val="0074689E"/>
    <w:rsid w:val="00752FFE"/>
    <w:rsid w:val="007855E4"/>
    <w:rsid w:val="00792079"/>
    <w:rsid w:val="00793705"/>
    <w:rsid w:val="00794591"/>
    <w:rsid w:val="007967D6"/>
    <w:rsid w:val="007976DF"/>
    <w:rsid w:val="00797C5E"/>
    <w:rsid w:val="007A3F98"/>
    <w:rsid w:val="007C14B7"/>
    <w:rsid w:val="007E054C"/>
    <w:rsid w:val="007E15B7"/>
    <w:rsid w:val="007E5445"/>
    <w:rsid w:val="007E5B5F"/>
    <w:rsid w:val="007E7BC2"/>
    <w:rsid w:val="007F0857"/>
    <w:rsid w:val="007F3EF5"/>
    <w:rsid w:val="007F671E"/>
    <w:rsid w:val="00800E0B"/>
    <w:rsid w:val="00801DE6"/>
    <w:rsid w:val="0081333F"/>
    <w:rsid w:val="008163DE"/>
    <w:rsid w:val="00816B04"/>
    <w:rsid w:val="00825179"/>
    <w:rsid w:val="00831F0D"/>
    <w:rsid w:val="00843E3D"/>
    <w:rsid w:val="00852B0C"/>
    <w:rsid w:val="008616A3"/>
    <w:rsid w:val="008619E9"/>
    <w:rsid w:val="00863A13"/>
    <w:rsid w:val="0086514A"/>
    <w:rsid w:val="008718BA"/>
    <w:rsid w:val="00880454"/>
    <w:rsid w:val="008858E0"/>
    <w:rsid w:val="00885C71"/>
    <w:rsid w:val="00887CF0"/>
    <w:rsid w:val="00890059"/>
    <w:rsid w:val="008911AA"/>
    <w:rsid w:val="00895BA4"/>
    <w:rsid w:val="0089669D"/>
    <w:rsid w:val="008A1823"/>
    <w:rsid w:val="008A541A"/>
    <w:rsid w:val="008A625F"/>
    <w:rsid w:val="008B2B12"/>
    <w:rsid w:val="008C73A6"/>
    <w:rsid w:val="008D4C26"/>
    <w:rsid w:val="008D6A74"/>
    <w:rsid w:val="008E0F99"/>
    <w:rsid w:val="008E29E7"/>
    <w:rsid w:val="00914BF0"/>
    <w:rsid w:val="0091630D"/>
    <w:rsid w:val="0092332A"/>
    <w:rsid w:val="00925120"/>
    <w:rsid w:val="009272AF"/>
    <w:rsid w:val="00927E54"/>
    <w:rsid w:val="00930A8D"/>
    <w:rsid w:val="00937C3E"/>
    <w:rsid w:val="00940A1F"/>
    <w:rsid w:val="00943730"/>
    <w:rsid w:val="0094628B"/>
    <w:rsid w:val="00952DF4"/>
    <w:rsid w:val="00963EA1"/>
    <w:rsid w:val="00970CEF"/>
    <w:rsid w:val="00970D93"/>
    <w:rsid w:val="00975C32"/>
    <w:rsid w:val="009C279E"/>
    <w:rsid w:val="009C4F77"/>
    <w:rsid w:val="009C701F"/>
    <w:rsid w:val="009C7106"/>
    <w:rsid w:val="009D0B11"/>
    <w:rsid w:val="009E0894"/>
    <w:rsid w:val="009F2AAE"/>
    <w:rsid w:val="009F574E"/>
    <w:rsid w:val="009F63AC"/>
    <w:rsid w:val="009F65DE"/>
    <w:rsid w:val="00A048C1"/>
    <w:rsid w:val="00A070D1"/>
    <w:rsid w:val="00A10654"/>
    <w:rsid w:val="00A117D7"/>
    <w:rsid w:val="00A14C63"/>
    <w:rsid w:val="00A2124A"/>
    <w:rsid w:val="00A24F31"/>
    <w:rsid w:val="00A265F2"/>
    <w:rsid w:val="00A37665"/>
    <w:rsid w:val="00A37967"/>
    <w:rsid w:val="00A37F59"/>
    <w:rsid w:val="00A43664"/>
    <w:rsid w:val="00A50A56"/>
    <w:rsid w:val="00A60AD9"/>
    <w:rsid w:val="00A62B4D"/>
    <w:rsid w:val="00A63EBB"/>
    <w:rsid w:val="00A64937"/>
    <w:rsid w:val="00A6624B"/>
    <w:rsid w:val="00A67CB2"/>
    <w:rsid w:val="00A72AC9"/>
    <w:rsid w:val="00A72BB9"/>
    <w:rsid w:val="00A75533"/>
    <w:rsid w:val="00A93D1E"/>
    <w:rsid w:val="00AA3C33"/>
    <w:rsid w:val="00AB1CBC"/>
    <w:rsid w:val="00AC15B1"/>
    <w:rsid w:val="00AC4228"/>
    <w:rsid w:val="00AD3D09"/>
    <w:rsid w:val="00AE01E6"/>
    <w:rsid w:val="00AE3742"/>
    <w:rsid w:val="00AE7862"/>
    <w:rsid w:val="00AF3FCB"/>
    <w:rsid w:val="00AF660C"/>
    <w:rsid w:val="00B108ED"/>
    <w:rsid w:val="00B20669"/>
    <w:rsid w:val="00B23934"/>
    <w:rsid w:val="00B34113"/>
    <w:rsid w:val="00B4103F"/>
    <w:rsid w:val="00B60FB3"/>
    <w:rsid w:val="00B62088"/>
    <w:rsid w:val="00B70F8E"/>
    <w:rsid w:val="00B72CA1"/>
    <w:rsid w:val="00B74877"/>
    <w:rsid w:val="00B75236"/>
    <w:rsid w:val="00B77925"/>
    <w:rsid w:val="00B821D2"/>
    <w:rsid w:val="00B8333A"/>
    <w:rsid w:val="00B870AD"/>
    <w:rsid w:val="00B93D7F"/>
    <w:rsid w:val="00B95704"/>
    <w:rsid w:val="00BB5AE9"/>
    <w:rsid w:val="00BC10B9"/>
    <w:rsid w:val="00BC16E9"/>
    <w:rsid w:val="00BC2B3C"/>
    <w:rsid w:val="00BC38A8"/>
    <w:rsid w:val="00BD2B5B"/>
    <w:rsid w:val="00BD6299"/>
    <w:rsid w:val="00BD75A8"/>
    <w:rsid w:val="00BE3B2A"/>
    <w:rsid w:val="00BE67A4"/>
    <w:rsid w:val="00BF1B03"/>
    <w:rsid w:val="00C02753"/>
    <w:rsid w:val="00C118F5"/>
    <w:rsid w:val="00C1392F"/>
    <w:rsid w:val="00C14073"/>
    <w:rsid w:val="00C14D50"/>
    <w:rsid w:val="00C15483"/>
    <w:rsid w:val="00C16F81"/>
    <w:rsid w:val="00C24416"/>
    <w:rsid w:val="00C31E76"/>
    <w:rsid w:val="00C32797"/>
    <w:rsid w:val="00C333FA"/>
    <w:rsid w:val="00C33516"/>
    <w:rsid w:val="00C37906"/>
    <w:rsid w:val="00C46444"/>
    <w:rsid w:val="00C544A0"/>
    <w:rsid w:val="00C560C1"/>
    <w:rsid w:val="00C64346"/>
    <w:rsid w:val="00C717A3"/>
    <w:rsid w:val="00C72DD3"/>
    <w:rsid w:val="00CA4100"/>
    <w:rsid w:val="00CB1AA8"/>
    <w:rsid w:val="00CB1DC5"/>
    <w:rsid w:val="00CC172A"/>
    <w:rsid w:val="00CC4262"/>
    <w:rsid w:val="00CC42FA"/>
    <w:rsid w:val="00CC6F56"/>
    <w:rsid w:val="00CC7301"/>
    <w:rsid w:val="00CD481F"/>
    <w:rsid w:val="00CF3A8D"/>
    <w:rsid w:val="00CF3FB8"/>
    <w:rsid w:val="00CF5F07"/>
    <w:rsid w:val="00D00DC2"/>
    <w:rsid w:val="00D03325"/>
    <w:rsid w:val="00D04744"/>
    <w:rsid w:val="00D04CE3"/>
    <w:rsid w:val="00D12827"/>
    <w:rsid w:val="00D173F1"/>
    <w:rsid w:val="00D226B0"/>
    <w:rsid w:val="00D26566"/>
    <w:rsid w:val="00D27328"/>
    <w:rsid w:val="00D34F78"/>
    <w:rsid w:val="00D53985"/>
    <w:rsid w:val="00D6182E"/>
    <w:rsid w:val="00D708CE"/>
    <w:rsid w:val="00D76034"/>
    <w:rsid w:val="00D92F27"/>
    <w:rsid w:val="00D95C89"/>
    <w:rsid w:val="00DA5738"/>
    <w:rsid w:val="00DB2980"/>
    <w:rsid w:val="00DB3EEB"/>
    <w:rsid w:val="00DD1DE7"/>
    <w:rsid w:val="00DF49C1"/>
    <w:rsid w:val="00E00E5D"/>
    <w:rsid w:val="00E05D55"/>
    <w:rsid w:val="00E06DD3"/>
    <w:rsid w:val="00E17DD8"/>
    <w:rsid w:val="00E32D37"/>
    <w:rsid w:val="00E375D1"/>
    <w:rsid w:val="00E407E3"/>
    <w:rsid w:val="00E44582"/>
    <w:rsid w:val="00E44782"/>
    <w:rsid w:val="00E47D3A"/>
    <w:rsid w:val="00E50F26"/>
    <w:rsid w:val="00E54CD0"/>
    <w:rsid w:val="00E63C27"/>
    <w:rsid w:val="00E6455E"/>
    <w:rsid w:val="00E6763A"/>
    <w:rsid w:val="00E71EFA"/>
    <w:rsid w:val="00E72668"/>
    <w:rsid w:val="00E727C3"/>
    <w:rsid w:val="00E77CB8"/>
    <w:rsid w:val="00E93495"/>
    <w:rsid w:val="00E94F6A"/>
    <w:rsid w:val="00E96101"/>
    <w:rsid w:val="00E97538"/>
    <w:rsid w:val="00EA40D0"/>
    <w:rsid w:val="00EA44A2"/>
    <w:rsid w:val="00EA5D41"/>
    <w:rsid w:val="00EC4AC7"/>
    <w:rsid w:val="00EC5541"/>
    <w:rsid w:val="00ED24FA"/>
    <w:rsid w:val="00ED478B"/>
    <w:rsid w:val="00EE2725"/>
    <w:rsid w:val="00EE6255"/>
    <w:rsid w:val="00EF00A3"/>
    <w:rsid w:val="00F074EE"/>
    <w:rsid w:val="00F1239B"/>
    <w:rsid w:val="00F1447E"/>
    <w:rsid w:val="00F2268B"/>
    <w:rsid w:val="00F250F4"/>
    <w:rsid w:val="00F31A70"/>
    <w:rsid w:val="00F502F6"/>
    <w:rsid w:val="00F766BF"/>
    <w:rsid w:val="00F81656"/>
    <w:rsid w:val="00F8358A"/>
    <w:rsid w:val="00F86F6A"/>
    <w:rsid w:val="00F92176"/>
    <w:rsid w:val="00F93C6A"/>
    <w:rsid w:val="00F976D0"/>
    <w:rsid w:val="00FA6D35"/>
    <w:rsid w:val="00FB065F"/>
    <w:rsid w:val="00FD0411"/>
    <w:rsid w:val="00FE1628"/>
    <w:rsid w:val="00FE255A"/>
    <w:rsid w:val="00FF02BE"/>
    <w:rsid w:val="01365493"/>
    <w:rsid w:val="01A81B52"/>
    <w:rsid w:val="01D54D98"/>
    <w:rsid w:val="047271DE"/>
    <w:rsid w:val="058A396D"/>
    <w:rsid w:val="07124399"/>
    <w:rsid w:val="073F4A62"/>
    <w:rsid w:val="07656E83"/>
    <w:rsid w:val="07C856B0"/>
    <w:rsid w:val="07D32D74"/>
    <w:rsid w:val="07F874F1"/>
    <w:rsid w:val="08420AFA"/>
    <w:rsid w:val="08983944"/>
    <w:rsid w:val="08A968EE"/>
    <w:rsid w:val="09300B06"/>
    <w:rsid w:val="0A782765"/>
    <w:rsid w:val="0A803B0B"/>
    <w:rsid w:val="0E725659"/>
    <w:rsid w:val="0ED87C76"/>
    <w:rsid w:val="0F672DA8"/>
    <w:rsid w:val="10BA56D5"/>
    <w:rsid w:val="113B3FD5"/>
    <w:rsid w:val="11483C85"/>
    <w:rsid w:val="12D93FBD"/>
    <w:rsid w:val="1324792E"/>
    <w:rsid w:val="14172060"/>
    <w:rsid w:val="14BC1DE8"/>
    <w:rsid w:val="14D0319D"/>
    <w:rsid w:val="154A11A2"/>
    <w:rsid w:val="15761453"/>
    <w:rsid w:val="16135A37"/>
    <w:rsid w:val="17BA3F38"/>
    <w:rsid w:val="18B3705E"/>
    <w:rsid w:val="199724DC"/>
    <w:rsid w:val="1A9D605E"/>
    <w:rsid w:val="1C544388"/>
    <w:rsid w:val="1C9A0C60"/>
    <w:rsid w:val="1D944B9F"/>
    <w:rsid w:val="1ED33FB6"/>
    <w:rsid w:val="1F107FEE"/>
    <w:rsid w:val="1F6A27D7"/>
    <w:rsid w:val="209B0B03"/>
    <w:rsid w:val="209B5409"/>
    <w:rsid w:val="221E379A"/>
    <w:rsid w:val="222040B1"/>
    <w:rsid w:val="236C6787"/>
    <w:rsid w:val="24482D50"/>
    <w:rsid w:val="24BD7BBE"/>
    <w:rsid w:val="25247A23"/>
    <w:rsid w:val="25E64E73"/>
    <w:rsid w:val="26333F30"/>
    <w:rsid w:val="2647084B"/>
    <w:rsid w:val="26930052"/>
    <w:rsid w:val="26AE07BD"/>
    <w:rsid w:val="286A7890"/>
    <w:rsid w:val="29AC3D81"/>
    <w:rsid w:val="2BD96984"/>
    <w:rsid w:val="2C637E83"/>
    <w:rsid w:val="2E5B286A"/>
    <w:rsid w:val="2E673B27"/>
    <w:rsid w:val="2E724A65"/>
    <w:rsid w:val="2F0361F1"/>
    <w:rsid w:val="301D0D3D"/>
    <w:rsid w:val="30E65DCB"/>
    <w:rsid w:val="30EB518F"/>
    <w:rsid w:val="31807FCD"/>
    <w:rsid w:val="31AF04F4"/>
    <w:rsid w:val="31E05A32"/>
    <w:rsid w:val="3260395B"/>
    <w:rsid w:val="32CE6B16"/>
    <w:rsid w:val="34142C4F"/>
    <w:rsid w:val="34496D9C"/>
    <w:rsid w:val="35064D41"/>
    <w:rsid w:val="35432011"/>
    <w:rsid w:val="354632DC"/>
    <w:rsid w:val="35D115C5"/>
    <w:rsid w:val="35F63FF6"/>
    <w:rsid w:val="36DA03FC"/>
    <w:rsid w:val="377C1E26"/>
    <w:rsid w:val="382673F4"/>
    <w:rsid w:val="38607D23"/>
    <w:rsid w:val="39557F91"/>
    <w:rsid w:val="39897C3B"/>
    <w:rsid w:val="39987E7E"/>
    <w:rsid w:val="3A1C285D"/>
    <w:rsid w:val="3A485400"/>
    <w:rsid w:val="3A9C74FA"/>
    <w:rsid w:val="3ACF5B21"/>
    <w:rsid w:val="3AD273C0"/>
    <w:rsid w:val="3AFC15B4"/>
    <w:rsid w:val="3B404329"/>
    <w:rsid w:val="3B8818EB"/>
    <w:rsid w:val="3BAD07A5"/>
    <w:rsid w:val="3D163594"/>
    <w:rsid w:val="3D7E72DC"/>
    <w:rsid w:val="3DAC45FE"/>
    <w:rsid w:val="3DBB238D"/>
    <w:rsid w:val="3F973373"/>
    <w:rsid w:val="3FAC13D6"/>
    <w:rsid w:val="40662A84"/>
    <w:rsid w:val="40D914A8"/>
    <w:rsid w:val="41466412"/>
    <w:rsid w:val="41984EBF"/>
    <w:rsid w:val="41BB3319"/>
    <w:rsid w:val="43364990"/>
    <w:rsid w:val="43C53F65"/>
    <w:rsid w:val="44713A25"/>
    <w:rsid w:val="45010FCD"/>
    <w:rsid w:val="46EA1D0F"/>
    <w:rsid w:val="477C3AF9"/>
    <w:rsid w:val="47B71E17"/>
    <w:rsid w:val="491D3EFC"/>
    <w:rsid w:val="496D4E83"/>
    <w:rsid w:val="49F37681"/>
    <w:rsid w:val="4AC53ED5"/>
    <w:rsid w:val="4AF313B8"/>
    <w:rsid w:val="4B15585A"/>
    <w:rsid w:val="4B711F34"/>
    <w:rsid w:val="4C391FE9"/>
    <w:rsid w:val="4C7533AB"/>
    <w:rsid w:val="4CA24E44"/>
    <w:rsid w:val="4CFE3A38"/>
    <w:rsid w:val="4DC465A1"/>
    <w:rsid w:val="4DD577B6"/>
    <w:rsid w:val="4E1E04FA"/>
    <w:rsid w:val="50FB4B23"/>
    <w:rsid w:val="51216813"/>
    <w:rsid w:val="51FA5512"/>
    <w:rsid w:val="52A80CDA"/>
    <w:rsid w:val="52B61649"/>
    <w:rsid w:val="53312A7E"/>
    <w:rsid w:val="53E45154"/>
    <w:rsid w:val="548D7E0A"/>
    <w:rsid w:val="54F417C1"/>
    <w:rsid w:val="552478A6"/>
    <w:rsid w:val="558E1809"/>
    <w:rsid w:val="55C06E8D"/>
    <w:rsid w:val="55C7591B"/>
    <w:rsid w:val="567809C3"/>
    <w:rsid w:val="56861286"/>
    <w:rsid w:val="5785783C"/>
    <w:rsid w:val="583848AE"/>
    <w:rsid w:val="58580AAD"/>
    <w:rsid w:val="58C779E0"/>
    <w:rsid w:val="5A070475"/>
    <w:rsid w:val="5A89319F"/>
    <w:rsid w:val="5AA33905"/>
    <w:rsid w:val="5ACD54D6"/>
    <w:rsid w:val="5B0B44FC"/>
    <w:rsid w:val="5B2A2BD4"/>
    <w:rsid w:val="5B2B4256"/>
    <w:rsid w:val="5B53708F"/>
    <w:rsid w:val="5BD5389D"/>
    <w:rsid w:val="5C332389"/>
    <w:rsid w:val="5C9C6A0F"/>
    <w:rsid w:val="5D722610"/>
    <w:rsid w:val="5E2A6685"/>
    <w:rsid w:val="5ED7038A"/>
    <w:rsid w:val="5F6E2035"/>
    <w:rsid w:val="5F8B79B9"/>
    <w:rsid w:val="60651FB9"/>
    <w:rsid w:val="60D77D0E"/>
    <w:rsid w:val="6198639E"/>
    <w:rsid w:val="61A13536"/>
    <w:rsid w:val="62AB0558"/>
    <w:rsid w:val="644C5778"/>
    <w:rsid w:val="647C3D75"/>
    <w:rsid w:val="6498572D"/>
    <w:rsid w:val="64B053A7"/>
    <w:rsid w:val="64C03C94"/>
    <w:rsid w:val="66E34CA0"/>
    <w:rsid w:val="670E0AA6"/>
    <w:rsid w:val="684150B9"/>
    <w:rsid w:val="68B63CF9"/>
    <w:rsid w:val="69352C34"/>
    <w:rsid w:val="6962740E"/>
    <w:rsid w:val="6A462EF1"/>
    <w:rsid w:val="6ACB0BBA"/>
    <w:rsid w:val="6BA20565"/>
    <w:rsid w:val="6C086B3F"/>
    <w:rsid w:val="6D152591"/>
    <w:rsid w:val="6D1E6D6B"/>
    <w:rsid w:val="6FE072A4"/>
    <w:rsid w:val="70057314"/>
    <w:rsid w:val="7141437C"/>
    <w:rsid w:val="71F4319C"/>
    <w:rsid w:val="7238577F"/>
    <w:rsid w:val="72D14286"/>
    <w:rsid w:val="738549F4"/>
    <w:rsid w:val="73F149B8"/>
    <w:rsid w:val="741B0239"/>
    <w:rsid w:val="7423340F"/>
    <w:rsid w:val="74834040"/>
    <w:rsid w:val="74AF784E"/>
    <w:rsid w:val="74F636CF"/>
    <w:rsid w:val="755A441B"/>
    <w:rsid w:val="75FD295F"/>
    <w:rsid w:val="76B97580"/>
    <w:rsid w:val="778154D2"/>
    <w:rsid w:val="77B92EBE"/>
    <w:rsid w:val="789456D9"/>
    <w:rsid w:val="79674B9C"/>
    <w:rsid w:val="79E94470"/>
    <w:rsid w:val="7A1A3880"/>
    <w:rsid w:val="7B181AFF"/>
    <w:rsid w:val="7C5036C5"/>
    <w:rsid w:val="7CD345E8"/>
    <w:rsid w:val="7D3221D0"/>
    <w:rsid w:val="7D627B54"/>
    <w:rsid w:val="7D866199"/>
    <w:rsid w:val="7D9C4116"/>
    <w:rsid w:val="7DD30A52"/>
    <w:rsid w:val="7F2C21C7"/>
    <w:rsid w:val="7F2F381E"/>
    <w:rsid w:val="7F360EB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Plain Text"/>
    <w:basedOn w:val="1"/>
    <w:next w:val="3"/>
    <w:qFormat/>
    <w:uiPriority w:val="0"/>
    <w:rPr>
      <w:rFonts w:ascii="宋体" w:hAnsi="Courier New"/>
    </w:rPr>
  </w:style>
  <w:style w:type="paragraph" w:customStyle="1" w:styleId="3">
    <w:name w:val="Default"/>
    <w:basedOn w:val="4"/>
    <w:next w:val="1"/>
    <w:unhideWhenUsed/>
    <w:qFormat/>
    <w:uiPriority w:val="99"/>
    <w:pPr>
      <w:widowControl w:val="0"/>
      <w:autoSpaceDE w:val="0"/>
      <w:autoSpaceDN w:val="0"/>
      <w:adjustRightInd w:val="0"/>
      <w:spacing w:beforeLines="0" w:afterLines="0"/>
    </w:pPr>
    <w:rPr>
      <w:rFonts w:hint="eastAsia" w:ascii="Calibri" w:hAnsi="Calibri" w:eastAsia="Calibri" w:cs="Times New Roman"/>
      <w:color w:val="000000"/>
      <w:sz w:val="24"/>
    </w:rPr>
  </w:style>
  <w:style w:type="paragraph" w:customStyle="1" w:styleId="4">
    <w:name w:val="表格17"/>
    <w:qFormat/>
    <w:uiPriority w:val="0"/>
    <w:pPr>
      <w:widowControl w:val="0"/>
      <w:adjustRightInd w:val="0"/>
      <w:jc w:val="center"/>
    </w:pPr>
    <w:rPr>
      <w:rFonts w:ascii="Times New Roman" w:hAnsi="Times New Roman" w:eastAsia="宋体" w:cs="Times New Roman"/>
      <w:kern w:val="28"/>
      <w:sz w:val="28"/>
      <w:lang w:val="en-US" w:eastAsia="zh-CN" w:bidi="ar-SA"/>
    </w:rPr>
  </w:style>
  <w:style w:type="paragraph" w:styleId="5">
    <w:name w:val="Normal Indent"/>
    <w:basedOn w:val="1"/>
    <w:next w:val="1"/>
    <w:qFormat/>
    <w:uiPriority w:val="0"/>
    <w:pPr>
      <w:snapToGrid w:val="0"/>
      <w:spacing w:line="300" w:lineRule="auto"/>
      <w:ind w:firstLine="556"/>
    </w:pPr>
    <w:rPr>
      <w:rFonts w:ascii="仿宋_GB2312" w:hAnsi="Times New Roman" w:eastAsia="仿宋_GB2312"/>
      <w:kern w:val="0"/>
      <w:szCs w:val="20"/>
    </w:rPr>
  </w:style>
  <w:style w:type="paragraph" w:styleId="6">
    <w:name w:val="Balloon Text"/>
    <w:basedOn w:val="1"/>
    <w:link w:val="15"/>
    <w:semiHidden/>
    <w:unhideWhenUsed/>
    <w:qFormat/>
    <w:uiPriority w:val="99"/>
    <w:rPr>
      <w:sz w:val="18"/>
      <w:szCs w:val="18"/>
    </w:rPr>
  </w:style>
  <w:style w:type="paragraph" w:styleId="7">
    <w:name w:val="footer"/>
    <w:basedOn w:val="1"/>
    <w:link w:val="14"/>
    <w:semiHidden/>
    <w:qFormat/>
    <w:uiPriority w:val="99"/>
    <w:pPr>
      <w:tabs>
        <w:tab w:val="center" w:pos="4153"/>
        <w:tab w:val="right" w:pos="8306"/>
      </w:tabs>
      <w:snapToGrid w:val="0"/>
      <w:jc w:val="left"/>
    </w:pPr>
    <w:rPr>
      <w:sz w:val="18"/>
      <w:szCs w:val="18"/>
    </w:rPr>
  </w:style>
  <w:style w:type="paragraph" w:styleId="8">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table" w:styleId="11">
    <w:name w:val="Table Grid"/>
    <w:basedOn w:val="10"/>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3">
    <w:name w:val="页眉 Char"/>
    <w:link w:val="8"/>
    <w:semiHidden/>
    <w:qFormat/>
    <w:locked/>
    <w:uiPriority w:val="99"/>
    <w:rPr>
      <w:rFonts w:cs="Times New Roman"/>
      <w:sz w:val="18"/>
      <w:szCs w:val="18"/>
    </w:rPr>
  </w:style>
  <w:style w:type="character" w:customStyle="1" w:styleId="14">
    <w:name w:val="页脚 Char"/>
    <w:link w:val="7"/>
    <w:semiHidden/>
    <w:qFormat/>
    <w:locked/>
    <w:uiPriority w:val="99"/>
    <w:rPr>
      <w:rFonts w:cs="Times New Roman"/>
      <w:sz w:val="18"/>
      <w:szCs w:val="18"/>
    </w:rPr>
  </w:style>
  <w:style w:type="character" w:customStyle="1" w:styleId="15">
    <w:name w:val="批注框文本 Char"/>
    <w:basedOn w:val="12"/>
    <w:link w:val="6"/>
    <w:semiHidden/>
    <w:qFormat/>
    <w:uiPriority w:val="99"/>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WIN</Company>
  <Pages>14</Pages>
  <Words>8309</Words>
  <Characters>9314</Characters>
  <Lines>96</Lines>
  <Paragraphs>27</Paragraphs>
  <TotalTime>9</TotalTime>
  <ScaleCrop>false</ScaleCrop>
  <LinksUpToDate>false</LinksUpToDate>
  <CharactersWithSpaces>9494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2018-02-02T04:34:00Z</dcterms:created>
  <dc:creator>user</dc:creator>
  <cp:lastModifiedBy>邱啸峪</cp:lastModifiedBy>
  <cp:lastPrinted>2024-01-29T11:09:00Z</cp:lastPrinted>
  <dcterms:modified xsi:type="dcterms:W3CDTF">2025-11-25T10:14:03Z</dcterms:modified>
  <dc:title>酒钢集团宏兴钢铁股份有限责任公司</dc:title>
  <cp:revision>108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33BF48103E234463AC274B956511C8CB</vt:lpwstr>
  </property>
  <property fmtid="{D5CDD505-2E9C-101B-9397-08002B2CF9AE}" pid="4" name="KSOTemplateDocerSaveRecord">
    <vt:lpwstr>eyJoZGlkIjoiNDU0ZDJjYzZjZGVjOGYzNjBmNTFjZWQ2NWE4ZTA5MDEiLCJ1c2VySWQiOiIxNDg5MzAwMzY3In0=</vt:lpwstr>
  </property>
</Properties>
</file>