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74318E">
      <w:pPr>
        <w:spacing w:line="360" w:lineRule="auto"/>
        <w:jc w:val="both"/>
        <w:rPr>
          <w:rFonts w:hint="eastAsia" w:ascii="宋体" w:hAnsi="宋体" w:eastAsia="宋体" w:cs="Times New Roman"/>
          <w:b/>
          <w:sz w:val="36"/>
          <w:szCs w:val="36"/>
          <w:lang w:val="en-US" w:eastAsia="zh-CN"/>
        </w:rPr>
      </w:pPr>
      <w:bookmarkStart w:id="0" w:name="_GoBack"/>
      <w:bookmarkEnd w:id="0"/>
    </w:p>
    <w:p w14:paraId="420D6504">
      <w:pPr>
        <w:keepNext/>
        <w:keepLines w:val="0"/>
        <w:pageBreakBefore w:val="0"/>
        <w:widowControl w:val="0"/>
        <w:kinsoku w:val="0"/>
        <w:wordWrap/>
        <w:overflowPunct w:val="0"/>
        <w:topLinePunct w:val="0"/>
        <w:autoSpaceDE w:val="0"/>
        <w:autoSpaceDN w:val="0"/>
        <w:bidi w:val="0"/>
        <w:spacing w:line="360" w:lineRule="auto"/>
        <w:jc w:val="center"/>
        <w:outlineLvl w:val="9"/>
        <w:rPr>
          <w:rFonts w:hint="eastAsia" w:ascii="仿宋" w:hAnsi="仿宋" w:eastAsia="仿宋" w:cs="仿宋"/>
          <w:b/>
          <w:bCs w:val="0"/>
          <w:color w:val="0C0C0C"/>
          <w:kern w:val="0"/>
          <w:sz w:val="44"/>
          <w:szCs w:val="44"/>
          <w:highlight w:val="cyan"/>
          <w:lang w:val="en-US" w:eastAsia="zh-CN"/>
        </w:rPr>
      </w:pPr>
    </w:p>
    <w:p w14:paraId="6D34BBE1">
      <w:pPr>
        <w:keepNext/>
        <w:keepLines w:val="0"/>
        <w:pageBreakBefore w:val="0"/>
        <w:widowControl w:val="0"/>
        <w:kinsoku w:val="0"/>
        <w:wordWrap/>
        <w:overflowPunct w:val="0"/>
        <w:topLinePunct w:val="0"/>
        <w:autoSpaceDE w:val="0"/>
        <w:autoSpaceDN w:val="0"/>
        <w:bidi w:val="0"/>
        <w:spacing w:line="360" w:lineRule="auto"/>
        <w:jc w:val="center"/>
        <w:outlineLvl w:val="9"/>
        <w:rPr>
          <w:rFonts w:hint="eastAsia" w:ascii="仿宋" w:hAnsi="仿宋" w:eastAsia="仿宋" w:cs="仿宋"/>
          <w:b/>
          <w:bCs w:val="0"/>
          <w:color w:val="0C0C0C"/>
          <w:kern w:val="0"/>
          <w:sz w:val="44"/>
          <w:szCs w:val="44"/>
          <w:highlight w:val="cyan"/>
          <w:lang w:val="en-US" w:eastAsia="zh-CN"/>
        </w:rPr>
      </w:pPr>
      <w:r>
        <w:rPr>
          <w:rFonts w:hint="eastAsia" w:ascii="仿宋" w:hAnsi="仿宋" w:eastAsia="仿宋" w:cs="仿宋"/>
          <w:b/>
          <w:bCs w:val="0"/>
          <w:color w:val="0C0C0C"/>
          <w:kern w:val="0"/>
          <w:sz w:val="44"/>
          <w:szCs w:val="44"/>
          <w:highlight w:val="none"/>
          <w:lang w:val="en-US" w:eastAsia="zh-CN"/>
        </w:rPr>
        <w:t>宏联自控公司矿用一般型</w:t>
      </w:r>
    </w:p>
    <w:p w14:paraId="53306CE5">
      <w:pPr>
        <w:keepNext/>
        <w:keepLines w:val="0"/>
        <w:pageBreakBefore w:val="0"/>
        <w:widowControl w:val="0"/>
        <w:kinsoku w:val="0"/>
        <w:wordWrap/>
        <w:overflowPunct w:val="0"/>
        <w:topLinePunct w:val="0"/>
        <w:autoSpaceDE w:val="0"/>
        <w:autoSpaceDN w:val="0"/>
        <w:bidi w:val="0"/>
        <w:spacing w:line="360" w:lineRule="auto"/>
        <w:jc w:val="center"/>
        <w:outlineLvl w:val="9"/>
        <w:rPr>
          <w:rFonts w:hint="eastAsia" w:ascii="仿宋" w:hAnsi="仿宋" w:eastAsia="仿宋" w:cs="仿宋"/>
          <w:b/>
          <w:bCs w:val="0"/>
          <w:color w:val="0C0C0C"/>
          <w:kern w:val="0"/>
          <w:sz w:val="44"/>
          <w:szCs w:val="44"/>
          <w:highlight w:val="none"/>
          <w:lang w:val="en-US"/>
        </w:rPr>
      </w:pPr>
      <w:r>
        <w:rPr>
          <w:rFonts w:hint="eastAsia" w:ascii="仿宋" w:hAnsi="仿宋" w:eastAsia="仿宋" w:cs="仿宋"/>
          <w:b/>
          <w:bCs w:val="0"/>
          <w:color w:val="0C0C0C"/>
          <w:kern w:val="0"/>
          <w:sz w:val="44"/>
          <w:szCs w:val="44"/>
          <w:highlight w:val="none"/>
          <w:lang w:val="en-US" w:eastAsia="zh-CN"/>
        </w:rPr>
        <w:t>成套低压配电柜</w:t>
      </w:r>
    </w:p>
    <w:p w14:paraId="2432CB02">
      <w:pPr>
        <w:keepNext/>
        <w:keepLines w:val="0"/>
        <w:pageBreakBefore w:val="0"/>
        <w:widowControl w:val="0"/>
        <w:kinsoku w:val="0"/>
        <w:wordWrap/>
        <w:overflowPunct w:val="0"/>
        <w:topLinePunct w:val="0"/>
        <w:autoSpaceDE w:val="0"/>
        <w:autoSpaceDN w:val="0"/>
        <w:bidi w:val="0"/>
        <w:adjustRightInd w:val="0"/>
        <w:snapToGrid w:val="0"/>
        <w:spacing w:line="360" w:lineRule="auto"/>
        <w:ind w:right="2" w:rightChars="1"/>
        <w:jc w:val="center"/>
        <w:textAlignment w:val="baseline"/>
        <w:outlineLvl w:val="9"/>
        <w:rPr>
          <w:rFonts w:hint="eastAsia" w:ascii="宋体" w:hAnsi="宋体"/>
          <w:b/>
          <w:color w:val="0000FF"/>
          <w:kern w:val="0"/>
          <w:sz w:val="36"/>
          <w:szCs w:val="36"/>
          <w:highlight w:val="cyan"/>
          <w:lang w:val="en-US" w:eastAsia="zh-CN"/>
        </w:rPr>
      </w:pPr>
    </w:p>
    <w:p w14:paraId="638F2287">
      <w:pPr>
        <w:pStyle w:val="14"/>
        <w:keepNext/>
        <w:keepLines w:val="0"/>
        <w:pageBreakBefore w:val="0"/>
        <w:widowControl w:val="0"/>
        <w:kinsoku w:val="0"/>
        <w:wordWrap/>
        <w:overflowPunct w:val="0"/>
        <w:topLinePunct w:val="0"/>
        <w:autoSpaceDE w:val="0"/>
        <w:autoSpaceDN w:val="0"/>
        <w:bidi w:val="0"/>
        <w:rPr>
          <w:rFonts w:hint="default"/>
          <w:color w:val="0000FF"/>
          <w:highlight w:val="cyan"/>
          <w:lang w:val="en-US"/>
        </w:rPr>
      </w:pPr>
    </w:p>
    <w:p w14:paraId="18E730AB">
      <w:pPr>
        <w:keepNext/>
        <w:keepLines w:val="0"/>
        <w:pageBreakBefore w:val="0"/>
        <w:widowControl w:val="0"/>
        <w:kinsoku w:val="0"/>
        <w:wordWrap/>
        <w:overflowPunct w:val="0"/>
        <w:topLinePunct w:val="0"/>
        <w:autoSpaceDE w:val="0"/>
        <w:autoSpaceDN w:val="0"/>
        <w:bidi w:val="0"/>
        <w:adjustRightInd w:val="0"/>
        <w:snapToGrid w:val="0"/>
        <w:spacing w:line="360" w:lineRule="auto"/>
        <w:ind w:right="2" w:rightChars="1"/>
        <w:jc w:val="center"/>
        <w:textAlignment w:val="baseline"/>
        <w:rPr>
          <w:rFonts w:hint="eastAsia" w:ascii="宋体" w:hAnsi="宋体"/>
          <w:b/>
          <w:color w:val="0000FF"/>
          <w:kern w:val="0"/>
          <w:sz w:val="36"/>
          <w:szCs w:val="36"/>
          <w:highlight w:val="cyan"/>
        </w:rPr>
      </w:pPr>
    </w:p>
    <w:p w14:paraId="72DC5FCB">
      <w:pPr>
        <w:keepNext/>
        <w:keepLines w:val="0"/>
        <w:pageBreakBefore w:val="0"/>
        <w:widowControl w:val="0"/>
        <w:kinsoku w:val="0"/>
        <w:wordWrap/>
        <w:overflowPunct w:val="0"/>
        <w:topLinePunct w:val="0"/>
        <w:autoSpaceDE w:val="0"/>
        <w:autoSpaceDN w:val="0"/>
        <w:bidi w:val="0"/>
        <w:adjustRightInd w:val="0"/>
        <w:snapToGrid w:val="0"/>
        <w:spacing w:line="360" w:lineRule="auto"/>
        <w:ind w:right="2" w:rightChars="1"/>
        <w:jc w:val="center"/>
        <w:textAlignment w:val="baseline"/>
        <w:rPr>
          <w:rFonts w:hint="eastAsia" w:ascii="宋体" w:hAnsi="宋体"/>
          <w:b/>
          <w:color w:val="0000FF"/>
          <w:kern w:val="0"/>
          <w:sz w:val="36"/>
          <w:szCs w:val="36"/>
          <w:highlight w:val="cyan"/>
        </w:rPr>
      </w:pPr>
    </w:p>
    <w:p w14:paraId="3B4BF8B2">
      <w:pPr>
        <w:keepNext/>
        <w:keepLines w:val="0"/>
        <w:pageBreakBefore w:val="0"/>
        <w:widowControl w:val="0"/>
        <w:kinsoku w:val="0"/>
        <w:wordWrap/>
        <w:overflowPunct w:val="0"/>
        <w:topLinePunct w:val="0"/>
        <w:autoSpaceDE w:val="0"/>
        <w:autoSpaceDN w:val="0"/>
        <w:bidi w:val="0"/>
        <w:adjustRightInd w:val="0"/>
        <w:snapToGrid w:val="0"/>
        <w:spacing w:line="360" w:lineRule="auto"/>
        <w:ind w:right="2" w:rightChars="1"/>
        <w:jc w:val="center"/>
        <w:textAlignment w:val="baseline"/>
        <w:rPr>
          <w:rFonts w:hint="eastAsia" w:ascii="宋体" w:hAnsi="宋体"/>
          <w:b/>
          <w:color w:val="0000FF"/>
          <w:kern w:val="0"/>
          <w:sz w:val="36"/>
          <w:szCs w:val="36"/>
          <w:highlight w:val="cyan"/>
        </w:rPr>
      </w:pPr>
    </w:p>
    <w:p w14:paraId="167EAE95">
      <w:pPr>
        <w:keepNext/>
        <w:keepLines w:val="0"/>
        <w:pageBreakBefore w:val="0"/>
        <w:widowControl w:val="0"/>
        <w:kinsoku w:val="0"/>
        <w:wordWrap/>
        <w:overflowPunct w:val="0"/>
        <w:topLinePunct w:val="0"/>
        <w:autoSpaceDE w:val="0"/>
        <w:autoSpaceDN w:val="0"/>
        <w:bidi w:val="0"/>
        <w:ind w:firstLine="3092" w:firstLineChars="700"/>
        <w:rPr>
          <w:rFonts w:hint="eastAsia" w:ascii="仿宋" w:hAnsi="仿宋" w:eastAsia="仿宋" w:cs="仿宋"/>
          <w:b/>
          <w:bCs/>
          <w:color w:val="0C0C0C"/>
          <w:sz w:val="28"/>
          <w:szCs w:val="28"/>
          <w:highlight w:val="none"/>
          <w:lang w:val="en-US" w:eastAsia="zh-CN"/>
        </w:rPr>
      </w:pPr>
      <w:r>
        <w:rPr>
          <w:rFonts w:hint="eastAsia" w:ascii="仿宋" w:hAnsi="仿宋" w:eastAsia="仿宋" w:cs="仿宋"/>
          <w:b/>
          <w:bCs/>
          <w:color w:val="0C0C0C"/>
          <w:sz w:val="44"/>
          <w:szCs w:val="44"/>
          <w:highlight w:val="none"/>
        </w:rPr>
        <w:t>技术规格书</w:t>
      </w:r>
    </w:p>
    <w:p w14:paraId="506969A9">
      <w:pPr>
        <w:keepNext/>
        <w:keepLines w:val="0"/>
        <w:pageBreakBefore w:val="0"/>
        <w:widowControl w:val="0"/>
        <w:kinsoku w:val="0"/>
        <w:wordWrap/>
        <w:overflowPunct w:val="0"/>
        <w:topLinePunct w:val="0"/>
        <w:autoSpaceDE w:val="0"/>
        <w:autoSpaceDN w:val="0"/>
        <w:bidi w:val="0"/>
        <w:snapToGrid w:val="0"/>
        <w:spacing w:line="360" w:lineRule="auto"/>
        <w:ind w:right="2" w:rightChars="1" w:firstLine="904" w:firstLineChars="250"/>
        <w:rPr>
          <w:rFonts w:hint="default" w:ascii="宋体" w:hAnsi="宋体" w:eastAsia="宋体" w:cs="Times New Roman"/>
          <w:b/>
          <w:color w:val="0000FF"/>
          <w:kern w:val="0"/>
          <w:sz w:val="36"/>
          <w:szCs w:val="36"/>
          <w:highlight w:val="none"/>
          <w:lang w:val="en-US" w:eastAsia="zh-CN"/>
        </w:rPr>
      </w:pPr>
    </w:p>
    <w:p w14:paraId="774C4EC3">
      <w:pPr>
        <w:pStyle w:val="14"/>
        <w:keepNext/>
        <w:keepLines w:val="0"/>
        <w:pageBreakBefore w:val="0"/>
        <w:widowControl w:val="0"/>
        <w:kinsoku w:val="0"/>
        <w:wordWrap/>
        <w:overflowPunct w:val="0"/>
        <w:topLinePunct w:val="0"/>
        <w:autoSpaceDE w:val="0"/>
        <w:autoSpaceDN w:val="0"/>
        <w:bidi w:val="0"/>
        <w:ind w:left="0" w:leftChars="0" w:firstLine="0" w:firstLineChars="0"/>
        <w:rPr>
          <w:rFonts w:hint="default" w:eastAsia="宋体"/>
          <w:color w:val="0000FF"/>
          <w:highlight w:val="none"/>
          <w:lang w:val="en-US" w:eastAsia="zh-CN"/>
        </w:rPr>
      </w:pPr>
    </w:p>
    <w:p w14:paraId="6B7EC8F6">
      <w:pPr>
        <w:keepNext/>
        <w:keepLines w:val="0"/>
        <w:pageBreakBefore w:val="0"/>
        <w:widowControl w:val="0"/>
        <w:kinsoku w:val="0"/>
        <w:wordWrap/>
        <w:overflowPunct w:val="0"/>
        <w:topLinePunct w:val="0"/>
        <w:autoSpaceDE w:val="0"/>
        <w:autoSpaceDN w:val="0"/>
        <w:bidi w:val="0"/>
        <w:adjustRightInd w:val="0"/>
        <w:snapToGrid w:val="0"/>
        <w:spacing w:line="360" w:lineRule="auto"/>
        <w:ind w:right="2" w:rightChars="1"/>
        <w:jc w:val="center"/>
        <w:textAlignment w:val="baseline"/>
        <w:rPr>
          <w:rFonts w:hint="eastAsia" w:ascii="宋体" w:hAnsi="宋体"/>
          <w:b/>
          <w:color w:val="0000FF"/>
          <w:kern w:val="0"/>
          <w:sz w:val="36"/>
          <w:szCs w:val="36"/>
          <w:highlight w:val="none"/>
        </w:rPr>
      </w:pPr>
    </w:p>
    <w:p w14:paraId="58A56AB6">
      <w:pPr>
        <w:keepNext/>
        <w:keepLines w:val="0"/>
        <w:pageBreakBefore w:val="0"/>
        <w:widowControl w:val="0"/>
        <w:kinsoku w:val="0"/>
        <w:wordWrap/>
        <w:overflowPunct w:val="0"/>
        <w:topLinePunct w:val="0"/>
        <w:autoSpaceDE w:val="0"/>
        <w:autoSpaceDN w:val="0"/>
        <w:bidi w:val="0"/>
        <w:snapToGrid w:val="0"/>
        <w:spacing w:line="360" w:lineRule="auto"/>
        <w:ind w:right="2" w:rightChars="1" w:firstLine="703" w:firstLineChars="250"/>
        <w:rPr>
          <w:rFonts w:hint="eastAsia" w:ascii="宋体" w:hAnsi="宋体"/>
          <w:b/>
          <w:color w:val="0000FF"/>
          <w:sz w:val="28"/>
          <w:szCs w:val="28"/>
          <w:highlight w:val="none"/>
        </w:rPr>
      </w:pPr>
    </w:p>
    <w:p w14:paraId="23CF5367">
      <w:pPr>
        <w:keepNext/>
        <w:keepLines w:val="0"/>
        <w:pageBreakBefore w:val="0"/>
        <w:widowControl w:val="0"/>
        <w:kinsoku w:val="0"/>
        <w:wordWrap/>
        <w:overflowPunct w:val="0"/>
        <w:topLinePunct w:val="0"/>
        <w:autoSpaceDE w:val="0"/>
        <w:autoSpaceDN w:val="0"/>
        <w:bidi w:val="0"/>
        <w:snapToGrid w:val="0"/>
        <w:spacing w:line="360" w:lineRule="auto"/>
        <w:ind w:right="2" w:rightChars="1" w:firstLine="703" w:firstLineChars="250"/>
        <w:rPr>
          <w:rFonts w:hint="eastAsia" w:ascii="宋体" w:hAnsi="宋体"/>
          <w:b/>
          <w:color w:val="0000FF"/>
          <w:sz w:val="28"/>
          <w:szCs w:val="28"/>
          <w:highlight w:val="none"/>
        </w:rPr>
      </w:pPr>
    </w:p>
    <w:p w14:paraId="5324A0F2">
      <w:pPr>
        <w:keepNext/>
        <w:keepLines w:val="0"/>
        <w:pageBreakBefore w:val="0"/>
        <w:widowControl w:val="0"/>
        <w:kinsoku w:val="0"/>
        <w:wordWrap/>
        <w:overflowPunct w:val="0"/>
        <w:topLinePunct w:val="0"/>
        <w:autoSpaceDE w:val="0"/>
        <w:autoSpaceDN w:val="0"/>
        <w:bidi w:val="0"/>
        <w:snapToGrid w:val="0"/>
        <w:spacing w:line="360" w:lineRule="auto"/>
        <w:ind w:right="2" w:rightChars="1" w:firstLine="703" w:firstLineChars="250"/>
        <w:rPr>
          <w:rFonts w:hint="eastAsia" w:ascii="宋体" w:hAnsi="宋体"/>
          <w:b/>
          <w:color w:val="0000FF"/>
          <w:sz w:val="28"/>
          <w:szCs w:val="28"/>
          <w:highlight w:val="none"/>
        </w:rPr>
      </w:pPr>
    </w:p>
    <w:p w14:paraId="790F6762">
      <w:pPr>
        <w:keepNext/>
        <w:keepLines w:val="0"/>
        <w:pageBreakBefore w:val="0"/>
        <w:widowControl w:val="0"/>
        <w:kinsoku w:val="0"/>
        <w:wordWrap/>
        <w:overflowPunct w:val="0"/>
        <w:topLinePunct w:val="0"/>
        <w:autoSpaceDE w:val="0"/>
        <w:autoSpaceDN w:val="0"/>
        <w:bidi w:val="0"/>
        <w:snapToGrid w:val="0"/>
        <w:spacing w:line="360" w:lineRule="auto"/>
        <w:ind w:right="2" w:rightChars="1" w:firstLine="703" w:firstLineChars="250"/>
        <w:rPr>
          <w:rFonts w:hint="eastAsia" w:ascii="宋体" w:hAnsi="宋体"/>
          <w:b/>
          <w:color w:val="0000FF"/>
          <w:sz w:val="28"/>
          <w:szCs w:val="28"/>
          <w:highlight w:val="none"/>
        </w:rPr>
      </w:pPr>
    </w:p>
    <w:p w14:paraId="38C52349">
      <w:pPr>
        <w:keepNext/>
        <w:keepLines w:val="0"/>
        <w:pageBreakBefore w:val="0"/>
        <w:widowControl w:val="0"/>
        <w:kinsoku w:val="0"/>
        <w:wordWrap/>
        <w:overflowPunct w:val="0"/>
        <w:topLinePunct w:val="0"/>
        <w:autoSpaceDE w:val="0"/>
        <w:autoSpaceDN w:val="0"/>
        <w:bidi w:val="0"/>
        <w:snapToGrid w:val="0"/>
        <w:spacing w:line="360" w:lineRule="auto"/>
        <w:ind w:right="2" w:rightChars="1" w:firstLine="703" w:firstLineChars="250"/>
        <w:rPr>
          <w:rFonts w:hint="eastAsia" w:ascii="宋体" w:hAnsi="宋体"/>
          <w:b/>
          <w:color w:val="0C0C0C"/>
          <w:sz w:val="28"/>
          <w:szCs w:val="28"/>
          <w:highlight w:val="none"/>
        </w:rPr>
      </w:pPr>
    </w:p>
    <w:p w14:paraId="0E91A59C">
      <w:pPr>
        <w:keepNext/>
        <w:keepLines w:val="0"/>
        <w:pageBreakBefore w:val="0"/>
        <w:widowControl w:val="0"/>
        <w:kinsoku w:val="0"/>
        <w:wordWrap/>
        <w:overflowPunct w:val="0"/>
        <w:topLinePunct w:val="0"/>
        <w:autoSpaceDE w:val="0"/>
        <w:autoSpaceDN w:val="0"/>
        <w:bidi w:val="0"/>
        <w:snapToGrid w:val="0"/>
        <w:spacing w:line="360" w:lineRule="auto"/>
        <w:ind w:left="0" w:leftChars="0" w:right="2" w:rightChars="1" w:firstLine="1124" w:firstLineChars="400"/>
        <w:rPr>
          <w:rFonts w:hint="default" w:ascii="宋体" w:hAnsi="宋体" w:eastAsia="宋体"/>
          <w:b/>
          <w:color w:val="0C0C0C"/>
          <w:sz w:val="28"/>
          <w:szCs w:val="28"/>
          <w:highlight w:val="none"/>
          <w:lang w:val="en-US" w:eastAsia="zh-CN"/>
        </w:rPr>
      </w:pPr>
      <w:r>
        <w:rPr>
          <w:rFonts w:hint="eastAsia" w:ascii="宋体" w:hAnsi="宋体"/>
          <w:b/>
          <w:color w:val="0C0C0C"/>
          <w:sz w:val="28"/>
          <w:szCs w:val="28"/>
          <w:highlight w:val="none"/>
        </w:rPr>
        <w:t>甲方：</w:t>
      </w:r>
      <w:r>
        <w:rPr>
          <w:rFonts w:hint="eastAsia" w:ascii="宋体" w:hAnsi="宋体"/>
          <w:b/>
          <w:color w:val="0C0C0C"/>
          <w:sz w:val="28"/>
          <w:szCs w:val="28"/>
          <w:highlight w:val="none"/>
          <w:lang w:val="en-US" w:eastAsia="zh-CN"/>
        </w:rPr>
        <w:t>酒钢（集团）宏联自控有限责任公司</w:t>
      </w:r>
    </w:p>
    <w:p w14:paraId="3096B19B">
      <w:pPr>
        <w:keepNext/>
        <w:keepLines w:val="0"/>
        <w:pageBreakBefore w:val="0"/>
        <w:widowControl w:val="0"/>
        <w:kinsoku w:val="0"/>
        <w:wordWrap/>
        <w:overflowPunct w:val="0"/>
        <w:topLinePunct w:val="0"/>
        <w:autoSpaceDE w:val="0"/>
        <w:autoSpaceDN w:val="0"/>
        <w:bidi w:val="0"/>
        <w:snapToGrid w:val="0"/>
        <w:spacing w:line="360" w:lineRule="auto"/>
        <w:ind w:right="2" w:rightChars="1"/>
        <w:rPr>
          <w:rFonts w:hint="eastAsia" w:ascii="宋体" w:hAnsi="宋体"/>
          <w:b/>
          <w:color w:val="0C0C0C"/>
          <w:sz w:val="28"/>
          <w:szCs w:val="28"/>
          <w:highlight w:val="none"/>
        </w:rPr>
      </w:pPr>
    </w:p>
    <w:p w14:paraId="42D1C2A8">
      <w:pPr>
        <w:keepNext/>
        <w:keepLines w:val="0"/>
        <w:pageBreakBefore w:val="0"/>
        <w:widowControl w:val="0"/>
        <w:kinsoku w:val="0"/>
        <w:wordWrap/>
        <w:overflowPunct w:val="0"/>
        <w:topLinePunct w:val="0"/>
        <w:autoSpaceDE w:val="0"/>
        <w:autoSpaceDN w:val="0"/>
        <w:bidi w:val="0"/>
        <w:snapToGrid w:val="0"/>
        <w:spacing w:line="360" w:lineRule="auto"/>
        <w:ind w:left="0" w:leftChars="0" w:right="2" w:rightChars="1" w:firstLine="1124" w:firstLineChars="400"/>
        <w:rPr>
          <w:rFonts w:hint="eastAsia" w:ascii="宋体" w:hAnsi="宋体"/>
          <w:b/>
          <w:color w:val="0C0C0C"/>
          <w:sz w:val="28"/>
          <w:szCs w:val="28"/>
          <w:highlight w:val="none"/>
        </w:rPr>
      </w:pPr>
      <w:r>
        <w:rPr>
          <w:rFonts w:hint="eastAsia" w:ascii="宋体" w:hAnsi="宋体"/>
          <w:b/>
          <w:color w:val="0C0C0C"/>
          <w:sz w:val="28"/>
          <w:szCs w:val="28"/>
          <w:highlight w:val="none"/>
        </w:rPr>
        <w:t>乙方：</w:t>
      </w:r>
    </w:p>
    <w:p w14:paraId="32B170AE">
      <w:pPr>
        <w:keepNext/>
        <w:keepLines w:val="0"/>
        <w:pageBreakBefore w:val="0"/>
        <w:widowControl w:val="0"/>
        <w:kinsoku w:val="0"/>
        <w:wordWrap/>
        <w:overflowPunct w:val="0"/>
        <w:topLinePunct w:val="0"/>
        <w:autoSpaceDE w:val="0"/>
        <w:autoSpaceDN w:val="0"/>
        <w:bidi w:val="0"/>
        <w:spacing w:before="63" w:line="227" w:lineRule="auto"/>
        <w:ind w:left="4117"/>
        <w:rPr>
          <w:rFonts w:ascii="宋体" w:hAnsi="宋体" w:eastAsia="宋体" w:cs="宋体"/>
          <w:color w:val="0000FF"/>
          <w:sz w:val="31"/>
          <w:szCs w:val="31"/>
          <w:highlight w:val="cyan"/>
        </w:rPr>
      </w:pPr>
    </w:p>
    <w:p w14:paraId="75CD84B1">
      <w:pPr>
        <w:spacing w:line="360" w:lineRule="auto"/>
        <w:jc w:val="center"/>
        <w:rPr>
          <w:rFonts w:hint="eastAsia" w:ascii="宋体" w:hAnsi="宋体" w:eastAsia="宋体" w:cs="Times New Roman"/>
          <w:b/>
          <w:sz w:val="36"/>
          <w:szCs w:val="36"/>
          <w:highlight w:val="cyan"/>
          <w:lang w:val="en-US" w:eastAsia="zh-CN"/>
        </w:rPr>
      </w:pPr>
    </w:p>
    <w:p w14:paraId="65B79F67">
      <w:pPr>
        <w:spacing w:line="360" w:lineRule="auto"/>
        <w:rPr>
          <w:rFonts w:hint="eastAsia" w:ascii="宋体" w:hAnsi="宋体"/>
          <w:b/>
          <w:bCs/>
          <w:sz w:val="24"/>
          <w:highlight w:val="cyan"/>
        </w:rPr>
      </w:pPr>
    </w:p>
    <w:p w14:paraId="2674F851">
      <w:pPr>
        <w:spacing w:line="360" w:lineRule="auto"/>
        <w:ind w:firstLine="602" w:firstLineChars="250"/>
        <w:rPr>
          <w:rFonts w:hint="eastAsia" w:ascii="宋体" w:hAnsi="宋体"/>
          <w:b/>
          <w:bCs/>
          <w:sz w:val="24"/>
          <w:highlight w:val="cyan"/>
        </w:rPr>
      </w:pPr>
    </w:p>
    <w:p w14:paraId="3974C1FC">
      <w:pPr>
        <w:spacing w:line="360" w:lineRule="auto"/>
        <w:ind w:firstLine="602" w:firstLineChars="250"/>
        <w:rPr>
          <w:rFonts w:hint="eastAsia" w:ascii="宋体" w:hAnsi="宋体"/>
          <w:b/>
          <w:bCs/>
          <w:sz w:val="24"/>
          <w:highlight w:val="cyan"/>
        </w:rPr>
      </w:pPr>
    </w:p>
    <w:p w14:paraId="5D4AB904">
      <w:pPr>
        <w:pStyle w:val="29"/>
        <w:numPr>
          <w:ilvl w:val="0"/>
          <w:numId w:val="0"/>
        </w:numPr>
        <w:ind w:firstLine="4481" w:firstLineChars="1200"/>
        <w:jc w:val="left"/>
        <w:rPr>
          <w:rFonts w:hint="eastAsia" w:ascii="宋体" w:hAnsi="宋体" w:eastAsia="宋体" w:cs="宋体"/>
          <w:color w:val="auto"/>
          <w:kern w:val="2"/>
          <w:sz w:val="36"/>
          <w:szCs w:val="36"/>
          <w:highlight w:val="none"/>
          <w:lang w:val="zh-CN" w:eastAsia="zh-CN" w:bidi="ar-SA"/>
        </w:rPr>
      </w:pPr>
      <w:r>
        <w:rPr>
          <w:rFonts w:hint="eastAsia" w:ascii="宋体" w:hAnsi="宋体" w:eastAsia="宋体" w:cs="宋体"/>
          <w:color w:val="auto"/>
          <w:kern w:val="2"/>
          <w:sz w:val="36"/>
          <w:szCs w:val="36"/>
          <w:highlight w:val="none"/>
          <w:lang w:val="zh-CN" w:eastAsia="zh-CN" w:bidi="ar-SA"/>
        </w:rPr>
        <w:t>目 录</w:t>
      </w:r>
    </w:p>
    <w:p w14:paraId="3CDAA05A">
      <w:pPr>
        <w:adjustRightInd w:val="0"/>
        <w:snapToGrid w:val="0"/>
        <w:spacing w:line="560" w:lineRule="exact"/>
        <w:ind w:firstLine="640" w:firstLineChars="200"/>
        <w:rPr>
          <w:rFonts w:hint="eastAsia" w:ascii="宋体" w:hAnsi="宋体" w:eastAsia="宋体" w:cs="宋体"/>
          <w:sz w:val="32"/>
          <w:szCs w:val="32"/>
          <w:highlight w:val="none"/>
          <w:lang w:val="zh-CN" w:eastAsia="zh-CN"/>
        </w:rPr>
      </w:pPr>
    </w:p>
    <w:p w14:paraId="5948E177">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fldChar w:fldCharType="begin"/>
      </w:r>
      <w:r>
        <w:rPr>
          <w:rFonts w:hint="eastAsia" w:ascii="宋体" w:hAnsi="宋体" w:eastAsia="宋体" w:cs="宋体"/>
          <w:sz w:val="32"/>
          <w:szCs w:val="32"/>
          <w:highlight w:val="none"/>
          <w:lang w:val="en-US" w:eastAsia="zh-CN"/>
        </w:rPr>
        <w:instrText xml:space="preserve"> TOC \o "1-3" \h \z \u </w:instrText>
      </w:r>
      <w:r>
        <w:rPr>
          <w:rFonts w:hint="eastAsia" w:ascii="宋体" w:hAnsi="宋体" w:eastAsia="宋体" w:cs="宋体"/>
          <w:sz w:val="32"/>
          <w:szCs w:val="32"/>
          <w:highlight w:val="none"/>
          <w:lang w:val="en-US" w:eastAsia="zh-CN"/>
        </w:rPr>
        <w:fldChar w:fldCharType="separate"/>
      </w:r>
      <w:r>
        <w:rPr>
          <w:rFonts w:hint="eastAsia" w:ascii="宋体" w:hAnsi="宋体" w:eastAsia="宋体" w:cs="宋体"/>
          <w:sz w:val="32"/>
          <w:szCs w:val="32"/>
          <w:highlight w:val="none"/>
          <w:lang w:val="en-US" w:eastAsia="zh-CN"/>
        </w:rPr>
        <w:t>第1条 总则</w:t>
      </w:r>
    </w:p>
    <w:p w14:paraId="7937B7BC">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第2条 引用标准</w:t>
      </w:r>
    </w:p>
    <w:p w14:paraId="02E64DE1">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第3条 主要供货范围</w:t>
      </w:r>
    </w:p>
    <w:p w14:paraId="1E54CD52">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第4条 技术要求</w:t>
      </w:r>
    </w:p>
    <w:p w14:paraId="3BE1CB83">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第5条 检验与验收</w:t>
      </w:r>
    </w:p>
    <w:p w14:paraId="271D08FA">
      <w:pPr>
        <w:adjustRightInd w:val="0"/>
        <w:snapToGrid w:val="0"/>
        <w:spacing w:line="560" w:lineRule="exact"/>
        <w:ind w:firstLine="640" w:firstLineChars="200"/>
        <w:rPr>
          <w:rFonts w:hint="eastAsia" w:ascii="宋体" w:hAnsi="宋体"/>
          <w:b/>
          <w:bCs/>
          <w:sz w:val="24"/>
          <w:highlight w:val="none"/>
        </w:rPr>
      </w:pPr>
      <w:r>
        <w:rPr>
          <w:rFonts w:hint="eastAsia" w:ascii="宋体" w:hAnsi="宋体" w:eastAsia="宋体" w:cs="宋体"/>
          <w:sz w:val="32"/>
          <w:szCs w:val="32"/>
          <w:highlight w:val="none"/>
          <w:lang w:val="en-US" w:eastAsia="zh-CN"/>
        </w:rPr>
        <w:t>第6条 包装与运输</w:t>
      </w:r>
    </w:p>
    <w:p w14:paraId="0FFDFAC3">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第7条 售后服务</w:t>
      </w:r>
    </w:p>
    <w:p w14:paraId="2079117A">
      <w:pPr>
        <w:spacing w:line="360" w:lineRule="auto"/>
        <w:ind w:firstLine="640" w:firstLineChars="200"/>
        <w:rPr>
          <w:rFonts w:hint="eastAsia" w:ascii="宋体" w:hAnsi="宋体" w:eastAsia="宋体" w:cs="宋体"/>
          <w:sz w:val="32"/>
          <w:szCs w:val="32"/>
          <w:highlight w:val="none"/>
          <w:lang w:val="en-US" w:eastAsia="zh-CN"/>
        </w:rPr>
      </w:pPr>
      <w:r>
        <w:rPr>
          <w:rFonts w:hint="eastAsia" w:ascii="宋体" w:hAnsi="宋体" w:eastAsia="宋体" w:cs="宋体"/>
          <w:sz w:val="32"/>
          <w:szCs w:val="32"/>
          <w:highlight w:val="none"/>
          <w:lang w:val="en-US" w:eastAsia="zh-CN"/>
        </w:rPr>
        <w:t>第8条 交货时间及地点</w:t>
      </w:r>
    </w:p>
    <w:p w14:paraId="45B9451C">
      <w:pPr>
        <w:adjustRightInd w:val="0"/>
        <w:snapToGrid w:val="0"/>
        <w:spacing w:line="560" w:lineRule="exact"/>
        <w:ind w:firstLine="640" w:firstLineChars="200"/>
        <w:rPr>
          <w:rFonts w:hint="eastAsia" w:ascii="宋体" w:hAnsi="宋体" w:cs="宋体"/>
          <w:sz w:val="32"/>
          <w:szCs w:val="32"/>
          <w:highlight w:val="none"/>
          <w:lang w:val="en-US" w:eastAsia="zh-CN"/>
        </w:rPr>
      </w:pPr>
      <w:r>
        <w:rPr>
          <w:rFonts w:hint="eastAsia" w:ascii="宋体" w:hAnsi="宋体" w:eastAsia="宋体" w:cs="宋体"/>
          <w:sz w:val="32"/>
          <w:szCs w:val="32"/>
          <w:highlight w:val="none"/>
          <w:lang w:val="en-US" w:eastAsia="zh-CN"/>
        </w:rPr>
        <w:t>第</w:t>
      </w:r>
      <w:r>
        <w:rPr>
          <w:rFonts w:hint="eastAsia" w:ascii="宋体" w:hAnsi="宋体" w:cs="宋体"/>
          <w:sz w:val="32"/>
          <w:szCs w:val="32"/>
          <w:highlight w:val="none"/>
          <w:lang w:val="en-US" w:eastAsia="zh-CN"/>
        </w:rPr>
        <w:t>9</w:t>
      </w:r>
      <w:r>
        <w:rPr>
          <w:rFonts w:hint="eastAsia" w:ascii="宋体" w:hAnsi="宋体" w:eastAsia="宋体" w:cs="宋体"/>
          <w:sz w:val="32"/>
          <w:szCs w:val="32"/>
          <w:highlight w:val="none"/>
          <w:lang w:val="en-US" w:eastAsia="zh-CN"/>
        </w:rPr>
        <w:t>条 违约赔偿及质保金</w:t>
      </w:r>
    </w:p>
    <w:p w14:paraId="29F3805D">
      <w:pPr>
        <w:adjustRightInd w:val="0"/>
        <w:snapToGrid w:val="0"/>
        <w:spacing w:line="560" w:lineRule="exact"/>
        <w:ind w:firstLine="640" w:firstLineChars="200"/>
        <w:rPr>
          <w:rFonts w:hint="default" w:ascii="宋体" w:hAnsi="宋体" w:cs="宋体"/>
          <w:sz w:val="32"/>
          <w:szCs w:val="32"/>
          <w:highlight w:val="none"/>
          <w:lang w:val="en-US" w:eastAsia="zh-CN"/>
        </w:rPr>
      </w:pPr>
      <w:r>
        <w:rPr>
          <w:rFonts w:hint="eastAsia" w:ascii="宋体" w:hAnsi="宋体" w:eastAsia="宋体" w:cs="宋体"/>
          <w:sz w:val="32"/>
          <w:szCs w:val="32"/>
          <w:highlight w:val="none"/>
          <w:lang w:val="en-US" w:eastAsia="zh-CN"/>
        </w:rPr>
        <w:t>第</w:t>
      </w:r>
      <w:r>
        <w:rPr>
          <w:rFonts w:hint="eastAsia" w:ascii="宋体" w:hAnsi="宋体" w:cs="宋体"/>
          <w:sz w:val="32"/>
          <w:szCs w:val="32"/>
          <w:highlight w:val="none"/>
          <w:lang w:val="en-US" w:eastAsia="zh-CN"/>
        </w:rPr>
        <w:t>10</w:t>
      </w:r>
      <w:r>
        <w:rPr>
          <w:rFonts w:hint="eastAsia" w:ascii="宋体" w:hAnsi="宋体" w:eastAsia="宋体" w:cs="宋体"/>
          <w:sz w:val="32"/>
          <w:szCs w:val="32"/>
          <w:highlight w:val="none"/>
          <w:lang w:val="en-US" w:eastAsia="zh-CN"/>
        </w:rPr>
        <w:t>条 其他</w:t>
      </w:r>
    </w:p>
    <w:p w14:paraId="117C5330">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666998BF">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026B5037">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69CFC1AB">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73BCC426">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278B4665">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4DDEDF12">
      <w:pPr>
        <w:adjustRightInd w:val="0"/>
        <w:snapToGrid w:val="0"/>
        <w:spacing w:line="560" w:lineRule="exact"/>
        <w:ind w:firstLine="640" w:firstLineChars="200"/>
        <w:rPr>
          <w:rFonts w:hint="eastAsia" w:ascii="宋体" w:hAnsi="宋体" w:eastAsia="宋体" w:cs="宋体"/>
          <w:sz w:val="32"/>
          <w:szCs w:val="32"/>
          <w:highlight w:val="none"/>
          <w:lang w:val="en-US" w:eastAsia="zh-CN"/>
        </w:rPr>
      </w:pPr>
    </w:p>
    <w:p w14:paraId="75708602">
      <w:pPr>
        <w:adjustRightInd w:val="0"/>
        <w:snapToGrid w:val="0"/>
        <w:spacing w:line="560" w:lineRule="exact"/>
        <w:rPr>
          <w:rFonts w:hint="eastAsia" w:ascii="宋体" w:hAnsi="宋体" w:eastAsia="宋体" w:cs="宋体"/>
          <w:sz w:val="32"/>
          <w:szCs w:val="32"/>
          <w:highlight w:val="none"/>
          <w:lang w:val="en-US" w:eastAsia="zh-CN"/>
        </w:rPr>
      </w:pPr>
    </w:p>
    <w:p w14:paraId="0260F2B8">
      <w:pPr>
        <w:spacing w:line="360" w:lineRule="auto"/>
        <w:ind w:firstLine="800" w:firstLineChars="250"/>
        <w:rPr>
          <w:rFonts w:hint="eastAsia" w:ascii="宋体" w:hAnsi="宋体" w:eastAsia="宋体" w:cs="宋体"/>
          <w:sz w:val="32"/>
          <w:szCs w:val="32"/>
          <w:highlight w:val="cyan"/>
          <w:lang w:val="zh-CN" w:eastAsia="zh-CN"/>
        </w:rPr>
      </w:pPr>
      <w:r>
        <w:rPr>
          <w:rFonts w:hint="eastAsia" w:ascii="宋体" w:hAnsi="宋体" w:eastAsia="宋体" w:cs="宋体"/>
          <w:sz w:val="32"/>
          <w:szCs w:val="32"/>
          <w:highlight w:val="none"/>
          <w:lang w:val="zh-CN" w:eastAsia="zh-CN"/>
        </w:rPr>
        <w:fldChar w:fldCharType="end"/>
      </w:r>
    </w:p>
    <w:p w14:paraId="048559DA">
      <w:pPr>
        <w:spacing w:line="360" w:lineRule="auto"/>
        <w:ind w:firstLine="602" w:firstLineChars="250"/>
        <w:rPr>
          <w:rFonts w:hint="eastAsia" w:ascii="宋体" w:hAnsi="宋体"/>
          <w:b/>
          <w:bCs/>
          <w:sz w:val="24"/>
          <w:highlight w:val="none"/>
        </w:rPr>
      </w:pPr>
      <w:r>
        <w:rPr>
          <w:rFonts w:hint="eastAsia" w:ascii="宋体" w:hAnsi="宋体"/>
          <w:b/>
          <w:bCs/>
          <w:sz w:val="24"/>
          <w:highlight w:val="none"/>
          <w:lang w:val="en-US" w:eastAsia="zh-CN"/>
        </w:rPr>
        <w:t>一</w:t>
      </w:r>
      <w:r>
        <w:rPr>
          <w:rFonts w:hint="eastAsia" w:ascii="宋体" w:hAnsi="宋体"/>
          <w:b/>
          <w:bCs/>
          <w:sz w:val="24"/>
          <w:highlight w:val="none"/>
        </w:rPr>
        <w:t>. 总则</w:t>
      </w:r>
    </w:p>
    <w:p w14:paraId="12F709F0">
      <w:pPr>
        <w:spacing w:line="360" w:lineRule="auto"/>
        <w:ind w:firstLine="600" w:firstLineChars="250"/>
        <w:rPr>
          <w:rFonts w:hint="eastAsia" w:ascii="宋体" w:hAnsi="宋体" w:eastAsia="宋体" w:cs="Times New Roman"/>
          <w:b w:val="0"/>
          <w:bCs w:val="0"/>
          <w:sz w:val="24"/>
          <w:highlight w:val="none"/>
          <w:lang w:val="en-US" w:eastAsia="zh-CN"/>
        </w:rPr>
      </w:pPr>
      <w:r>
        <w:rPr>
          <w:rFonts w:hint="eastAsia" w:ascii="宋体" w:hAnsi="宋体" w:eastAsia="宋体" w:cs="Times New Roman"/>
          <w:b w:val="0"/>
          <w:bCs w:val="0"/>
          <w:sz w:val="24"/>
          <w:highlight w:val="none"/>
          <w:lang w:val="en-US" w:eastAsia="zh-CN"/>
        </w:rPr>
        <w:t>1.1本技术规格书对酒钢宏联自控公司矿用一般型成套低压配电柜项目设备制作使用提出有关技术要求。</w:t>
      </w:r>
    </w:p>
    <w:p w14:paraId="1823947B">
      <w:pPr>
        <w:spacing w:line="360" w:lineRule="auto"/>
        <w:ind w:firstLine="600" w:firstLineChars="250"/>
        <w:rPr>
          <w:rFonts w:hint="eastAsia" w:ascii="宋体" w:hAnsi="宋体" w:eastAsia="宋体" w:cs="Times New Roman"/>
          <w:b w:val="0"/>
          <w:bCs w:val="0"/>
          <w:sz w:val="24"/>
          <w:highlight w:val="none"/>
          <w:lang w:val="en-US" w:eastAsia="zh-CN"/>
        </w:rPr>
      </w:pPr>
      <w:r>
        <w:rPr>
          <w:rFonts w:hint="eastAsia" w:ascii="宋体" w:hAnsi="宋体" w:eastAsia="宋体" w:cs="Times New Roman"/>
          <w:b w:val="0"/>
          <w:bCs w:val="0"/>
          <w:sz w:val="24"/>
          <w:highlight w:val="none"/>
          <w:lang w:val="en-US" w:eastAsia="zh-CN"/>
        </w:rPr>
        <w:t>1.2本技术规格书提出的是最低限度的技术要求，并未对一切技术细节作出规定，也未充分引述有关标准和规范的条文，乙方应提供符合本技术规格书和有关工业标准的优质产品。</w:t>
      </w:r>
    </w:p>
    <w:p w14:paraId="77D48621">
      <w:pPr>
        <w:spacing w:line="360" w:lineRule="auto"/>
        <w:ind w:firstLine="600" w:firstLineChars="250"/>
        <w:rPr>
          <w:rFonts w:hint="eastAsia" w:ascii="宋体" w:hAnsi="宋体" w:eastAsia="宋体" w:cs="Times New Roman"/>
          <w:b w:val="0"/>
          <w:bCs w:val="0"/>
          <w:sz w:val="24"/>
          <w:highlight w:val="none"/>
          <w:lang w:val="en-US" w:eastAsia="zh-CN"/>
        </w:rPr>
      </w:pPr>
      <w:r>
        <w:rPr>
          <w:rFonts w:hint="eastAsia" w:ascii="宋体" w:hAnsi="宋体" w:eastAsia="宋体" w:cs="Times New Roman"/>
          <w:b w:val="0"/>
          <w:bCs w:val="0"/>
          <w:sz w:val="24"/>
          <w:highlight w:val="none"/>
          <w:lang w:val="en-US" w:eastAsia="zh-CN"/>
        </w:rPr>
        <w:t>1.3如果乙方没有以书面形式对本技术规格书的条文提出异议，则意味着乙方提供的设备完全符合本技术规格书的要求。</w:t>
      </w:r>
    </w:p>
    <w:p w14:paraId="2B9CB857">
      <w:pPr>
        <w:spacing w:line="360" w:lineRule="auto"/>
        <w:ind w:firstLine="600" w:firstLineChars="250"/>
        <w:rPr>
          <w:rFonts w:hint="eastAsia" w:ascii="宋体" w:hAnsi="宋体" w:eastAsia="宋体" w:cs="Times New Roman"/>
          <w:b w:val="0"/>
          <w:bCs w:val="0"/>
          <w:sz w:val="24"/>
          <w:highlight w:val="none"/>
          <w:lang w:val="en-US" w:eastAsia="zh-CN"/>
        </w:rPr>
      </w:pPr>
      <w:r>
        <w:rPr>
          <w:rFonts w:hint="eastAsia" w:ascii="宋体" w:hAnsi="宋体" w:eastAsia="宋体" w:cs="Times New Roman"/>
          <w:b w:val="0"/>
          <w:bCs w:val="0"/>
          <w:sz w:val="24"/>
          <w:highlight w:val="none"/>
          <w:lang w:val="en-US" w:eastAsia="zh-CN"/>
        </w:rPr>
        <w:t>1.4本技术规格书所使用的标准如遇与乙方所执行的标准发生矛盾时，按较高标准执行。</w:t>
      </w:r>
    </w:p>
    <w:p w14:paraId="4A50885A">
      <w:pPr>
        <w:spacing w:line="360" w:lineRule="auto"/>
        <w:ind w:firstLine="600" w:firstLineChars="250"/>
        <w:rPr>
          <w:rFonts w:hint="eastAsia" w:ascii="宋体" w:hAnsi="宋体" w:eastAsia="宋体" w:cs="Times New Roman"/>
          <w:b w:val="0"/>
          <w:bCs w:val="0"/>
          <w:sz w:val="24"/>
          <w:highlight w:val="none"/>
          <w:lang w:val="en-US" w:eastAsia="zh-CN"/>
        </w:rPr>
      </w:pPr>
      <w:r>
        <w:rPr>
          <w:rFonts w:hint="eastAsia" w:ascii="宋体" w:hAnsi="宋体" w:eastAsia="宋体" w:cs="Times New Roman"/>
          <w:b w:val="0"/>
          <w:bCs w:val="0"/>
          <w:sz w:val="24"/>
          <w:highlight w:val="none"/>
          <w:lang w:val="en-US" w:eastAsia="zh-CN"/>
        </w:rPr>
        <w:t>1.5在合同签订后，甲方有权提出因标准、规程和规范发生变化而产生的修订要求，具体事宜由甲、乙双方协商确定。</w:t>
      </w:r>
    </w:p>
    <w:p w14:paraId="3C54BA25">
      <w:pPr>
        <w:spacing w:line="360" w:lineRule="auto"/>
        <w:ind w:firstLine="600" w:firstLineChars="250"/>
        <w:rPr>
          <w:rFonts w:hint="eastAsia" w:ascii="宋体" w:hAnsi="宋体" w:eastAsia="宋体" w:cs="Times New Roman"/>
          <w:b w:val="0"/>
          <w:bCs w:val="0"/>
          <w:sz w:val="24"/>
          <w:highlight w:val="none"/>
          <w:lang w:val="en-US" w:eastAsia="zh-CN"/>
        </w:rPr>
      </w:pPr>
      <w:r>
        <w:rPr>
          <w:rFonts w:hint="eastAsia" w:ascii="宋体" w:hAnsi="宋体" w:eastAsia="宋体" w:cs="Times New Roman"/>
          <w:b w:val="0"/>
          <w:bCs w:val="0"/>
          <w:sz w:val="24"/>
          <w:highlight w:val="none"/>
          <w:lang w:val="en-US" w:eastAsia="zh-CN"/>
        </w:rPr>
        <w:t>1.6所有开关柜及回路具体数量，元器件配置，以设计院最终订货图为准。</w:t>
      </w:r>
    </w:p>
    <w:p w14:paraId="646EED01">
      <w:pPr>
        <w:spacing w:line="360" w:lineRule="auto"/>
        <w:ind w:firstLine="600" w:firstLineChars="250"/>
        <w:rPr>
          <w:rFonts w:hint="eastAsia" w:ascii="宋体" w:hAnsi="宋体" w:eastAsia="宋体" w:cs="Times New Roman"/>
          <w:b w:val="0"/>
          <w:bCs w:val="0"/>
          <w:sz w:val="24"/>
          <w:highlight w:val="none"/>
          <w:lang w:val="en-US" w:eastAsia="zh-CN"/>
        </w:rPr>
      </w:pPr>
      <w:r>
        <w:rPr>
          <w:rFonts w:hint="eastAsia" w:ascii="宋体" w:hAnsi="宋体" w:eastAsia="宋体" w:cs="Times New Roman"/>
          <w:b w:val="0"/>
          <w:bCs w:val="0"/>
          <w:sz w:val="24"/>
          <w:highlight w:val="none"/>
          <w:lang w:val="en-US" w:eastAsia="zh-CN"/>
        </w:rPr>
        <w:t>1.7本技术规格书经甲、乙双方确认后作为订货合同的技术附件，与合同正文具有同等效力。</w:t>
      </w:r>
    </w:p>
    <w:p w14:paraId="38F13D57">
      <w:pPr>
        <w:spacing w:line="360" w:lineRule="auto"/>
        <w:ind w:firstLine="600" w:firstLineChars="250"/>
        <w:rPr>
          <w:rFonts w:hint="eastAsia" w:ascii="宋体" w:hAnsi="宋体"/>
          <w:b/>
          <w:bCs/>
          <w:sz w:val="24"/>
          <w:highlight w:val="none"/>
        </w:rPr>
      </w:pPr>
      <w:r>
        <w:rPr>
          <w:rFonts w:hint="eastAsia" w:ascii="宋体" w:hAnsi="宋体" w:eastAsia="宋体" w:cs="Times New Roman"/>
          <w:b w:val="0"/>
          <w:bCs w:val="0"/>
          <w:sz w:val="24"/>
          <w:highlight w:val="none"/>
          <w:lang w:val="en-US" w:eastAsia="zh-CN"/>
        </w:rPr>
        <w:t>1.8乙方应具有ISO.9001质量保证体系认证证书，具有ISO.14001环境管理体系认证证书及具有AAA级资信等级证书或银行出具A级信用等级证书，并具有相应的试验检测手段，确保提供的设备是质量可靠的、全新的，并符合工艺条件、满足长期使用要求的。</w:t>
      </w:r>
    </w:p>
    <w:p w14:paraId="4BBB037E">
      <w:pPr>
        <w:spacing w:line="360" w:lineRule="auto"/>
        <w:ind w:firstLine="602" w:firstLineChars="250"/>
        <w:rPr>
          <w:rFonts w:hint="eastAsia" w:ascii="宋体" w:hAnsi="宋体"/>
          <w:b/>
          <w:bCs/>
          <w:sz w:val="24"/>
          <w:highlight w:val="none"/>
        </w:rPr>
      </w:pPr>
      <w:r>
        <w:rPr>
          <w:rFonts w:hint="eastAsia" w:ascii="宋体" w:hAnsi="宋体"/>
          <w:b/>
          <w:bCs/>
          <w:sz w:val="24"/>
          <w:highlight w:val="none"/>
          <w:lang w:val="en-US" w:eastAsia="zh-CN"/>
        </w:rPr>
        <w:t>二</w:t>
      </w:r>
      <w:r>
        <w:rPr>
          <w:rFonts w:hint="eastAsia" w:ascii="宋体" w:hAnsi="宋体"/>
          <w:b/>
          <w:bCs/>
          <w:sz w:val="24"/>
          <w:highlight w:val="none"/>
        </w:rPr>
        <w:t>. 引用标准</w:t>
      </w:r>
    </w:p>
    <w:p w14:paraId="1A13DDCE">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rPr>
        <w:t>供货商应遵循但不限于以下标准：</w:t>
      </w:r>
    </w:p>
    <w:p w14:paraId="23B81842">
      <w:pPr>
        <w:spacing w:line="360" w:lineRule="auto"/>
        <w:ind w:firstLine="600" w:firstLineChars="250"/>
        <w:rPr>
          <w:rFonts w:hint="eastAsia" w:ascii="宋体" w:hAnsi="宋体" w:eastAsia="宋体" w:cs="Times New Roman"/>
          <w:b w:val="0"/>
          <w:bCs w:val="0"/>
          <w:sz w:val="24"/>
          <w:highlight w:val="none"/>
        </w:rPr>
      </w:pPr>
      <w:r>
        <w:rPr>
          <w:rFonts w:hint="eastAsia" w:ascii="宋体" w:hAnsi="宋体" w:eastAsia="宋体" w:cs="Times New Roman"/>
          <w:b w:val="0"/>
          <w:bCs w:val="0"/>
          <w:sz w:val="24"/>
          <w:highlight w:val="none"/>
        </w:rPr>
        <w:t>GB/T 12173-2008</w:t>
      </w:r>
      <w:r>
        <w:rPr>
          <w:rFonts w:hint="default" w:ascii="宋体" w:hAnsi="宋体" w:eastAsia="宋体" w:cs="Times New Roman"/>
          <w:b w:val="0"/>
          <w:bCs w:val="0"/>
          <w:sz w:val="24"/>
          <w:highlight w:val="none"/>
        </w:rPr>
        <w:t>矿用一般型电气设备</w:t>
      </w:r>
    </w:p>
    <w:p w14:paraId="4785E153">
      <w:pPr>
        <w:pStyle w:val="4"/>
        <w:keepNext w:val="0"/>
        <w:keepLines w:val="0"/>
        <w:widowControl/>
        <w:numPr>
          <w:ilvl w:val="0"/>
          <w:numId w:val="0"/>
        </w:numPr>
        <w:suppressLineNumbers w:val="0"/>
        <w:shd w:val="clear" w:color="auto" w:fill="FFFFFF"/>
        <w:ind w:leftChars="0" w:right="210" w:rightChars="100" w:firstLine="480" w:firstLineChars="200"/>
        <w:rPr>
          <w:rFonts w:hint="eastAsia" w:ascii="宋体" w:hAnsi="宋体"/>
          <w:b w:val="0"/>
          <w:bCs w:val="0"/>
          <w:sz w:val="24"/>
          <w:highlight w:val="none"/>
        </w:rPr>
      </w:pPr>
      <w:r>
        <w:rPr>
          <w:rFonts w:hint="eastAsia" w:ascii="宋体" w:hAnsi="宋体"/>
          <w:b w:val="0"/>
          <w:bCs w:val="0"/>
          <w:sz w:val="24"/>
          <w:highlight w:val="none"/>
        </w:rPr>
        <w:t xml:space="preserve">· </w:t>
      </w:r>
      <w:r>
        <w:rPr>
          <w:rFonts w:hint="eastAsia" w:ascii="宋体" w:hAnsi="宋体" w:eastAsia="宋体" w:cs="Times New Roman"/>
          <w:b w:val="0"/>
          <w:bCs w:val="0"/>
          <w:sz w:val="24"/>
          <w:highlight w:val="none"/>
        </w:rPr>
        <w:t>GB/T 14048.1-2023</w:t>
      </w:r>
      <w:r>
        <w:rPr>
          <w:rFonts w:hint="eastAsia" w:ascii="宋体" w:hAnsi="宋体"/>
          <w:b w:val="0"/>
          <w:bCs w:val="0"/>
          <w:sz w:val="24"/>
          <w:highlight w:val="none"/>
        </w:rPr>
        <w:t xml:space="preserve"> 系列标准</w:t>
      </w:r>
      <w:r>
        <w:rPr>
          <w:rFonts w:hint="eastAsia" w:ascii="宋体" w:hAnsi="宋体" w:eastAsia="宋体" w:cs="Times New Roman"/>
          <w:b w:val="0"/>
          <w:bCs w:val="0"/>
          <w:kern w:val="2"/>
          <w:sz w:val="24"/>
          <w:szCs w:val="24"/>
          <w:highlight w:val="none"/>
          <w:lang w:val="en-US" w:eastAsia="zh-CN" w:bidi="ar-SA"/>
        </w:rPr>
        <w:t>《</w:t>
      </w:r>
      <w:r>
        <w:rPr>
          <w:rFonts w:hint="default" w:ascii="宋体" w:hAnsi="宋体" w:eastAsia="宋体" w:cs="Times New Roman"/>
          <w:b w:val="0"/>
          <w:bCs w:val="0"/>
          <w:kern w:val="2"/>
          <w:sz w:val="24"/>
          <w:szCs w:val="24"/>
          <w:highlight w:val="none"/>
          <w:lang w:val="en-US" w:eastAsia="zh-CN" w:bidi="ar-SA"/>
        </w:rPr>
        <w:t>低压开关设备和控制设备 第1部分：总则</w:t>
      </w:r>
      <w:r>
        <w:rPr>
          <w:rFonts w:hint="eastAsia" w:ascii="宋体" w:hAnsi="宋体"/>
          <w:b w:val="0"/>
          <w:bCs w:val="0"/>
          <w:sz w:val="24"/>
          <w:highlight w:val="none"/>
        </w:rPr>
        <w:t>》</w:t>
      </w:r>
    </w:p>
    <w:p w14:paraId="3ED8B1D0">
      <w:pPr>
        <w:keepNext w:val="0"/>
        <w:keepLines w:val="0"/>
        <w:widowControl/>
        <w:suppressLineNumbers w:val="0"/>
        <w:ind w:firstLine="480" w:firstLineChars="200"/>
        <w:jc w:val="left"/>
        <w:rPr>
          <w:rFonts w:hint="eastAsia" w:ascii="宋体" w:hAnsi="宋体"/>
          <w:b w:val="0"/>
          <w:bCs w:val="0"/>
          <w:sz w:val="24"/>
          <w:highlight w:val="none"/>
        </w:rPr>
      </w:pPr>
      <w:r>
        <w:rPr>
          <w:rFonts w:hint="eastAsia" w:ascii="宋体" w:hAnsi="宋体" w:eastAsia="宋体" w:cs="Arial"/>
          <w:b w:val="0"/>
          <w:bCs w:val="0"/>
          <w:kern w:val="0"/>
          <w:sz w:val="24"/>
          <w:szCs w:val="26"/>
          <w:highlight w:val="none"/>
          <w:lang w:val="en-US" w:eastAsia="zh-CN" w:bidi="ar-SA"/>
        </w:rPr>
        <w:t>· GB 16423-2020 系列标准</w:t>
      </w:r>
      <w:r>
        <w:rPr>
          <w:rFonts w:hint="eastAsia" w:ascii="宋体" w:hAnsi="宋体"/>
          <w:b w:val="0"/>
          <w:bCs w:val="0"/>
          <w:sz w:val="24"/>
          <w:highlight w:val="none"/>
        </w:rPr>
        <w:t>《</w:t>
      </w:r>
      <w:r>
        <w:rPr>
          <w:rFonts w:hint="eastAsia" w:ascii="宋体" w:hAnsi="宋体" w:eastAsia="宋体" w:cs="Times New Roman"/>
          <w:b w:val="0"/>
          <w:bCs w:val="0"/>
          <w:sz w:val="24"/>
          <w:highlight w:val="none"/>
          <w:lang w:val="en-US" w:eastAsia="zh-CN"/>
        </w:rPr>
        <w:t>金属非金属矿山安全规程</w:t>
      </w:r>
      <w:r>
        <w:rPr>
          <w:rFonts w:hint="eastAsia" w:ascii="宋体" w:hAnsi="宋体"/>
          <w:b w:val="0"/>
          <w:bCs w:val="0"/>
          <w:sz w:val="24"/>
          <w:highlight w:val="none"/>
        </w:rPr>
        <w:t>》</w:t>
      </w:r>
    </w:p>
    <w:p w14:paraId="4A53F26A">
      <w:pPr>
        <w:spacing w:line="360" w:lineRule="auto"/>
        <w:ind w:firstLine="600" w:firstLineChars="250"/>
        <w:rPr>
          <w:rFonts w:hint="eastAsia" w:ascii="宋体" w:hAnsi="宋体"/>
          <w:b/>
          <w:bCs/>
          <w:sz w:val="24"/>
          <w:highlight w:val="none"/>
          <w:lang w:val="en-US" w:eastAsia="zh-CN"/>
        </w:rPr>
      </w:pPr>
      <w:r>
        <w:rPr>
          <w:rFonts w:hint="eastAsia" w:ascii="宋体" w:hAnsi="宋体"/>
          <w:b w:val="0"/>
          <w:bCs w:val="0"/>
          <w:sz w:val="24"/>
          <w:highlight w:val="none"/>
        </w:rPr>
        <w:t>· 相关电气安全、结构及环境适应性标准。</w:t>
      </w:r>
    </w:p>
    <w:p w14:paraId="76074019">
      <w:pPr>
        <w:numPr>
          <w:ilvl w:val="0"/>
          <w:numId w:val="0"/>
        </w:numPr>
        <w:spacing w:line="360" w:lineRule="auto"/>
        <w:ind w:firstLine="482" w:firstLineChars="200"/>
        <w:rPr>
          <w:rFonts w:hint="eastAsia" w:ascii="宋体" w:hAnsi="宋体"/>
          <w:b/>
          <w:bCs/>
          <w:sz w:val="24"/>
          <w:highlight w:val="none"/>
          <w:lang w:val="en-US" w:eastAsia="zh-CN"/>
        </w:rPr>
      </w:pPr>
      <w:r>
        <w:rPr>
          <w:rFonts w:hint="eastAsia" w:ascii="宋体" w:hAnsi="宋体"/>
          <w:b/>
          <w:bCs/>
          <w:sz w:val="24"/>
          <w:highlight w:val="none"/>
          <w:lang w:val="en-US" w:eastAsia="zh-CN"/>
        </w:rPr>
        <w:t>三.主要供货范围：</w:t>
      </w:r>
    </w:p>
    <w:tbl>
      <w:tblPr>
        <w:tblStyle w:val="15"/>
        <w:tblW w:w="9381" w:type="dxa"/>
        <w:tblInd w:w="22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43"/>
        <w:gridCol w:w="1581"/>
        <w:gridCol w:w="3576"/>
        <w:gridCol w:w="727"/>
        <w:gridCol w:w="792"/>
        <w:gridCol w:w="1862"/>
      </w:tblGrid>
      <w:tr w14:paraId="713F6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843" w:type="dxa"/>
            <w:tcBorders>
              <w:top w:val="single" w:color="000000" w:sz="4" w:space="0"/>
              <w:left w:val="single" w:color="000000" w:sz="4" w:space="0"/>
              <w:bottom w:val="single" w:color="000000" w:sz="4" w:space="0"/>
              <w:right w:val="single" w:color="000000" w:sz="4" w:space="0"/>
            </w:tcBorders>
            <w:noWrap/>
            <w:vAlign w:val="center"/>
          </w:tcPr>
          <w:p w14:paraId="4FFDFD04">
            <w:pPr>
              <w:keepNext w:val="0"/>
              <w:keepLines w:val="0"/>
              <w:widowControl/>
              <w:suppressLineNumbers w:val="0"/>
              <w:jc w:val="center"/>
              <w:textAlignment w:val="center"/>
              <w:rPr>
                <w:rFonts w:hint="eastAsia" w:ascii="宋体" w:hAnsi="宋体" w:eastAsia="宋体" w:cs="宋体"/>
                <w:color w:val="0C0C0C"/>
                <w:spacing w:val="-3"/>
                <w:sz w:val="22"/>
                <w:szCs w:val="22"/>
                <w:highlight w:val="none"/>
                <w:lang w:val="en-US" w:eastAsia="zh-CN"/>
              </w:rPr>
            </w:pPr>
            <w:r>
              <w:rPr>
                <w:rFonts w:hint="default" w:ascii="宋体" w:hAnsi="宋体" w:eastAsia="宋体" w:cs="宋体"/>
                <w:color w:val="0C0C0C"/>
                <w:spacing w:val="-3"/>
                <w:sz w:val="22"/>
                <w:szCs w:val="22"/>
                <w:highlight w:val="none"/>
                <w:lang w:val="en-US" w:eastAsia="zh-CN"/>
              </w:rPr>
              <w:t>序号</w:t>
            </w:r>
          </w:p>
        </w:tc>
        <w:tc>
          <w:tcPr>
            <w:tcW w:w="1581" w:type="dxa"/>
            <w:tcBorders>
              <w:top w:val="single" w:color="000000" w:sz="4" w:space="0"/>
              <w:left w:val="single" w:color="000000" w:sz="4" w:space="0"/>
              <w:bottom w:val="single" w:color="000000" w:sz="4" w:space="0"/>
              <w:right w:val="single" w:color="000000" w:sz="4" w:space="0"/>
            </w:tcBorders>
            <w:noWrap/>
            <w:vAlign w:val="center"/>
          </w:tcPr>
          <w:p w14:paraId="292B8A08">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eastAsia" w:ascii="宋体" w:hAnsi="宋体" w:eastAsia="宋体" w:cs="宋体"/>
                <w:color w:val="0C0C0C"/>
                <w:spacing w:val="-3"/>
                <w:sz w:val="22"/>
                <w:szCs w:val="22"/>
                <w:highlight w:val="none"/>
                <w:lang w:val="en-US" w:eastAsia="zh-CN"/>
              </w:rPr>
              <w:t>设备名称</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34D811E8">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eastAsia" w:ascii="宋体" w:hAnsi="宋体" w:eastAsia="宋体" w:cs="宋体"/>
                <w:color w:val="0C0C0C"/>
                <w:spacing w:val="-3"/>
                <w:sz w:val="22"/>
                <w:szCs w:val="22"/>
                <w:highlight w:val="none"/>
                <w:lang w:val="en-US" w:eastAsia="zh-CN"/>
              </w:rPr>
              <w:t>规格型号</w:t>
            </w:r>
          </w:p>
        </w:tc>
        <w:tc>
          <w:tcPr>
            <w:tcW w:w="727" w:type="dxa"/>
            <w:tcBorders>
              <w:top w:val="single" w:color="000000" w:sz="4" w:space="0"/>
              <w:left w:val="single" w:color="000000" w:sz="4" w:space="0"/>
              <w:bottom w:val="single" w:color="000000" w:sz="4" w:space="0"/>
              <w:right w:val="single" w:color="000000" w:sz="4" w:space="0"/>
            </w:tcBorders>
            <w:noWrap/>
            <w:vAlign w:val="center"/>
          </w:tcPr>
          <w:p w14:paraId="50B1D170">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default" w:ascii="宋体" w:hAnsi="宋体" w:eastAsia="宋体" w:cs="宋体"/>
                <w:color w:val="0C0C0C"/>
                <w:spacing w:val="-3"/>
                <w:sz w:val="22"/>
                <w:szCs w:val="22"/>
                <w:highlight w:val="none"/>
                <w:lang w:val="en-US" w:eastAsia="zh-CN"/>
              </w:rPr>
              <w:t>单位</w:t>
            </w:r>
          </w:p>
        </w:tc>
        <w:tc>
          <w:tcPr>
            <w:tcW w:w="792" w:type="dxa"/>
            <w:tcBorders>
              <w:top w:val="single" w:color="000000" w:sz="4" w:space="0"/>
              <w:left w:val="single" w:color="000000" w:sz="4" w:space="0"/>
              <w:bottom w:val="single" w:color="000000" w:sz="4" w:space="0"/>
              <w:right w:val="single" w:color="000000" w:sz="4" w:space="0"/>
            </w:tcBorders>
            <w:noWrap/>
            <w:vAlign w:val="center"/>
          </w:tcPr>
          <w:p w14:paraId="533FD3E5">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default" w:ascii="宋体" w:hAnsi="宋体" w:eastAsia="宋体" w:cs="宋体"/>
                <w:color w:val="0C0C0C"/>
                <w:spacing w:val="-3"/>
                <w:sz w:val="22"/>
                <w:szCs w:val="22"/>
                <w:highlight w:val="none"/>
                <w:lang w:val="en-US" w:eastAsia="zh-CN"/>
              </w:rPr>
              <w:t>数量</w:t>
            </w:r>
          </w:p>
        </w:tc>
        <w:tc>
          <w:tcPr>
            <w:tcW w:w="1862" w:type="dxa"/>
            <w:tcBorders>
              <w:top w:val="single" w:color="000000" w:sz="4" w:space="0"/>
              <w:left w:val="single" w:color="000000" w:sz="4" w:space="0"/>
              <w:bottom w:val="single" w:color="000000" w:sz="4" w:space="0"/>
              <w:right w:val="single" w:color="000000" w:sz="4" w:space="0"/>
            </w:tcBorders>
            <w:noWrap/>
            <w:vAlign w:val="center"/>
          </w:tcPr>
          <w:p w14:paraId="5FFFA0C0">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eastAsia" w:ascii="宋体" w:hAnsi="宋体" w:eastAsia="宋体" w:cs="宋体"/>
                <w:color w:val="0C0C0C"/>
                <w:spacing w:val="-3"/>
                <w:sz w:val="22"/>
                <w:szCs w:val="22"/>
                <w:highlight w:val="none"/>
                <w:lang w:val="en-US" w:eastAsia="zh-CN"/>
              </w:rPr>
              <w:t>备注</w:t>
            </w:r>
          </w:p>
        </w:tc>
      </w:tr>
      <w:tr w14:paraId="7CEFF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6" w:hRule="atLeast"/>
        </w:trPr>
        <w:tc>
          <w:tcPr>
            <w:tcW w:w="843" w:type="dxa"/>
            <w:tcBorders>
              <w:top w:val="single" w:color="000000" w:sz="4" w:space="0"/>
              <w:left w:val="single" w:color="000000" w:sz="4" w:space="0"/>
              <w:bottom w:val="single" w:color="000000" w:sz="4" w:space="0"/>
              <w:right w:val="single" w:color="000000" w:sz="4" w:space="0"/>
            </w:tcBorders>
            <w:noWrap/>
            <w:vAlign w:val="center"/>
          </w:tcPr>
          <w:p w14:paraId="3AAC675F">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eastAsia" w:ascii="宋体" w:hAnsi="宋体" w:eastAsia="宋体" w:cs="宋体"/>
                <w:color w:val="0C0C0C"/>
                <w:spacing w:val="-3"/>
                <w:sz w:val="22"/>
                <w:szCs w:val="22"/>
                <w:highlight w:val="none"/>
                <w:lang w:val="en-US" w:eastAsia="zh-CN"/>
              </w:rPr>
              <w:t>1</w:t>
            </w:r>
          </w:p>
        </w:tc>
        <w:tc>
          <w:tcPr>
            <w:tcW w:w="1581" w:type="dxa"/>
            <w:tcBorders>
              <w:top w:val="single" w:color="000000" w:sz="4" w:space="0"/>
              <w:left w:val="single" w:color="000000" w:sz="4" w:space="0"/>
              <w:bottom w:val="single" w:color="000000" w:sz="4" w:space="0"/>
              <w:right w:val="single" w:color="000000" w:sz="4" w:space="0"/>
            </w:tcBorders>
            <w:noWrap/>
            <w:vAlign w:val="center"/>
          </w:tcPr>
          <w:p w14:paraId="4DB4E023">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default" w:ascii="宋体" w:hAnsi="宋体" w:eastAsia="宋体" w:cs="宋体"/>
                <w:color w:val="0C0C0C"/>
                <w:spacing w:val="-3"/>
                <w:sz w:val="22"/>
                <w:szCs w:val="22"/>
                <w:highlight w:val="none"/>
                <w:lang w:val="en-US" w:eastAsia="zh-CN"/>
              </w:rPr>
              <w:t>矿用一般型低压配电柜（KA/KY）</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178C0B2F">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default" w:ascii="宋体" w:hAnsi="宋体" w:eastAsia="宋体" w:cs="宋体"/>
                <w:color w:val="0C0C0C"/>
                <w:spacing w:val="-3"/>
                <w:sz w:val="22"/>
                <w:szCs w:val="22"/>
                <w:highlight w:val="none"/>
                <w:lang w:val="en-US" w:eastAsia="zh-CN"/>
              </w:rPr>
              <w:t>矿用一般型低压配电柜（KA/KY）\500×600×300-4回路 悬挂 井下 冷轧钢板 空箱</w:t>
            </w:r>
          </w:p>
        </w:tc>
        <w:tc>
          <w:tcPr>
            <w:tcW w:w="727" w:type="dxa"/>
            <w:tcBorders>
              <w:top w:val="single" w:color="000000" w:sz="4" w:space="0"/>
              <w:left w:val="single" w:color="000000" w:sz="4" w:space="0"/>
              <w:bottom w:val="single" w:color="000000" w:sz="4" w:space="0"/>
              <w:right w:val="single" w:color="000000" w:sz="4" w:space="0"/>
            </w:tcBorders>
            <w:noWrap/>
            <w:vAlign w:val="center"/>
          </w:tcPr>
          <w:p w14:paraId="659B4187">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eastAsia" w:ascii="宋体" w:hAnsi="宋体" w:eastAsia="宋体" w:cs="宋体"/>
                <w:color w:val="0C0C0C"/>
                <w:spacing w:val="-3"/>
                <w:sz w:val="22"/>
                <w:szCs w:val="22"/>
                <w:highlight w:val="none"/>
                <w:lang w:val="en-US" w:eastAsia="zh-CN"/>
              </w:rPr>
              <w:t>套</w:t>
            </w:r>
          </w:p>
        </w:tc>
        <w:tc>
          <w:tcPr>
            <w:tcW w:w="792" w:type="dxa"/>
            <w:tcBorders>
              <w:top w:val="single" w:color="000000" w:sz="4" w:space="0"/>
              <w:left w:val="single" w:color="000000" w:sz="4" w:space="0"/>
              <w:bottom w:val="single" w:color="000000" w:sz="4" w:space="0"/>
              <w:right w:val="single" w:color="000000" w:sz="4" w:space="0"/>
            </w:tcBorders>
            <w:noWrap/>
            <w:vAlign w:val="center"/>
          </w:tcPr>
          <w:p w14:paraId="3194E53D">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eastAsia" w:ascii="宋体" w:hAnsi="宋体" w:eastAsia="宋体" w:cs="宋体"/>
                <w:color w:val="0C0C0C"/>
                <w:spacing w:val="-3"/>
                <w:sz w:val="22"/>
                <w:szCs w:val="22"/>
                <w:highlight w:val="none"/>
                <w:lang w:val="en-US" w:eastAsia="zh-CN"/>
              </w:rPr>
              <w:t>280</w:t>
            </w:r>
          </w:p>
        </w:tc>
        <w:tc>
          <w:tcPr>
            <w:tcW w:w="1862" w:type="dxa"/>
            <w:vMerge w:val="restart"/>
            <w:tcBorders>
              <w:top w:val="single" w:color="000000" w:sz="4" w:space="0"/>
              <w:left w:val="single" w:color="000000" w:sz="4" w:space="0"/>
              <w:right w:val="single" w:color="000000" w:sz="4" w:space="0"/>
            </w:tcBorders>
            <w:noWrap/>
            <w:vAlign w:val="center"/>
          </w:tcPr>
          <w:p w14:paraId="48E54EAC">
            <w:pPr>
              <w:keepNext w:val="0"/>
              <w:keepLines w:val="0"/>
              <w:widowControl/>
              <w:suppressLineNumbers w:val="0"/>
              <w:jc w:val="center"/>
              <w:textAlignment w:val="center"/>
              <w:rPr>
                <w:rFonts w:hint="default" w:ascii="宋体" w:hAnsi="宋体" w:eastAsia="宋体" w:cs="宋体"/>
                <w:color w:val="0C0C0C"/>
                <w:spacing w:val="-3"/>
                <w:sz w:val="22"/>
                <w:szCs w:val="22"/>
                <w:highlight w:val="cyan"/>
                <w:lang w:val="en-US" w:eastAsia="zh-CN"/>
              </w:rPr>
            </w:pPr>
            <w:r>
              <w:rPr>
                <w:rFonts w:hint="eastAsia" w:ascii="宋体" w:hAnsi="宋体" w:eastAsia="宋体" w:cs="宋体"/>
                <w:color w:val="0C0C0C"/>
                <w:spacing w:val="-3"/>
                <w:sz w:val="22"/>
                <w:szCs w:val="22"/>
                <w:highlight w:val="none"/>
                <w:lang w:val="en-US" w:eastAsia="zh-CN"/>
              </w:rPr>
              <w:t>乙方绘制的图纸，需甲方确认后再生产！</w:t>
            </w:r>
          </w:p>
        </w:tc>
      </w:tr>
      <w:tr w14:paraId="2001B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trPr>
        <w:tc>
          <w:tcPr>
            <w:tcW w:w="843" w:type="dxa"/>
            <w:tcBorders>
              <w:top w:val="single" w:color="000000" w:sz="4" w:space="0"/>
              <w:left w:val="single" w:color="000000" w:sz="4" w:space="0"/>
              <w:bottom w:val="single" w:color="000000" w:sz="4" w:space="0"/>
              <w:right w:val="single" w:color="000000" w:sz="4" w:space="0"/>
            </w:tcBorders>
            <w:noWrap/>
            <w:vAlign w:val="center"/>
          </w:tcPr>
          <w:p w14:paraId="1A8AAEEF">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eastAsia" w:ascii="宋体" w:hAnsi="宋体" w:eastAsia="宋体" w:cs="宋体"/>
                <w:color w:val="0C0C0C"/>
                <w:spacing w:val="-3"/>
                <w:sz w:val="22"/>
                <w:szCs w:val="22"/>
                <w:highlight w:val="none"/>
                <w:lang w:val="en-US" w:eastAsia="zh-CN"/>
              </w:rPr>
              <w:t>2</w:t>
            </w:r>
          </w:p>
        </w:tc>
        <w:tc>
          <w:tcPr>
            <w:tcW w:w="1581" w:type="dxa"/>
            <w:tcBorders>
              <w:top w:val="single" w:color="000000" w:sz="4" w:space="0"/>
              <w:left w:val="single" w:color="000000" w:sz="4" w:space="0"/>
              <w:bottom w:val="single" w:color="000000" w:sz="4" w:space="0"/>
              <w:right w:val="single" w:color="000000" w:sz="4" w:space="0"/>
            </w:tcBorders>
            <w:noWrap/>
            <w:vAlign w:val="center"/>
          </w:tcPr>
          <w:p w14:paraId="2029FB73">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default" w:ascii="宋体" w:hAnsi="宋体" w:eastAsia="宋体" w:cs="宋体"/>
                <w:color w:val="0C0C0C"/>
                <w:spacing w:val="-3"/>
                <w:sz w:val="22"/>
                <w:szCs w:val="22"/>
                <w:highlight w:val="none"/>
                <w:lang w:val="en-US" w:eastAsia="zh-CN"/>
              </w:rPr>
              <w:t>矿用一般型低压配电柜（KA/KY）</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574DFAB0">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default" w:ascii="宋体" w:hAnsi="宋体" w:eastAsia="宋体" w:cs="宋体"/>
                <w:color w:val="0C0C0C"/>
                <w:spacing w:val="-3"/>
                <w:sz w:val="22"/>
                <w:szCs w:val="22"/>
                <w:highlight w:val="none"/>
                <w:lang w:val="en-US" w:eastAsia="zh-CN"/>
              </w:rPr>
              <w:t>矿用一般型低压配电柜（KA/KY）\400×300×250-3回路 悬挂 井下 冷轧钢板 空箱</w:t>
            </w:r>
          </w:p>
        </w:tc>
        <w:tc>
          <w:tcPr>
            <w:tcW w:w="727" w:type="dxa"/>
            <w:tcBorders>
              <w:top w:val="single" w:color="000000" w:sz="4" w:space="0"/>
              <w:left w:val="single" w:color="000000" w:sz="4" w:space="0"/>
              <w:bottom w:val="single" w:color="000000" w:sz="4" w:space="0"/>
              <w:right w:val="single" w:color="000000" w:sz="4" w:space="0"/>
            </w:tcBorders>
            <w:noWrap/>
            <w:vAlign w:val="center"/>
          </w:tcPr>
          <w:p w14:paraId="3420058E">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eastAsia" w:ascii="宋体" w:hAnsi="宋体" w:eastAsia="宋体" w:cs="宋体"/>
                <w:color w:val="0C0C0C"/>
                <w:spacing w:val="-3"/>
                <w:sz w:val="22"/>
                <w:szCs w:val="22"/>
                <w:highlight w:val="none"/>
                <w:lang w:val="en-US" w:eastAsia="zh-CN"/>
              </w:rPr>
              <w:t>套</w:t>
            </w:r>
          </w:p>
        </w:tc>
        <w:tc>
          <w:tcPr>
            <w:tcW w:w="792" w:type="dxa"/>
            <w:tcBorders>
              <w:top w:val="single" w:color="000000" w:sz="4" w:space="0"/>
              <w:left w:val="single" w:color="000000" w:sz="4" w:space="0"/>
              <w:bottom w:val="single" w:color="000000" w:sz="4" w:space="0"/>
              <w:right w:val="single" w:color="000000" w:sz="4" w:space="0"/>
            </w:tcBorders>
            <w:noWrap/>
            <w:vAlign w:val="center"/>
          </w:tcPr>
          <w:p w14:paraId="001B3DBE">
            <w:pPr>
              <w:keepNext w:val="0"/>
              <w:keepLines w:val="0"/>
              <w:widowControl/>
              <w:suppressLineNumbers w:val="0"/>
              <w:jc w:val="center"/>
              <w:textAlignment w:val="center"/>
              <w:rPr>
                <w:rFonts w:hint="default" w:ascii="宋体" w:hAnsi="宋体" w:eastAsia="宋体" w:cs="宋体"/>
                <w:color w:val="0C0C0C"/>
                <w:spacing w:val="-3"/>
                <w:sz w:val="22"/>
                <w:szCs w:val="22"/>
                <w:highlight w:val="cyan"/>
                <w:lang w:val="en-US" w:eastAsia="zh-CN"/>
              </w:rPr>
            </w:pPr>
            <w:r>
              <w:rPr>
                <w:rFonts w:hint="eastAsia" w:ascii="宋体" w:hAnsi="宋体" w:eastAsia="宋体" w:cs="宋体"/>
                <w:color w:val="0C0C0C"/>
                <w:spacing w:val="-3"/>
                <w:sz w:val="22"/>
                <w:szCs w:val="22"/>
                <w:highlight w:val="none"/>
                <w:lang w:val="en-US" w:eastAsia="zh-CN"/>
              </w:rPr>
              <w:t>360</w:t>
            </w:r>
          </w:p>
        </w:tc>
        <w:tc>
          <w:tcPr>
            <w:tcW w:w="1862" w:type="dxa"/>
            <w:vMerge w:val="continue"/>
            <w:tcBorders>
              <w:left w:val="single" w:color="000000" w:sz="4" w:space="0"/>
              <w:right w:val="single" w:color="000000" w:sz="4" w:space="0"/>
            </w:tcBorders>
            <w:noWrap/>
            <w:vAlign w:val="center"/>
          </w:tcPr>
          <w:p w14:paraId="469F9532">
            <w:pPr>
              <w:keepNext w:val="0"/>
              <w:keepLines w:val="0"/>
              <w:widowControl/>
              <w:suppressLineNumbers w:val="0"/>
              <w:jc w:val="center"/>
              <w:textAlignment w:val="center"/>
              <w:rPr>
                <w:rFonts w:hint="default" w:ascii="宋体" w:hAnsi="宋体" w:eastAsia="宋体" w:cs="宋体"/>
                <w:color w:val="0C0C0C"/>
                <w:spacing w:val="-3"/>
                <w:sz w:val="22"/>
                <w:szCs w:val="22"/>
                <w:highlight w:val="cyan"/>
                <w:lang w:val="en-US" w:eastAsia="zh-CN"/>
              </w:rPr>
            </w:pPr>
          </w:p>
        </w:tc>
      </w:tr>
      <w:tr w14:paraId="46056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843" w:type="dxa"/>
            <w:tcBorders>
              <w:top w:val="single" w:color="000000" w:sz="4" w:space="0"/>
              <w:left w:val="single" w:color="000000" w:sz="4" w:space="0"/>
              <w:bottom w:val="single" w:color="000000" w:sz="4" w:space="0"/>
              <w:right w:val="single" w:color="000000" w:sz="4" w:space="0"/>
            </w:tcBorders>
            <w:noWrap/>
            <w:vAlign w:val="center"/>
          </w:tcPr>
          <w:p w14:paraId="4462BFB9">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eastAsia" w:ascii="宋体" w:hAnsi="宋体" w:eastAsia="宋体" w:cs="宋体"/>
                <w:color w:val="0C0C0C"/>
                <w:spacing w:val="-3"/>
                <w:sz w:val="22"/>
                <w:szCs w:val="22"/>
                <w:highlight w:val="none"/>
                <w:lang w:val="en-US" w:eastAsia="zh-CN"/>
              </w:rPr>
              <w:t>3</w:t>
            </w:r>
          </w:p>
        </w:tc>
        <w:tc>
          <w:tcPr>
            <w:tcW w:w="1581" w:type="dxa"/>
            <w:tcBorders>
              <w:top w:val="single" w:color="000000" w:sz="4" w:space="0"/>
              <w:left w:val="single" w:color="000000" w:sz="4" w:space="0"/>
              <w:bottom w:val="single" w:color="000000" w:sz="4" w:space="0"/>
              <w:right w:val="single" w:color="000000" w:sz="4" w:space="0"/>
            </w:tcBorders>
            <w:noWrap/>
            <w:vAlign w:val="center"/>
          </w:tcPr>
          <w:p w14:paraId="0F8A1365">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eastAsia" w:ascii="宋体" w:hAnsi="宋体" w:eastAsia="宋体" w:cs="宋体"/>
                <w:color w:val="0C0C0C"/>
                <w:spacing w:val="-3"/>
                <w:sz w:val="22"/>
                <w:szCs w:val="22"/>
                <w:highlight w:val="none"/>
                <w:lang w:val="en-US" w:eastAsia="zh-CN"/>
              </w:rPr>
              <w:t>小计</w:t>
            </w:r>
          </w:p>
        </w:tc>
        <w:tc>
          <w:tcPr>
            <w:tcW w:w="3576" w:type="dxa"/>
            <w:tcBorders>
              <w:top w:val="single" w:color="000000" w:sz="4" w:space="0"/>
              <w:left w:val="single" w:color="000000" w:sz="4" w:space="0"/>
              <w:bottom w:val="single" w:color="000000" w:sz="4" w:space="0"/>
              <w:right w:val="single" w:color="000000" w:sz="4" w:space="0"/>
            </w:tcBorders>
            <w:noWrap/>
            <w:vAlign w:val="center"/>
          </w:tcPr>
          <w:p w14:paraId="5475657C">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p>
        </w:tc>
        <w:tc>
          <w:tcPr>
            <w:tcW w:w="727" w:type="dxa"/>
            <w:tcBorders>
              <w:top w:val="single" w:color="000000" w:sz="4" w:space="0"/>
              <w:left w:val="single" w:color="000000" w:sz="4" w:space="0"/>
              <w:bottom w:val="single" w:color="000000" w:sz="4" w:space="0"/>
              <w:right w:val="single" w:color="000000" w:sz="4" w:space="0"/>
            </w:tcBorders>
            <w:noWrap/>
            <w:vAlign w:val="center"/>
          </w:tcPr>
          <w:p w14:paraId="6786B64F">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p>
        </w:tc>
        <w:tc>
          <w:tcPr>
            <w:tcW w:w="792" w:type="dxa"/>
            <w:tcBorders>
              <w:top w:val="single" w:color="000000" w:sz="4" w:space="0"/>
              <w:left w:val="single" w:color="000000" w:sz="4" w:space="0"/>
              <w:bottom w:val="single" w:color="000000" w:sz="4" w:space="0"/>
              <w:right w:val="single" w:color="000000" w:sz="4" w:space="0"/>
            </w:tcBorders>
            <w:noWrap/>
            <w:vAlign w:val="center"/>
          </w:tcPr>
          <w:p w14:paraId="1573A74B">
            <w:pPr>
              <w:keepNext w:val="0"/>
              <w:keepLines w:val="0"/>
              <w:widowControl/>
              <w:suppressLineNumbers w:val="0"/>
              <w:jc w:val="center"/>
              <w:textAlignment w:val="center"/>
              <w:rPr>
                <w:rFonts w:hint="default" w:ascii="宋体" w:hAnsi="宋体" w:eastAsia="宋体" w:cs="宋体"/>
                <w:color w:val="0C0C0C"/>
                <w:spacing w:val="-3"/>
                <w:sz w:val="22"/>
                <w:szCs w:val="22"/>
                <w:highlight w:val="none"/>
                <w:lang w:val="en-US" w:eastAsia="zh-CN"/>
              </w:rPr>
            </w:pPr>
            <w:r>
              <w:rPr>
                <w:rFonts w:hint="eastAsia" w:ascii="宋体" w:hAnsi="宋体" w:eastAsia="宋体" w:cs="宋体"/>
                <w:color w:val="0C0C0C"/>
                <w:spacing w:val="-3"/>
                <w:sz w:val="22"/>
                <w:szCs w:val="22"/>
                <w:highlight w:val="none"/>
                <w:lang w:val="en-US" w:eastAsia="zh-CN"/>
              </w:rPr>
              <w:t>640</w:t>
            </w:r>
          </w:p>
        </w:tc>
        <w:tc>
          <w:tcPr>
            <w:tcW w:w="1862" w:type="dxa"/>
            <w:tcBorders>
              <w:top w:val="single" w:color="000000" w:sz="4" w:space="0"/>
              <w:left w:val="single" w:color="000000" w:sz="4" w:space="0"/>
              <w:bottom w:val="single" w:color="000000" w:sz="4" w:space="0"/>
              <w:right w:val="single" w:color="000000" w:sz="4" w:space="0"/>
            </w:tcBorders>
            <w:noWrap/>
            <w:vAlign w:val="center"/>
          </w:tcPr>
          <w:p w14:paraId="4F9F322D">
            <w:pPr>
              <w:keepNext w:val="0"/>
              <w:keepLines w:val="0"/>
              <w:widowControl/>
              <w:suppressLineNumbers w:val="0"/>
              <w:jc w:val="center"/>
              <w:textAlignment w:val="center"/>
              <w:rPr>
                <w:rFonts w:hint="default" w:ascii="宋体" w:hAnsi="宋体" w:eastAsia="宋体" w:cs="宋体"/>
                <w:color w:val="0C0C0C"/>
                <w:spacing w:val="-3"/>
                <w:sz w:val="22"/>
                <w:szCs w:val="22"/>
                <w:highlight w:val="cyan"/>
                <w:lang w:val="en-US" w:eastAsia="zh-CN"/>
              </w:rPr>
            </w:pPr>
          </w:p>
        </w:tc>
      </w:tr>
      <w:tr w14:paraId="5D780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9381" w:type="dxa"/>
            <w:gridSpan w:val="6"/>
            <w:tcBorders>
              <w:top w:val="single" w:color="000000" w:sz="4" w:space="0"/>
              <w:left w:val="single" w:color="000000" w:sz="4" w:space="0"/>
              <w:bottom w:val="single" w:color="000000" w:sz="4" w:space="0"/>
              <w:right w:val="single" w:color="000000" w:sz="4" w:space="0"/>
            </w:tcBorders>
            <w:noWrap/>
            <w:vAlign w:val="center"/>
          </w:tcPr>
          <w:p w14:paraId="4CA15069">
            <w:pPr>
              <w:keepNext w:val="0"/>
              <w:keepLines w:val="0"/>
              <w:widowControl/>
              <w:suppressLineNumbers w:val="0"/>
              <w:jc w:val="center"/>
              <w:textAlignment w:val="center"/>
              <w:rPr>
                <w:rFonts w:hint="default" w:ascii="宋体" w:hAnsi="宋体" w:eastAsia="宋体" w:cs="宋体"/>
                <w:color w:val="0C0C0C"/>
                <w:spacing w:val="-3"/>
                <w:sz w:val="22"/>
                <w:szCs w:val="22"/>
                <w:highlight w:val="cyan"/>
                <w:lang w:val="en-US" w:eastAsia="zh-CN"/>
              </w:rPr>
            </w:pPr>
          </w:p>
        </w:tc>
      </w:tr>
      <w:tr w14:paraId="5B03D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9381" w:type="dxa"/>
            <w:gridSpan w:val="6"/>
            <w:tcBorders>
              <w:top w:val="single" w:color="000000" w:sz="4" w:space="0"/>
              <w:left w:val="single" w:color="000000" w:sz="4" w:space="0"/>
              <w:bottom w:val="single" w:color="000000" w:sz="4" w:space="0"/>
              <w:right w:val="single" w:color="000000" w:sz="4" w:space="0"/>
            </w:tcBorders>
            <w:noWrap/>
            <w:vAlign w:val="center"/>
          </w:tcPr>
          <w:p w14:paraId="322DF5F8">
            <w:pPr>
              <w:keepNext w:val="0"/>
              <w:keepLines w:val="0"/>
              <w:widowControl/>
              <w:suppressLineNumbers w:val="0"/>
              <w:jc w:val="center"/>
              <w:textAlignment w:val="center"/>
              <w:rPr>
                <w:rFonts w:hint="default" w:ascii="宋体" w:hAnsi="宋体" w:eastAsia="宋体" w:cs="宋体"/>
                <w:color w:val="0C0C0C"/>
                <w:spacing w:val="-3"/>
                <w:sz w:val="22"/>
                <w:szCs w:val="22"/>
                <w:highlight w:val="cyan"/>
                <w:lang w:val="en-US" w:eastAsia="zh-CN"/>
              </w:rPr>
            </w:pPr>
          </w:p>
        </w:tc>
      </w:tr>
    </w:tbl>
    <w:p w14:paraId="72A99CF0">
      <w:pPr>
        <w:spacing w:line="360" w:lineRule="auto"/>
        <w:ind w:firstLine="241" w:firstLineChars="100"/>
        <w:rPr>
          <w:rFonts w:hint="eastAsia" w:ascii="宋体" w:hAnsi="宋体"/>
          <w:b/>
          <w:bCs/>
          <w:sz w:val="24"/>
          <w:highlight w:val="none"/>
        </w:rPr>
      </w:pPr>
      <w:r>
        <w:rPr>
          <w:rFonts w:hint="eastAsia" w:ascii="宋体" w:hAnsi="宋体"/>
          <w:b/>
          <w:bCs/>
          <w:sz w:val="24"/>
          <w:highlight w:val="none"/>
          <w:lang w:val="en-US" w:eastAsia="zh-CN"/>
        </w:rPr>
        <w:t>四</w:t>
      </w:r>
      <w:r>
        <w:rPr>
          <w:rFonts w:hint="eastAsia" w:ascii="宋体" w:hAnsi="宋体"/>
          <w:b/>
          <w:bCs/>
          <w:sz w:val="24"/>
          <w:highlight w:val="none"/>
        </w:rPr>
        <w:t>. 技术要求</w:t>
      </w:r>
    </w:p>
    <w:p w14:paraId="0206E857">
      <w:pPr>
        <w:spacing w:line="360" w:lineRule="auto"/>
        <w:ind w:firstLine="602" w:firstLineChars="250"/>
        <w:rPr>
          <w:rFonts w:hint="eastAsia" w:ascii="宋体" w:hAnsi="宋体"/>
          <w:b/>
          <w:bCs/>
          <w:sz w:val="24"/>
          <w:highlight w:val="none"/>
        </w:rPr>
      </w:pPr>
      <w:r>
        <w:rPr>
          <w:rFonts w:hint="eastAsia" w:ascii="宋体" w:hAnsi="宋体"/>
          <w:b/>
          <w:bCs/>
          <w:sz w:val="24"/>
          <w:highlight w:val="none"/>
          <w:lang w:val="en-US" w:eastAsia="zh-CN"/>
        </w:rPr>
        <w:t>4</w:t>
      </w:r>
      <w:r>
        <w:rPr>
          <w:rFonts w:hint="eastAsia" w:ascii="宋体" w:hAnsi="宋体"/>
          <w:b/>
          <w:bCs/>
          <w:sz w:val="24"/>
          <w:highlight w:val="none"/>
        </w:rPr>
        <w:t>.1 资质与标识</w:t>
      </w:r>
    </w:p>
    <w:p w14:paraId="7E5E4978">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lang w:val="en-US" w:eastAsia="zh-CN"/>
        </w:rPr>
        <w:t>4</w:t>
      </w:r>
      <w:r>
        <w:rPr>
          <w:rFonts w:hint="eastAsia" w:ascii="宋体" w:hAnsi="宋体"/>
          <w:b w:val="0"/>
          <w:bCs w:val="0"/>
          <w:sz w:val="24"/>
          <w:highlight w:val="none"/>
        </w:rPr>
        <w:t>.1.1 柜体必须具有由国家权威机构颁发的“KY”（低压成套开关设备）和“KA”（低压成套开关设备中的母线干线系统）型式试验证书及资质。</w:t>
      </w:r>
    </w:p>
    <w:p w14:paraId="6EC0199C">
      <w:pPr>
        <w:spacing w:line="360" w:lineRule="auto"/>
        <w:ind w:firstLine="600" w:firstLineChars="250"/>
        <w:rPr>
          <w:rFonts w:hint="eastAsia" w:ascii="宋体" w:hAnsi="宋体"/>
          <w:b/>
          <w:bCs/>
          <w:sz w:val="24"/>
          <w:highlight w:val="none"/>
        </w:rPr>
      </w:pPr>
      <w:r>
        <w:rPr>
          <w:rFonts w:hint="eastAsia" w:ascii="宋体" w:hAnsi="宋体"/>
          <w:b w:val="0"/>
          <w:bCs w:val="0"/>
          <w:sz w:val="24"/>
          <w:highlight w:val="none"/>
          <w:lang w:val="en-US" w:eastAsia="zh-CN"/>
        </w:rPr>
        <w:t>4</w:t>
      </w:r>
      <w:r>
        <w:rPr>
          <w:rFonts w:hint="eastAsia" w:ascii="宋体" w:hAnsi="宋体"/>
          <w:b w:val="0"/>
          <w:bCs w:val="0"/>
          <w:sz w:val="24"/>
          <w:highlight w:val="none"/>
        </w:rPr>
        <w:t>.1.2 在柜体明显位置，应牢固粘贴或铭刻上述资质对应的永久性标识。</w:t>
      </w:r>
    </w:p>
    <w:p w14:paraId="698DDA21">
      <w:pPr>
        <w:spacing w:line="360" w:lineRule="auto"/>
        <w:ind w:firstLine="602" w:firstLineChars="250"/>
        <w:rPr>
          <w:rFonts w:hint="eastAsia" w:ascii="宋体" w:hAnsi="宋体"/>
          <w:b/>
          <w:bCs/>
          <w:sz w:val="24"/>
          <w:highlight w:val="none"/>
        </w:rPr>
      </w:pPr>
      <w:r>
        <w:rPr>
          <w:rFonts w:hint="eastAsia" w:ascii="宋体" w:hAnsi="宋体"/>
          <w:b/>
          <w:bCs/>
          <w:sz w:val="24"/>
          <w:highlight w:val="none"/>
          <w:lang w:val="en-US" w:eastAsia="zh-CN"/>
        </w:rPr>
        <w:t>4</w:t>
      </w:r>
      <w:r>
        <w:rPr>
          <w:rFonts w:hint="eastAsia" w:ascii="宋体" w:hAnsi="宋体"/>
          <w:b/>
          <w:bCs/>
          <w:sz w:val="24"/>
          <w:highlight w:val="none"/>
        </w:rPr>
        <w:t>.2 柜体结构</w:t>
      </w:r>
    </w:p>
    <w:p w14:paraId="5778C971">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lang w:val="en-US" w:eastAsia="zh-CN"/>
        </w:rPr>
        <w:t>4</w:t>
      </w:r>
      <w:r>
        <w:rPr>
          <w:rFonts w:hint="eastAsia" w:ascii="宋体" w:hAnsi="宋体"/>
          <w:b w:val="0"/>
          <w:bCs w:val="0"/>
          <w:sz w:val="24"/>
          <w:highlight w:val="none"/>
        </w:rPr>
        <w:t>.2.1 材质与工艺：柜体应采用优质冷轧钢板制造</w:t>
      </w:r>
      <w:r>
        <w:rPr>
          <w:rFonts w:hint="eastAsia" w:ascii="宋体" w:hAnsi="宋体"/>
          <w:b w:val="0"/>
          <w:bCs w:val="0"/>
          <w:sz w:val="24"/>
          <w:highlight w:val="none"/>
          <w:lang w:eastAsia="zh-CN"/>
        </w:rPr>
        <w:t>，</w:t>
      </w:r>
      <w:r>
        <w:rPr>
          <w:rFonts w:hint="eastAsia" w:ascii="宋体" w:hAnsi="宋体"/>
          <w:b w:val="0"/>
          <w:bCs w:val="0"/>
          <w:sz w:val="24"/>
          <w:highlight w:val="none"/>
          <w:lang w:val="en-US" w:eastAsia="zh-CN"/>
        </w:rPr>
        <w:t>厚度不少于1.5mm</w:t>
      </w:r>
      <w:r>
        <w:rPr>
          <w:rFonts w:hint="eastAsia" w:ascii="宋体" w:hAnsi="宋体"/>
          <w:b w:val="0"/>
          <w:bCs w:val="0"/>
          <w:sz w:val="24"/>
          <w:highlight w:val="none"/>
        </w:rPr>
        <w:t>。</w:t>
      </w:r>
      <w:r>
        <w:rPr>
          <w:rFonts w:hint="eastAsia" w:ascii="宋体" w:hAnsi="宋体" w:eastAsia="宋体" w:cs="Times New Roman"/>
          <w:b w:val="0"/>
          <w:bCs w:val="0"/>
          <w:sz w:val="24"/>
          <w:highlight w:val="none"/>
          <w:lang w:val="en-US" w:eastAsia="zh-CN"/>
        </w:rPr>
        <w:t>开门角度大于90度，保证可正常维修。</w:t>
      </w:r>
      <w:r>
        <w:rPr>
          <w:rFonts w:hint="eastAsia" w:ascii="宋体" w:hAnsi="宋体" w:eastAsia="宋体" w:cs="Times New Roman"/>
          <w:b w:val="0"/>
          <w:bCs w:val="0"/>
          <w:sz w:val="24"/>
          <w:highlight w:val="none"/>
        </w:rPr>
        <w:t>表面进行防腐、防锈处理，并进</w:t>
      </w:r>
      <w:r>
        <w:rPr>
          <w:rFonts w:hint="eastAsia" w:ascii="宋体" w:hAnsi="宋体"/>
          <w:b w:val="0"/>
          <w:bCs w:val="0"/>
          <w:sz w:val="24"/>
          <w:highlight w:val="none"/>
        </w:rPr>
        <w:t>行静电喷塑，涂层应均匀、牢固、色泽一致，无流痕、起泡、剥落等缺陷。</w:t>
      </w:r>
    </w:p>
    <w:p w14:paraId="75D44D1F">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lang w:val="en-US" w:eastAsia="zh-CN"/>
        </w:rPr>
        <w:t>4</w:t>
      </w:r>
      <w:r>
        <w:rPr>
          <w:rFonts w:hint="eastAsia" w:ascii="宋体" w:hAnsi="宋体"/>
          <w:b w:val="0"/>
          <w:bCs w:val="0"/>
          <w:sz w:val="24"/>
          <w:highlight w:val="none"/>
        </w:rPr>
        <w:t>.2.2 锁具要求：柜门必须配置坚固的锁鼻或类似锁闭结构，满足使用管理锁（如挂锁）进行上锁管理的条件，确保运行安全。</w:t>
      </w:r>
    </w:p>
    <w:p w14:paraId="5B3C338A">
      <w:pPr>
        <w:spacing w:line="360" w:lineRule="auto"/>
        <w:ind w:firstLine="602" w:firstLineChars="250"/>
        <w:rPr>
          <w:rFonts w:hint="eastAsia" w:ascii="宋体" w:hAnsi="宋体"/>
          <w:b/>
          <w:bCs/>
          <w:sz w:val="24"/>
          <w:highlight w:val="none"/>
        </w:rPr>
      </w:pPr>
      <w:r>
        <w:rPr>
          <w:rFonts w:hint="eastAsia" w:ascii="宋体" w:hAnsi="宋体"/>
          <w:b/>
          <w:bCs/>
          <w:sz w:val="24"/>
          <w:highlight w:val="none"/>
          <w:lang w:val="en-US" w:eastAsia="zh-CN"/>
        </w:rPr>
        <w:t>4</w:t>
      </w:r>
      <w:r>
        <w:rPr>
          <w:rFonts w:hint="eastAsia" w:ascii="宋体" w:hAnsi="宋体"/>
          <w:b/>
          <w:bCs/>
          <w:sz w:val="24"/>
          <w:highlight w:val="none"/>
        </w:rPr>
        <w:t>.2.3 防水防尘：</w:t>
      </w:r>
    </w:p>
    <w:p w14:paraId="16B88D98">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rPr>
        <w:t>a) 柜门上端必须配置外伸式防水檐。</w:t>
      </w:r>
    </w:p>
    <w:p w14:paraId="35C211E7">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rPr>
        <w:t>b) 柜门四周应安装连续、弹性良好的密封条，确保关闭时达到防尘密封效果。</w:t>
      </w:r>
    </w:p>
    <w:p w14:paraId="401AEDFD">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rPr>
        <w:t>c) 进出线口必须设置在柜体下方。应提供不少于4个标准进出线孔洞，孔洞应规整并配备可拆卸、弹性良好的密封圈（胶塞），确保电缆引入后的密封性。</w:t>
      </w:r>
    </w:p>
    <w:p w14:paraId="3DB1A4D3">
      <w:pPr>
        <w:spacing w:line="360" w:lineRule="auto"/>
        <w:ind w:firstLine="602" w:firstLineChars="250"/>
        <w:rPr>
          <w:rFonts w:hint="eastAsia" w:ascii="宋体" w:hAnsi="宋体"/>
          <w:b/>
          <w:bCs/>
          <w:sz w:val="24"/>
          <w:highlight w:val="none"/>
        </w:rPr>
      </w:pPr>
      <w:r>
        <w:rPr>
          <w:rFonts w:hint="eastAsia" w:ascii="宋体" w:hAnsi="宋体"/>
          <w:b/>
          <w:bCs/>
          <w:sz w:val="24"/>
          <w:highlight w:val="none"/>
          <w:lang w:val="en-US" w:eastAsia="zh-CN"/>
        </w:rPr>
        <w:t>4</w:t>
      </w:r>
      <w:r>
        <w:rPr>
          <w:rFonts w:hint="eastAsia" w:ascii="宋体" w:hAnsi="宋体"/>
          <w:b/>
          <w:bCs/>
          <w:sz w:val="24"/>
          <w:highlight w:val="none"/>
        </w:rPr>
        <w:t>.2.4 等电位连接：</w:t>
      </w:r>
    </w:p>
    <w:p w14:paraId="3D7925E1">
      <w:pPr>
        <w:spacing w:line="360" w:lineRule="auto"/>
        <w:ind w:firstLine="600" w:firstLineChars="250"/>
        <w:rPr>
          <w:rFonts w:hint="eastAsia" w:ascii="宋体" w:hAnsi="宋体"/>
          <w:b/>
          <w:bCs/>
          <w:sz w:val="24"/>
          <w:highlight w:val="none"/>
        </w:rPr>
      </w:pPr>
      <w:r>
        <w:rPr>
          <w:rFonts w:hint="eastAsia" w:ascii="宋体" w:hAnsi="宋体"/>
          <w:b w:val="0"/>
          <w:bCs w:val="0"/>
          <w:sz w:val="24"/>
          <w:highlight w:val="none"/>
        </w:rPr>
        <w:t>柜门与柜体之间必须采用截面积不小于 4 mm² 的黄绿双色软铜导线进行可靠的电气连接，确保等电位。</w:t>
      </w:r>
    </w:p>
    <w:p w14:paraId="3248B894">
      <w:pPr>
        <w:spacing w:line="360" w:lineRule="auto"/>
        <w:ind w:firstLine="602" w:firstLineChars="250"/>
        <w:rPr>
          <w:rFonts w:hint="eastAsia" w:ascii="宋体" w:hAnsi="宋体"/>
          <w:b/>
          <w:bCs/>
          <w:sz w:val="24"/>
          <w:highlight w:val="none"/>
        </w:rPr>
      </w:pPr>
      <w:r>
        <w:rPr>
          <w:rFonts w:hint="eastAsia" w:ascii="宋体" w:hAnsi="宋体"/>
          <w:b/>
          <w:bCs/>
          <w:sz w:val="24"/>
          <w:highlight w:val="none"/>
          <w:lang w:val="en-US" w:eastAsia="zh-CN"/>
        </w:rPr>
        <w:t>4</w:t>
      </w:r>
      <w:r>
        <w:rPr>
          <w:rFonts w:hint="eastAsia" w:ascii="宋体" w:hAnsi="宋体"/>
          <w:b/>
          <w:bCs/>
          <w:sz w:val="24"/>
          <w:highlight w:val="none"/>
        </w:rPr>
        <w:t>.3 内部配置</w:t>
      </w:r>
    </w:p>
    <w:p w14:paraId="644B12B3">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lang w:val="en-US" w:eastAsia="zh-CN"/>
        </w:rPr>
        <w:t>4</w:t>
      </w:r>
      <w:r>
        <w:rPr>
          <w:rFonts w:hint="eastAsia" w:ascii="宋体" w:hAnsi="宋体"/>
          <w:b w:val="0"/>
          <w:bCs w:val="0"/>
          <w:sz w:val="24"/>
          <w:highlight w:val="none"/>
        </w:rPr>
        <w:t>.3.1 安装结构：柜内必须安装完整的安装背板（安装板），背板应有足够的强度和刚度以安装电器元件。</w:t>
      </w:r>
    </w:p>
    <w:p w14:paraId="59CC06C9">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lang w:val="en-US" w:eastAsia="zh-CN"/>
        </w:rPr>
        <w:t>4</w:t>
      </w:r>
      <w:r>
        <w:rPr>
          <w:rFonts w:hint="eastAsia" w:ascii="宋体" w:hAnsi="宋体"/>
          <w:b w:val="0"/>
          <w:bCs w:val="0"/>
          <w:sz w:val="24"/>
          <w:highlight w:val="none"/>
        </w:rPr>
        <w:t>.3.2 滑轨配置：柜内应配置三列标准的电器安装滑轨（如TS35型标准帽型导轨），并需在安装背板上“满铺”布置，提供最大安装灵活性。</w:t>
      </w:r>
    </w:p>
    <w:p w14:paraId="7AD650C4">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lang w:val="en-US" w:eastAsia="zh-CN"/>
        </w:rPr>
        <w:t>4</w:t>
      </w:r>
      <w:r>
        <w:rPr>
          <w:rFonts w:hint="eastAsia" w:ascii="宋体" w:hAnsi="宋体"/>
          <w:b w:val="0"/>
          <w:bCs w:val="0"/>
          <w:sz w:val="24"/>
          <w:highlight w:val="none"/>
        </w:rPr>
        <w:t>.3.3 母排系统：柜内必须独立设置且明确区分：</w:t>
      </w:r>
    </w:p>
    <w:p w14:paraId="6A619709">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rPr>
        <w:t>接地母排（PE排）：用于连接保护接地线（PE线），直接与柜体金属框架可靠连接。</w:t>
      </w:r>
    </w:p>
    <w:p w14:paraId="21BE7DA1">
      <w:pPr>
        <w:spacing w:line="360" w:lineRule="auto"/>
        <w:ind w:firstLine="600" w:firstLineChars="250"/>
        <w:rPr>
          <w:rFonts w:hint="eastAsia" w:ascii="宋体" w:hAnsi="宋体"/>
          <w:b/>
          <w:bCs/>
          <w:sz w:val="24"/>
          <w:highlight w:val="none"/>
        </w:rPr>
      </w:pPr>
      <w:r>
        <w:rPr>
          <w:rFonts w:hint="eastAsia" w:ascii="宋体" w:hAnsi="宋体"/>
          <w:b w:val="0"/>
          <w:bCs w:val="0"/>
          <w:sz w:val="24"/>
          <w:highlight w:val="none"/>
        </w:rPr>
        <w:t>两者应有清晰、永久的“N”与“PE”标识，且尺寸、容量应符合设计要求及回路需要。</w:t>
      </w:r>
    </w:p>
    <w:p w14:paraId="2FCF3026">
      <w:pPr>
        <w:spacing w:line="360" w:lineRule="auto"/>
        <w:ind w:firstLine="600" w:firstLineChars="250"/>
        <w:rPr>
          <w:rFonts w:hint="eastAsia" w:ascii="宋体" w:hAnsi="宋体"/>
          <w:b/>
          <w:bCs/>
          <w:sz w:val="24"/>
          <w:highlight w:val="none"/>
        </w:rPr>
      </w:pPr>
      <w:r>
        <w:rPr>
          <w:rFonts w:hint="eastAsia" w:ascii="宋体" w:hAnsi="宋体"/>
          <w:b w:val="0"/>
          <w:bCs w:val="0"/>
          <w:sz w:val="24"/>
          <w:highlight w:val="none"/>
          <w:lang w:val="en-US" w:eastAsia="zh-CN"/>
        </w:rPr>
        <w:t>4.3.4</w:t>
      </w:r>
      <w:r>
        <w:rPr>
          <w:rFonts w:hint="eastAsia" w:ascii="宋体" w:hAnsi="宋体"/>
          <w:b w:val="0"/>
          <w:bCs w:val="0"/>
          <w:sz w:val="24"/>
          <w:highlight w:val="none"/>
        </w:rPr>
        <w:t>每台配电柜应包括完整的柜体、内部安装背板、三列满铺滑轨、接零母排与接地母排、柜门密封条、防水檐、等电位连接线、下方密封圈等所有本规格书要求的部件和功能。</w:t>
      </w:r>
    </w:p>
    <w:p w14:paraId="7F1028C0">
      <w:pPr>
        <w:spacing w:line="360" w:lineRule="auto"/>
        <w:ind w:firstLine="602" w:firstLineChars="250"/>
        <w:rPr>
          <w:rFonts w:hint="eastAsia" w:ascii="宋体" w:hAnsi="宋体"/>
          <w:b/>
          <w:bCs/>
          <w:sz w:val="24"/>
          <w:highlight w:val="none"/>
        </w:rPr>
      </w:pPr>
      <w:r>
        <w:rPr>
          <w:rFonts w:hint="eastAsia" w:ascii="宋体" w:hAnsi="宋体"/>
          <w:b/>
          <w:bCs/>
          <w:sz w:val="24"/>
          <w:highlight w:val="none"/>
          <w:lang w:val="en-US" w:eastAsia="zh-CN"/>
        </w:rPr>
        <w:t>五</w:t>
      </w:r>
      <w:r>
        <w:rPr>
          <w:rFonts w:hint="eastAsia" w:ascii="宋体" w:hAnsi="宋体"/>
          <w:b/>
          <w:bCs/>
          <w:sz w:val="24"/>
          <w:highlight w:val="none"/>
        </w:rPr>
        <w:t>. 检验与验收</w:t>
      </w:r>
    </w:p>
    <w:p w14:paraId="2724B403">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lang w:val="en-US" w:eastAsia="zh-CN"/>
        </w:rPr>
        <w:t>5</w:t>
      </w:r>
      <w:r>
        <w:rPr>
          <w:rFonts w:hint="eastAsia" w:ascii="宋体" w:hAnsi="宋体"/>
          <w:b w:val="0"/>
          <w:bCs w:val="0"/>
          <w:sz w:val="24"/>
          <w:highlight w:val="none"/>
        </w:rPr>
        <w:t>.1 出厂检验：供货商应在出厂前进行严格检验，并提供包含资质证明复印件、出厂检验报告、合格证</w:t>
      </w:r>
      <w:r>
        <w:rPr>
          <w:rFonts w:hint="eastAsia" w:ascii="宋体" w:hAnsi="宋体"/>
          <w:b w:val="0"/>
          <w:bCs w:val="0"/>
          <w:sz w:val="24"/>
          <w:highlight w:val="none"/>
          <w:lang w:val="en-US" w:eastAsia="zh-CN"/>
        </w:rPr>
        <w:t>及矿安证</w:t>
      </w:r>
      <w:r>
        <w:rPr>
          <w:rFonts w:hint="eastAsia" w:ascii="宋体" w:hAnsi="宋体"/>
          <w:b w:val="0"/>
          <w:bCs w:val="0"/>
          <w:sz w:val="24"/>
          <w:highlight w:val="none"/>
        </w:rPr>
        <w:t>在内的随箱文件。</w:t>
      </w:r>
    </w:p>
    <w:p w14:paraId="6D62D41E">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lang w:val="en-US" w:eastAsia="zh-CN"/>
        </w:rPr>
        <w:t>5</w:t>
      </w:r>
      <w:r>
        <w:rPr>
          <w:rFonts w:hint="eastAsia" w:ascii="宋体" w:hAnsi="宋体"/>
          <w:b w:val="0"/>
          <w:bCs w:val="0"/>
          <w:sz w:val="24"/>
          <w:highlight w:val="none"/>
        </w:rPr>
        <w:t>.2 到货验收：产品运抵现场后，采购方将依据本技术规格书进行验收，包括但不限于：</w:t>
      </w:r>
    </w:p>
    <w:p w14:paraId="57E56C3D">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rPr>
        <w:t>- 核对“KA”、“KY”资质标识。</w:t>
      </w:r>
    </w:p>
    <w:p w14:paraId="7D2B9A51">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rPr>
        <w:t>- 检查柜体材质、喷塑工艺、防水檐、锁鼻。</w:t>
      </w:r>
    </w:p>
    <w:p w14:paraId="04358B85">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rPr>
        <w:t>- 检查柜门密封条、等电位连接线（截面积≥4mm²，黄绿色）。</w:t>
      </w:r>
    </w:p>
    <w:p w14:paraId="5C30BE65">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rPr>
        <w:t>- 检查内部三列满铺滑轨、安装背板、N排与PE排。</w:t>
      </w:r>
    </w:p>
    <w:p w14:paraId="519812C9">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rPr>
        <w:t>- 检查柜体下方进出线孔数量（≥4个）及密封圈配置。</w:t>
      </w:r>
    </w:p>
    <w:p w14:paraId="6002A718">
      <w:pPr>
        <w:spacing w:line="360" w:lineRule="auto"/>
        <w:ind w:firstLine="600" w:firstLineChars="250"/>
        <w:rPr>
          <w:rFonts w:hint="eastAsia" w:ascii="宋体" w:hAnsi="宋体"/>
          <w:b w:val="0"/>
          <w:bCs w:val="0"/>
          <w:sz w:val="24"/>
          <w:highlight w:val="none"/>
        </w:rPr>
      </w:pPr>
      <w:r>
        <w:rPr>
          <w:rFonts w:hint="eastAsia" w:ascii="宋体" w:hAnsi="宋体"/>
          <w:b w:val="0"/>
          <w:bCs w:val="0"/>
          <w:sz w:val="24"/>
          <w:highlight w:val="none"/>
          <w:lang w:val="en-US" w:eastAsia="zh-CN"/>
        </w:rPr>
        <w:t>5</w:t>
      </w:r>
      <w:r>
        <w:rPr>
          <w:rFonts w:hint="eastAsia" w:ascii="宋体" w:hAnsi="宋体"/>
          <w:b w:val="0"/>
          <w:bCs w:val="0"/>
          <w:sz w:val="24"/>
          <w:highlight w:val="none"/>
        </w:rPr>
        <w:t>.3 任何不符合本规格书要求的产品将被拒收，并由供货商负责无条件更换或整改。</w:t>
      </w:r>
    </w:p>
    <w:p w14:paraId="0B55A873">
      <w:pPr>
        <w:spacing w:line="360" w:lineRule="auto"/>
        <w:ind w:firstLine="602" w:firstLineChars="250"/>
        <w:rPr>
          <w:rFonts w:hint="eastAsia" w:ascii="宋体" w:hAnsi="宋体"/>
          <w:b/>
          <w:bCs/>
          <w:sz w:val="24"/>
          <w:highlight w:val="none"/>
        </w:rPr>
      </w:pPr>
      <w:r>
        <w:rPr>
          <w:rFonts w:hint="eastAsia" w:ascii="宋体" w:hAnsi="宋体"/>
          <w:b/>
          <w:bCs/>
          <w:sz w:val="24"/>
          <w:highlight w:val="none"/>
          <w:lang w:val="en-US" w:eastAsia="zh-CN"/>
        </w:rPr>
        <w:t>六</w:t>
      </w:r>
      <w:r>
        <w:rPr>
          <w:rFonts w:hint="eastAsia" w:ascii="宋体" w:hAnsi="宋体"/>
          <w:b/>
          <w:bCs/>
          <w:sz w:val="24"/>
          <w:highlight w:val="none"/>
        </w:rPr>
        <w:t>. 包装与运输</w:t>
      </w:r>
    </w:p>
    <w:p w14:paraId="4A7863C9">
      <w:pPr>
        <w:spacing w:line="360" w:lineRule="auto"/>
        <w:ind w:firstLine="600" w:firstLineChars="250"/>
        <w:rPr>
          <w:rFonts w:hint="eastAsia" w:ascii="宋体" w:hAnsi="宋体"/>
          <w:b/>
          <w:bCs/>
          <w:sz w:val="24"/>
          <w:highlight w:val="none"/>
        </w:rPr>
      </w:pPr>
      <w:r>
        <w:rPr>
          <w:rFonts w:hint="eastAsia" w:ascii="宋体" w:hAnsi="宋体"/>
          <w:b w:val="0"/>
          <w:bCs w:val="0"/>
          <w:sz w:val="24"/>
          <w:highlight w:val="none"/>
        </w:rPr>
        <w:t>产品应采用适宜包装，确保在运输和储存过程中不受损坏、变形、锈蚀及部件丢失。</w:t>
      </w:r>
    </w:p>
    <w:p w14:paraId="386B9EC5">
      <w:pPr>
        <w:spacing w:line="360" w:lineRule="auto"/>
        <w:ind w:firstLine="602" w:firstLineChars="250"/>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七</w:t>
      </w:r>
      <w:r>
        <w:rPr>
          <w:rFonts w:hint="eastAsia" w:ascii="宋体" w:hAnsi="宋体" w:eastAsia="宋体" w:cs="宋体"/>
          <w:b/>
          <w:bCs/>
          <w:sz w:val="24"/>
          <w:szCs w:val="24"/>
          <w:highlight w:val="none"/>
        </w:rPr>
        <w:t>、售后服务</w:t>
      </w:r>
    </w:p>
    <w:p w14:paraId="4B9DC183">
      <w:pPr>
        <w:spacing w:line="360" w:lineRule="auto"/>
        <w:rPr>
          <w:rFonts w:hint="eastAsia" w:ascii="宋体" w:hAnsi="宋体" w:eastAsia="宋体" w:cs="宋体"/>
          <w:bCs/>
          <w:sz w:val="24"/>
          <w:szCs w:val="24"/>
          <w:highlight w:val="none"/>
        </w:rPr>
      </w:pPr>
      <w:r>
        <w:rPr>
          <w:rFonts w:hint="eastAsia" w:ascii="宋体" w:hAnsi="宋体" w:cs="宋体"/>
          <w:bCs/>
          <w:sz w:val="24"/>
          <w:szCs w:val="24"/>
          <w:highlight w:val="none"/>
          <w:lang w:val="en-US" w:eastAsia="zh-CN"/>
        </w:rPr>
        <w:t xml:space="preserve">     </w:t>
      </w:r>
      <w:r>
        <w:rPr>
          <w:rFonts w:hint="eastAsia" w:ascii="宋体" w:hAnsi="宋体" w:eastAsia="宋体" w:cs="宋体"/>
          <w:bCs/>
          <w:sz w:val="24"/>
          <w:szCs w:val="24"/>
          <w:highlight w:val="none"/>
        </w:rPr>
        <w:t>1</w:t>
      </w:r>
      <w:r>
        <w:rPr>
          <w:rFonts w:hint="eastAsia" w:ascii="宋体" w:hAnsi="宋体" w:eastAsia="宋体" w:cs="宋体"/>
          <w:sz w:val="24"/>
          <w:szCs w:val="24"/>
          <w:highlight w:val="none"/>
        </w:rPr>
        <w:t>．</w:t>
      </w:r>
      <w:r>
        <w:rPr>
          <w:rFonts w:hint="eastAsia" w:ascii="宋体" w:hAnsi="宋体" w:eastAsia="宋体" w:cs="宋体"/>
          <w:bCs/>
          <w:sz w:val="24"/>
          <w:szCs w:val="24"/>
          <w:highlight w:val="none"/>
        </w:rPr>
        <w:t>在产品质保期</w:t>
      </w:r>
      <w:r>
        <w:rPr>
          <w:rFonts w:hint="eastAsia" w:ascii="宋体" w:hAnsi="宋体" w:eastAsia="宋体" w:cs="宋体"/>
          <w:bCs/>
          <w:sz w:val="24"/>
          <w:szCs w:val="24"/>
          <w:highlight w:val="none"/>
          <w:lang w:val="en-US" w:eastAsia="zh-CN"/>
        </w:rPr>
        <w:t>内</w:t>
      </w:r>
      <w:r>
        <w:rPr>
          <w:rFonts w:hint="eastAsia" w:ascii="宋体" w:hAnsi="宋体" w:eastAsia="宋体" w:cs="宋体"/>
          <w:bCs/>
          <w:sz w:val="24"/>
          <w:szCs w:val="24"/>
          <w:highlight w:val="none"/>
        </w:rPr>
        <w:t>，由于乙方产品出现质量问题，乙方负责包修，包退，包换。由于甲方原因造成的问题，乙方负责协助处理，并提供修复方案。</w:t>
      </w:r>
    </w:p>
    <w:p w14:paraId="4343BAA0">
      <w:pPr>
        <w:spacing w:line="360" w:lineRule="auto"/>
        <w:ind w:left="0" w:leftChars="0" w:firstLine="564" w:firstLineChars="235"/>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rPr>
        <w:t>2</w:t>
      </w:r>
      <w:r>
        <w:rPr>
          <w:rFonts w:hint="eastAsia" w:ascii="宋体" w:hAnsi="宋体" w:eastAsia="宋体" w:cs="宋体"/>
          <w:sz w:val="24"/>
          <w:szCs w:val="24"/>
          <w:highlight w:val="none"/>
        </w:rPr>
        <w:t>．</w:t>
      </w:r>
      <w:r>
        <w:rPr>
          <w:rFonts w:hint="eastAsia" w:ascii="宋体" w:hAnsi="宋体" w:eastAsia="宋体" w:cs="宋体"/>
          <w:bCs/>
          <w:sz w:val="24"/>
          <w:szCs w:val="24"/>
          <w:highlight w:val="none"/>
        </w:rPr>
        <w:t>质量问题的相应期限：若设备发生质量问题，甲方以电话或书面形式告知乙方，乙方在接通知后12h内须予以答复，如需派员到现场处理，3天内必须到达</w:t>
      </w:r>
      <w:r>
        <w:rPr>
          <w:rFonts w:hint="eastAsia" w:ascii="宋体" w:hAnsi="宋体" w:eastAsia="宋体" w:cs="宋体"/>
          <w:bCs/>
          <w:sz w:val="24"/>
          <w:szCs w:val="24"/>
          <w:highlight w:val="none"/>
          <w:lang w:eastAsia="zh-CN"/>
        </w:rPr>
        <w:t>。</w:t>
      </w:r>
    </w:p>
    <w:p w14:paraId="2CABEA39">
      <w:pPr>
        <w:spacing w:line="360" w:lineRule="auto"/>
        <w:rPr>
          <w:rFonts w:hint="eastAsia" w:ascii="宋体" w:hAnsi="宋体" w:eastAsia="宋体" w:cs="宋体"/>
          <w:bCs/>
          <w:sz w:val="24"/>
          <w:szCs w:val="24"/>
          <w:highlight w:val="none"/>
        </w:rPr>
      </w:pPr>
      <w:r>
        <w:rPr>
          <w:rFonts w:hint="eastAsia" w:ascii="宋体" w:hAnsi="宋体" w:cs="宋体"/>
          <w:bCs/>
          <w:sz w:val="24"/>
          <w:szCs w:val="24"/>
          <w:highlight w:val="none"/>
          <w:lang w:val="en-US" w:eastAsia="zh-CN"/>
        </w:rPr>
        <w:t xml:space="preserve">     </w:t>
      </w:r>
      <w:r>
        <w:rPr>
          <w:rFonts w:hint="eastAsia" w:ascii="宋体" w:hAnsi="宋体" w:eastAsia="宋体" w:cs="宋体"/>
          <w:bCs/>
          <w:sz w:val="24"/>
          <w:szCs w:val="24"/>
          <w:highlight w:val="none"/>
        </w:rPr>
        <w:t>3</w:t>
      </w:r>
      <w:r>
        <w:rPr>
          <w:rFonts w:hint="eastAsia" w:ascii="宋体" w:hAnsi="宋体" w:eastAsia="宋体" w:cs="宋体"/>
          <w:sz w:val="24"/>
          <w:szCs w:val="24"/>
          <w:highlight w:val="none"/>
        </w:rPr>
        <w:t>．</w:t>
      </w:r>
      <w:r>
        <w:rPr>
          <w:rFonts w:hint="eastAsia" w:ascii="宋体" w:hAnsi="宋体" w:eastAsia="宋体" w:cs="宋体"/>
          <w:bCs/>
          <w:sz w:val="24"/>
          <w:szCs w:val="24"/>
          <w:highlight w:val="none"/>
        </w:rPr>
        <w:t>赔偿方法：在整机质保期，因为产品质量问题使设备损坏，乙方免费更</w:t>
      </w:r>
      <w:r>
        <w:rPr>
          <w:rFonts w:hint="eastAsia" w:ascii="宋体" w:hAnsi="宋体" w:cs="宋体"/>
          <w:bCs/>
          <w:sz w:val="24"/>
          <w:szCs w:val="24"/>
          <w:highlight w:val="none"/>
          <w:lang w:eastAsia="zh-CN"/>
        </w:rPr>
        <w:t>负责更换</w:t>
      </w:r>
      <w:r>
        <w:rPr>
          <w:rFonts w:hint="eastAsia" w:ascii="宋体" w:hAnsi="宋体" w:eastAsia="宋体" w:cs="宋体"/>
          <w:bCs/>
          <w:sz w:val="24"/>
          <w:szCs w:val="24"/>
          <w:highlight w:val="none"/>
        </w:rPr>
        <w:t>。</w:t>
      </w:r>
    </w:p>
    <w:p w14:paraId="4D5E4579">
      <w:pPr>
        <w:spacing w:line="360" w:lineRule="auto"/>
        <w:ind w:firstLine="480" w:firstLineChars="200"/>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乙方完全负责运输，</w:t>
      </w:r>
      <w:r>
        <w:rPr>
          <w:rFonts w:hint="eastAsia" w:ascii="宋体" w:hAnsi="宋体" w:eastAsia="宋体" w:cs="宋体"/>
          <w:bCs/>
          <w:sz w:val="24"/>
          <w:szCs w:val="24"/>
          <w:highlight w:val="none"/>
          <w:lang w:val="en-US" w:eastAsia="zh-CN"/>
        </w:rPr>
        <w:t>保养包</w:t>
      </w:r>
      <w:r>
        <w:rPr>
          <w:rFonts w:hint="eastAsia" w:ascii="宋体" w:hAnsi="宋体" w:eastAsia="宋体" w:cs="宋体"/>
          <w:sz w:val="24"/>
          <w:szCs w:val="24"/>
          <w:highlight w:val="none"/>
        </w:rPr>
        <w:t>到货后在接到甲方通知后派技术人员到现场指导安装，并进行试车调试</w:t>
      </w:r>
      <w:r>
        <w:rPr>
          <w:rFonts w:hint="eastAsia" w:ascii="宋体" w:hAnsi="宋体" w:eastAsia="宋体" w:cs="宋体"/>
          <w:bCs/>
          <w:sz w:val="24"/>
          <w:szCs w:val="24"/>
          <w:highlight w:val="none"/>
        </w:rPr>
        <w:t>。</w:t>
      </w:r>
    </w:p>
    <w:p w14:paraId="055BE409">
      <w:pPr>
        <w:spacing w:line="360" w:lineRule="auto"/>
        <w:ind w:firstLine="590" w:firstLineChars="245"/>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八</w:t>
      </w:r>
      <w:r>
        <w:rPr>
          <w:rFonts w:hint="eastAsia" w:ascii="宋体" w:hAnsi="宋体" w:eastAsia="宋体" w:cs="宋体"/>
          <w:b/>
          <w:bCs/>
          <w:sz w:val="24"/>
          <w:szCs w:val="24"/>
          <w:highlight w:val="none"/>
        </w:rPr>
        <w:t>、交货</w:t>
      </w:r>
      <w:r>
        <w:rPr>
          <w:rFonts w:hint="eastAsia" w:ascii="宋体" w:hAnsi="宋体" w:eastAsia="宋体" w:cs="宋体"/>
          <w:b/>
          <w:bCs/>
          <w:sz w:val="24"/>
          <w:szCs w:val="24"/>
          <w:highlight w:val="none"/>
          <w:lang w:val="en-US" w:eastAsia="zh-CN"/>
        </w:rPr>
        <w:t>时间及地点</w:t>
      </w:r>
    </w:p>
    <w:p w14:paraId="7D5D417A">
      <w:pPr>
        <w:spacing w:line="360" w:lineRule="auto"/>
        <w:ind w:firstLine="588" w:firstLineChars="245"/>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8.1交货地点：酒钢冶金厂区。</w:t>
      </w:r>
    </w:p>
    <w:p w14:paraId="1F323EA8">
      <w:pPr>
        <w:spacing w:line="360" w:lineRule="auto"/>
        <w:ind w:firstLine="588" w:firstLineChars="245"/>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8.2交货时间：以招标合同为准！</w:t>
      </w:r>
    </w:p>
    <w:p w14:paraId="3D4884AF">
      <w:pPr>
        <w:spacing w:line="360" w:lineRule="auto"/>
        <w:ind w:firstLine="590" w:firstLineChars="245"/>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九、</w:t>
      </w:r>
      <w:r>
        <w:rPr>
          <w:rFonts w:hint="eastAsia" w:ascii="宋体" w:hAnsi="宋体" w:eastAsia="宋体" w:cs="宋体"/>
          <w:b/>
          <w:bCs/>
          <w:sz w:val="24"/>
          <w:szCs w:val="24"/>
          <w:highlight w:val="none"/>
        </w:rPr>
        <w:t>违约赔偿及质保金</w:t>
      </w:r>
    </w:p>
    <w:p w14:paraId="68F39C36">
      <w:pPr>
        <w:spacing w:line="360" w:lineRule="auto"/>
        <w:rPr>
          <w:rFonts w:hint="eastAsia" w:ascii="宋体" w:hAnsi="宋体" w:eastAsia="宋体" w:cs="宋体"/>
          <w:bCs/>
          <w:sz w:val="24"/>
          <w:szCs w:val="24"/>
          <w:highlight w:val="cyan"/>
        </w:rPr>
      </w:pPr>
      <w:r>
        <w:rPr>
          <w:rFonts w:hint="eastAsia" w:ascii="宋体" w:hAnsi="宋体" w:cs="宋体"/>
          <w:bCs/>
          <w:sz w:val="24"/>
          <w:szCs w:val="24"/>
          <w:highlight w:val="none"/>
          <w:lang w:val="en-US" w:eastAsia="zh-CN"/>
        </w:rPr>
        <w:t xml:space="preserve">      </w:t>
      </w:r>
      <w:r>
        <w:rPr>
          <w:rFonts w:hint="eastAsia" w:ascii="宋体" w:hAnsi="宋体" w:eastAsia="宋体" w:cs="宋体"/>
          <w:bCs/>
          <w:sz w:val="24"/>
          <w:szCs w:val="24"/>
          <w:highlight w:val="none"/>
        </w:rPr>
        <w:t>因设备出现重大质量问题，不能满足甲方生产需求，乙方负责赔偿由于设备问题给甲方造成的经济损失，赔偿额度最大为设备购置费用的80%。设备验收使用后，甲方预留设备购置费用的10%做为质保金。</w:t>
      </w:r>
    </w:p>
    <w:p w14:paraId="35E22224">
      <w:pPr>
        <w:spacing w:line="360" w:lineRule="auto"/>
        <w:ind w:firstLine="590" w:firstLineChars="245"/>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十 其他</w:t>
      </w:r>
    </w:p>
    <w:p w14:paraId="6E0C48B6">
      <w:pPr>
        <w:spacing w:line="360" w:lineRule="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10.1本技术规格书一式四份，甲方三份，乙方一份。</w:t>
      </w:r>
    </w:p>
    <w:p w14:paraId="1819BD46">
      <w:pPr>
        <w:keepNext w:val="0"/>
        <w:keepLines w:val="0"/>
        <w:widowControl w:val="0"/>
        <w:kinsoku/>
        <w:wordWrap/>
        <w:overflowPunct/>
        <w:autoSpaceDE/>
        <w:autoSpaceDN/>
        <w:bidi w:val="0"/>
        <w:spacing w:line="360" w:lineRule="auto"/>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10.2本规格书内容经由甲乙双方于</w:t>
      </w:r>
      <w:r>
        <w:rPr>
          <w:rFonts w:hint="eastAsia" w:ascii="仿宋" w:hAnsi="仿宋" w:eastAsia="仿宋" w:cs="仿宋"/>
          <w:bCs/>
          <w:color w:val="0C0C0C"/>
          <w:sz w:val="24"/>
          <w:highlight w:val="none"/>
          <w:u w:val="single"/>
          <w:lang w:val="en-US" w:eastAsia="zh-CN"/>
        </w:rPr>
        <w:t xml:space="preserve"> </w:t>
      </w:r>
      <w:r>
        <w:rPr>
          <w:rFonts w:hint="eastAsia" w:ascii="仿宋" w:hAnsi="仿宋" w:cs="仿宋"/>
          <w:bCs/>
          <w:color w:val="0C0C0C"/>
          <w:sz w:val="24"/>
          <w:highlight w:val="none"/>
          <w:u w:val="single"/>
          <w:lang w:val="en-US" w:eastAsia="zh-CN"/>
        </w:rPr>
        <w:t xml:space="preserve">2026 </w:t>
      </w:r>
      <w:r>
        <w:rPr>
          <w:rFonts w:hint="eastAsia" w:ascii="宋体" w:hAnsi="宋体" w:eastAsia="宋体" w:cs="宋体"/>
          <w:bCs/>
          <w:sz w:val="24"/>
          <w:szCs w:val="24"/>
          <w:highlight w:val="none"/>
          <w:lang w:val="en-US" w:eastAsia="zh-CN"/>
        </w:rPr>
        <w:t>年</w:t>
      </w:r>
      <w:r>
        <w:rPr>
          <w:rFonts w:hint="eastAsia" w:ascii="仿宋" w:hAnsi="仿宋" w:cs="仿宋"/>
          <w:bCs/>
          <w:color w:val="0C0C0C"/>
          <w:sz w:val="24"/>
          <w:highlight w:val="none"/>
          <w:u w:val="single"/>
          <w:lang w:val="en-US" w:eastAsia="zh-CN"/>
        </w:rPr>
        <w:t xml:space="preserve"> </w:t>
      </w:r>
      <w:r>
        <w:rPr>
          <w:rFonts w:hint="eastAsia" w:ascii="仿宋" w:hAnsi="仿宋" w:eastAsia="仿宋" w:cs="仿宋"/>
          <w:bCs/>
          <w:color w:val="0C0C0C"/>
          <w:sz w:val="24"/>
          <w:highlight w:val="none"/>
          <w:u w:val="single"/>
          <w:lang w:val="en-US" w:eastAsia="zh-CN"/>
        </w:rPr>
        <w:t xml:space="preserve"> </w:t>
      </w:r>
      <w:r>
        <w:rPr>
          <w:rFonts w:hint="eastAsia" w:ascii="仿宋" w:hAnsi="仿宋" w:cs="仿宋"/>
          <w:bCs/>
          <w:color w:val="0C0C0C"/>
          <w:sz w:val="24"/>
          <w:highlight w:val="none"/>
          <w:u w:val="single"/>
          <w:lang w:val="en-US" w:eastAsia="zh-CN"/>
        </w:rPr>
        <w:t xml:space="preserve">  </w:t>
      </w:r>
      <w:r>
        <w:rPr>
          <w:rFonts w:hint="eastAsia" w:ascii="宋体" w:hAnsi="宋体" w:eastAsia="宋体" w:cs="宋体"/>
          <w:bCs/>
          <w:sz w:val="24"/>
          <w:szCs w:val="24"/>
          <w:highlight w:val="none"/>
          <w:lang w:val="en-US" w:eastAsia="zh-CN"/>
        </w:rPr>
        <w:t>月</w:t>
      </w:r>
      <w:r>
        <w:rPr>
          <w:rFonts w:hint="eastAsia" w:ascii="仿宋_GB2312" w:hAnsi="仿宋_GB2312" w:eastAsia="仿宋_GB2312" w:cs="仿宋_GB2312"/>
          <w:b w:val="0"/>
          <w:bCs w:val="0"/>
          <w:color w:val="0C0C0C"/>
          <w:sz w:val="24"/>
          <w:szCs w:val="24"/>
          <w:highlight w:val="none"/>
          <w:u w:val="single"/>
          <w:lang w:val="en-US" w:eastAsia="zh-CN"/>
        </w:rPr>
        <w:t xml:space="preserve"> </w:t>
      </w:r>
      <w:r>
        <w:rPr>
          <w:rFonts w:hint="eastAsia" w:ascii="仿宋" w:hAnsi="仿宋" w:cs="仿宋"/>
          <w:bCs/>
          <w:color w:val="0C0C0C"/>
          <w:sz w:val="24"/>
          <w:highlight w:val="none"/>
          <w:u w:val="single"/>
          <w:lang w:val="en-US" w:eastAsia="zh-CN"/>
        </w:rPr>
        <w:t xml:space="preserve">   </w:t>
      </w:r>
      <w:r>
        <w:rPr>
          <w:rFonts w:hint="eastAsia" w:ascii="宋体" w:hAnsi="宋体" w:eastAsia="宋体" w:cs="宋体"/>
          <w:bCs/>
          <w:sz w:val="24"/>
          <w:szCs w:val="24"/>
          <w:highlight w:val="none"/>
          <w:lang w:val="en-US" w:eastAsia="zh-CN"/>
        </w:rPr>
        <w:t>日</w:t>
      </w:r>
      <w:r>
        <w:rPr>
          <w:rFonts w:hint="eastAsia" w:ascii="仿宋" w:hAnsi="仿宋" w:cs="仿宋"/>
          <w:bCs/>
          <w:color w:val="0C0C0C"/>
          <w:sz w:val="24"/>
          <w:highlight w:val="none"/>
          <w:u w:val="single"/>
          <w:lang w:val="en-US" w:eastAsia="zh-CN"/>
        </w:rPr>
        <w:t xml:space="preserve">    </w:t>
      </w:r>
      <w:r>
        <w:rPr>
          <w:rFonts w:hint="eastAsia" w:ascii="宋体" w:hAnsi="宋体" w:eastAsia="宋体" w:cs="宋体"/>
          <w:bCs/>
          <w:sz w:val="24"/>
          <w:szCs w:val="24"/>
          <w:highlight w:val="none"/>
          <w:lang w:val="en-US" w:eastAsia="zh-CN"/>
        </w:rPr>
        <w:t>时至</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lang w:val="en-US" w:eastAsia="zh-CN"/>
        </w:rPr>
        <w:t>时通过</w:t>
      </w:r>
      <w:r>
        <w:rPr>
          <w:rFonts w:hint="eastAsia" w:ascii="宋体" w:hAnsi="宋体" w:eastAsia="宋体" w:cs="宋体"/>
          <w:bCs/>
          <w:color w:val="0C0C0C"/>
          <w:sz w:val="28"/>
          <w:szCs w:val="28"/>
          <w:highlight w:val="none"/>
          <w:u w:val="single"/>
          <w:lang w:val="en-US" w:eastAsia="zh-CN"/>
        </w:rPr>
        <w:t xml:space="preserve"> </w:t>
      </w:r>
      <w:r>
        <w:rPr>
          <w:rFonts w:hint="eastAsia" w:ascii="宋体" w:hAnsi="宋体" w:cs="宋体"/>
          <w:bCs/>
          <w:color w:val="0C0C0C"/>
          <w:sz w:val="22"/>
          <w:szCs w:val="22"/>
          <w:highlight w:val="none"/>
          <w:u w:val="single"/>
          <w:lang w:val="en-US" w:eastAsia="zh-CN"/>
        </w:rPr>
        <w:t xml:space="preserve"> </w:t>
      </w:r>
      <w:r>
        <w:rPr>
          <w:rFonts w:hint="eastAsia" w:ascii="宋体" w:hAnsi="宋体" w:cs="宋体"/>
          <w:bCs/>
          <w:color w:val="0C0C0C"/>
          <w:sz w:val="28"/>
          <w:szCs w:val="28"/>
          <w:highlight w:val="none"/>
          <w:u w:val="single"/>
          <w:lang w:val="en-US" w:eastAsia="zh-CN"/>
        </w:rPr>
        <w:t xml:space="preserve">       </w:t>
      </w:r>
      <w:r>
        <w:rPr>
          <w:rFonts w:hint="eastAsia" w:ascii="宋体" w:hAnsi="宋体" w:eastAsia="宋体" w:cs="宋体"/>
          <w:bCs/>
          <w:sz w:val="24"/>
          <w:szCs w:val="24"/>
          <w:highlight w:val="none"/>
          <w:lang w:val="en-US" w:eastAsia="zh-CN"/>
        </w:rPr>
        <w:t>方式商定。</w:t>
      </w:r>
    </w:p>
    <w:p w14:paraId="14A5BE68">
      <w:pPr>
        <w:keepNext w:val="0"/>
        <w:keepLines w:val="0"/>
        <w:widowControl w:val="0"/>
        <w:kinsoku/>
        <w:wordWrap/>
        <w:overflowPunct/>
        <w:autoSpaceDE/>
        <w:autoSpaceDN/>
        <w:bidi w:val="0"/>
        <w:spacing w:line="360" w:lineRule="auto"/>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10.3甲乙双方应当就签订本规格书的相关事宜保密，不得将签订主体、时间、内容等信息透露给其他第三人。</w:t>
      </w:r>
    </w:p>
    <w:p w14:paraId="3205080A">
      <w:pPr>
        <w:keepNext w:val="0"/>
        <w:keepLines w:val="0"/>
        <w:widowControl w:val="0"/>
        <w:kinsoku/>
        <w:wordWrap/>
        <w:overflowPunct/>
        <w:autoSpaceDE/>
        <w:autoSpaceDN/>
        <w:bidi w:val="0"/>
        <w:spacing w:line="360" w:lineRule="auto"/>
        <w:ind w:firstLine="240" w:firstLineChars="100"/>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10.4若</w:t>
      </w:r>
      <w:r>
        <w:rPr>
          <w:rFonts w:hint="eastAsia" w:ascii="仿宋" w:hAnsi="仿宋" w:eastAsia="仿宋" w:cs="仿宋"/>
          <w:bCs/>
          <w:color w:val="0C0C0C"/>
          <w:sz w:val="24"/>
          <w:highlight w:val="none"/>
          <w:u w:val="single"/>
          <w:lang w:val="en-US" w:eastAsia="zh-CN"/>
        </w:rPr>
        <w:t xml:space="preserve">                             </w:t>
      </w:r>
      <w:r>
        <w:rPr>
          <w:rFonts w:hint="eastAsia" w:ascii="宋体" w:hAnsi="宋体" w:eastAsia="宋体" w:cs="宋体"/>
          <w:bCs/>
          <w:sz w:val="24"/>
          <w:szCs w:val="24"/>
          <w:highlight w:val="none"/>
          <w:lang w:val="en-US" w:eastAsia="zh-CN"/>
        </w:rPr>
        <w:t>单位不中标，本技术规格书自动失效，双方互不承担任何责任。</w:t>
      </w:r>
    </w:p>
    <w:tbl>
      <w:tblPr>
        <w:tblStyle w:val="15"/>
        <w:tblpPr w:leftFromText="180" w:rightFromText="180" w:vertAnchor="text" w:horzAnchor="page" w:tblpX="2269" w:tblpY="261"/>
        <w:tblOverlap w:val="never"/>
        <w:tblW w:w="8349" w:type="dxa"/>
        <w:tblInd w:w="0" w:type="dxa"/>
        <w:tblLayout w:type="fixed"/>
        <w:tblCellMar>
          <w:top w:w="0" w:type="dxa"/>
          <w:left w:w="108" w:type="dxa"/>
          <w:bottom w:w="0" w:type="dxa"/>
          <w:right w:w="108" w:type="dxa"/>
        </w:tblCellMar>
      </w:tblPr>
      <w:tblGrid>
        <w:gridCol w:w="4278"/>
        <w:gridCol w:w="4071"/>
      </w:tblGrid>
      <w:tr w14:paraId="2E85C47E">
        <w:tblPrEx>
          <w:tblCellMar>
            <w:top w:w="0" w:type="dxa"/>
            <w:left w:w="108" w:type="dxa"/>
            <w:bottom w:w="0" w:type="dxa"/>
            <w:right w:w="108" w:type="dxa"/>
          </w:tblCellMar>
        </w:tblPrEx>
        <w:trPr>
          <w:trHeight w:val="1654" w:hRule="atLeast"/>
        </w:trPr>
        <w:tc>
          <w:tcPr>
            <w:tcW w:w="4278" w:type="dxa"/>
            <w:noWrap/>
            <w:vAlign w:val="center"/>
          </w:tcPr>
          <w:p w14:paraId="25E2F56C">
            <w:pPr>
              <w:keepNext w:val="0"/>
              <w:keepLines w:val="0"/>
              <w:widowControl w:val="0"/>
              <w:kinsoku/>
              <w:wordWrap/>
              <w:overflowPunct/>
              <w:autoSpaceDE/>
              <w:autoSpaceDN/>
              <w:bidi w:val="0"/>
              <w:spacing w:line="360" w:lineRule="auto"/>
              <w:textAlignment w:val="auto"/>
              <w:outlineLvl w:val="9"/>
              <w:rPr>
                <w:rFonts w:hint="eastAsia" w:ascii="宋体" w:hAnsi="宋体" w:eastAsia="宋体" w:cs="宋体"/>
                <w:color w:val="0C0C0C"/>
                <w:spacing w:val="-2"/>
                <w:sz w:val="28"/>
                <w:szCs w:val="28"/>
                <w:highlight w:val="none"/>
                <w:lang w:val="en-US" w:eastAsia="zh-CN"/>
              </w:rPr>
            </w:pPr>
            <w:r>
              <w:rPr>
                <w:rFonts w:hint="eastAsia" w:ascii="宋体" w:hAnsi="宋体" w:eastAsia="宋体" w:cs="宋体"/>
                <w:color w:val="0C0C0C"/>
                <w:spacing w:val="-2"/>
                <w:sz w:val="28"/>
                <w:szCs w:val="28"/>
                <w:highlight w:val="none"/>
                <w:lang w:val="en-US" w:eastAsia="zh-CN"/>
              </w:rPr>
              <w:t>甲方 （盖章）:酒钢（集团）宏联自控有限责任公司</w:t>
            </w:r>
          </w:p>
        </w:tc>
        <w:tc>
          <w:tcPr>
            <w:tcW w:w="4071" w:type="dxa"/>
            <w:noWrap/>
            <w:vAlign w:val="center"/>
          </w:tcPr>
          <w:p w14:paraId="4131C4D8">
            <w:pPr>
              <w:keepNext w:val="0"/>
              <w:keepLines w:val="0"/>
              <w:widowControl w:val="0"/>
              <w:kinsoku/>
              <w:wordWrap/>
              <w:overflowPunct/>
              <w:autoSpaceDE/>
              <w:autoSpaceDN/>
              <w:bidi w:val="0"/>
              <w:spacing w:line="360" w:lineRule="auto"/>
              <w:ind w:firstLine="828" w:firstLineChars="300"/>
              <w:textAlignment w:val="auto"/>
              <w:outlineLvl w:val="9"/>
              <w:rPr>
                <w:rFonts w:hint="eastAsia" w:ascii="宋体" w:hAnsi="宋体" w:eastAsia="宋体" w:cs="宋体"/>
                <w:color w:val="0C0C0C"/>
                <w:spacing w:val="-2"/>
                <w:sz w:val="28"/>
                <w:szCs w:val="28"/>
                <w:highlight w:val="none"/>
                <w:lang w:val="en-US" w:eastAsia="zh-CN"/>
              </w:rPr>
            </w:pPr>
            <w:r>
              <w:rPr>
                <w:rFonts w:hint="eastAsia" w:ascii="宋体" w:hAnsi="宋体" w:eastAsia="宋体" w:cs="宋体"/>
                <w:color w:val="0C0C0C"/>
                <w:spacing w:val="-2"/>
                <w:sz w:val="28"/>
                <w:szCs w:val="28"/>
                <w:highlight w:val="none"/>
                <w:lang w:val="en-US" w:eastAsia="zh-CN"/>
              </w:rPr>
              <w:t>乙方（盖章）:</w:t>
            </w:r>
          </w:p>
        </w:tc>
      </w:tr>
      <w:tr w14:paraId="61E787A0">
        <w:tblPrEx>
          <w:tblCellMar>
            <w:top w:w="0" w:type="dxa"/>
            <w:left w:w="108" w:type="dxa"/>
            <w:bottom w:w="0" w:type="dxa"/>
            <w:right w:w="108" w:type="dxa"/>
          </w:tblCellMar>
        </w:tblPrEx>
        <w:trPr>
          <w:trHeight w:val="913" w:hRule="atLeast"/>
        </w:trPr>
        <w:tc>
          <w:tcPr>
            <w:tcW w:w="4278" w:type="dxa"/>
            <w:noWrap/>
            <w:vAlign w:val="center"/>
          </w:tcPr>
          <w:p w14:paraId="1A37F5EA">
            <w:pPr>
              <w:keepNext w:val="0"/>
              <w:keepLines w:val="0"/>
              <w:widowControl w:val="0"/>
              <w:kinsoku/>
              <w:wordWrap/>
              <w:overflowPunct/>
              <w:autoSpaceDE/>
              <w:autoSpaceDN/>
              <w:bidi w:val="0"/>
              <w:spacing w:line="360" w:lineRule="auto"/>
              <w:ind w:firstLine="276" w:firstLineChars="100"/>
              <w:textAlignment w:val="auto"/>
              <w:outlineLvl w:val="9"/>
              <w:rPr>
                <w:rFonts w:hint="eastAsia" w:ascii="宋体" w:hAnsi="宋体" w:eastAsia="宋体" w:cs="宋体"/>
                <w:color w:val="0C0C0C"/>
                <w:spacing w:val="-2"/>
                <w:sz w:val="28"/>
                <w:szCs w:val="28"/>
                <w:highlight w:val="none"/>
                <w:lang w:val="en-US" w:eastAsia="zh-CN"/>
              </w:rPr>
            </w:pPr>
            <w:r>
              <w:rPr>
                <w:rFonts w:hint="eastAsia" w:ascii="宋体" w:hAnsi="宋体" w:eastAsia="宋体" w:cs="宋体"/>
                <w:color w:val="0C0C0C"/>
                <w:spacing w:val="-2"/>
                <w:sz w:val="28"/>
                <w:szCs w:val="28"/>
                <w:highlight w:val="none"/>
                <w:lang w:val="en-US" w:eastAsia="zh-CN"/>
              </w:rPr>
              <w:t>委托代理人：</w:t>
            </w:r>
          </w:p>
        </w:tc>
        <w:tc>
          <w:tcPr>
            <w:tcW w:w="4071" w:type="dxa"/>
            <w:noWrap/>
            <w:vAlign w:val="center"/>
          </w:tcPr>
          <w:p w14:paraId="74761622">
            <w:pPr>
              <w:keepNext w:val="0"/>
              <w:keepLines w:val="0"/>
              <w:widowControl w:val="0"/>
              <w:kinsoku/>
              <w:wordWrap/>
              <w:overflowPunct/>
              <w:autoSpaceDE/>
              <w:autoSpaceDN/>
              <w:bidi w:val="0"/>
              <w:spacing w:line="360" w:lineRule="auto"/>
              <w:ind w:firstLine="828" w:firstLineChars="300"/>
              <w:textAlignment w:val="auto"/>
              <w:outlineLvl w:val="9"/>
              <w:rPr>
                <w:rFonts w:hint="eastAsia" w:ascii="宋体" w:hAnsi="宋体" w:eastAsia="宋体" w:cs="宋体"/>
                <w:color w:val="0C0C0C"/>
                <w:spacing w:val="-2"/>
                <w:sz w:val="28"/>
                <w:szCs w:val="28"/>
                <w:highlight w:val="none"/>
                <w:lang w:val="en-US" w:eastAsia="zh-CN"/>
              </w:rPr>
            </w:pPr>
            <w:r>
              <w:rPr>
                <w:rFonts w:hint="eastAsia" w:ascii="宋体" w:hAnsi="宋体" w:eastAsia="宋体" w:cs="宋体"/>
                <w:color w:val="0C0C0C"/>
                <w:spacing w:val="-2"/>
                <w:sz w:val="28"/>
                <w:szCs w:val="28"/>
                <w:highlight w:val="none"/>
                <w:lang w:val="en-US" w:eastAsia="zh-CN"/>
              </w:rPr>
              <w:t>委托代理人：</w:t>
            </w:r>
          </w:p>
        </w:tc>
      </w:tr>
      <w:tr w14:paraId="5A347C04">
        <w:tblPrEx>
          <w:tblCellMar>
            <w:top w:w="0" w:type="dxa"/>
            <w:left w:w="108" w:type="dxa"/>
            <w:bottom w:w="0" w:type="dxa"/>
            <w:right w:w="108" w:type="dxa"/>
          </w:tblCellMar>
        </w:tblPrEx>
        <w:trPr>
          <w:trHeight w:val="525" w:hRule="atLeast"/>
        </w:trPr>
        <w:tc>
          <w:tcPr>
            <w:tcW w:w="4278" w:type="dxa"/>
            <w:noWrap/>
            <w:vAlign w:val="center"/>
          </w:tcPr>
          <w:p w14:paraId="1C81E91D">
            <w:pPr>
              <w:keepNext w:val="0"/>
              <w:keepLines w:val="0"/>
              <w:widowControl w:val="0"/>
              <w:kinsoku/>
              <w:wordWrap/>
              <w:overflowPunct/>
              <w:autoSpaceDE/>
              <w:autoSpaceDN/>
              <w:bidi w:val="0"/>
              <w:spacing w:line="360" w:lineRule="auto"/>
              <w:ind w:firstLine="276" w:firstLineChars="100"/>
              <w:textAlignment w:val="auto"/>
              <w:outlineLvl w:val="9"/>
              <w:rPr>
                <w:rFonts w:hint="eastAsia" w:ascii="宋体" w:hAnsi="宋体" w:eastAsia="宋体" w:cs="宋体"/>
                <w:color w:val="0C0C0C"/>
                <w:spacing w:val="-2"/>
                <w:sz w:val="28"/>
                <w:szCs w:val="28"/>
                <w:highlight w:val="none"/>
                <w:lang w:val="en-US" w:eastAsia="zh-CN"/>
              </w:rPr>
            </w:pPr>
            <w:r>
              <w:rPr>
                <w:rFonts w:hint="eastAsia" w:ascii="宋体" w:hAnsi="宋体" w:eastAsia="宋体" w:cs="宋体"/>
                <w:color w:val="0C0C0C"/>
                <w:spacing w:val="-2"/>
                <w:sz w:val="28"/>
                <w:szCs w:val="28"/>
                <w:highlight w:val="none"/>
                <w:lang w:val="en-US" w:eastAsia="zh-CN"/>
              </w:rPr>
              <w:t>日期：</w:t>
            </w:r>
          </w:p>
        </w:tc>
        <w:tc>
          <w:tcPr>
            <w:tcW w:w="4071" w:type="dxa"/>
            <w:noWrap/>
            <w:vAlign w:val="center"/>
          </w:tcPr>
          <w:p w14:paraId="6476902F">
            <w:pPr>
              <w:keepNext w:val="0"/>
              <w:keepLines w:val="0"/>
              <w:widowControl w:val="0"/>
              <w:kinsoku/>
              <w:wordWrap/>
              <w:overflowPunct/>
              <w:autoSpaceDE/>
              <w:autoSpaceDN/>
              <w:bidi w:val="0"/>
              <w:spacing w:line="360" w:lineRule="auto"/>
              <w:ind w:firstLine="828" w:firstLineChars="300"/>
              <w:textAlignment w:val="auto"/>
              <w:outlineLvl w:val="9"/>
              <w:rPr>
                <w:rFonts w:hint="eastAsia" w:ascii="宋体" w:hAnsi="宋体" w:eastAsia="宋体" w:cs="宋体"/>
                <w:color w:val="0C0C0C"/>
                <w:spacing w:val="-2"/>
                <w:sz w:val="28"/>
                <w:szCs w:val="28"/>
                <w:highlight w:val="none"/>
                <w:lang w:val="en-US" w:eastAsia="zh-CN"/>
              </w:rPr>
            </w:pPr>
            <w:r>
              <w:rPr>
                <w:rFonts w:hint="eastAsia" w:ascii="宋体" w:hAnsi="宋体" w:eastAsia="宋体" w:cs="宋体"/>
                <w:color w:val="0C0C0C"/>
                <w:spacing w:val="-2"/>
                <w:sz w:val="28"/>
                <w:szCs w:val="28"/>
                <w:highlight w:val="none"/>
                <w:lang w:val="en-US" w:eastAsia="zh-CN"/>
              </w:rPr>
              <w:t xml:space="preserve">日期： </w:t>
            </w:r>
          </w:p>
        </w:tc>
      </w:tr>
    </w:tbl>
    <w:p w14:paraId="57F22005">
      <w:pPr>
        <w:tabs>
          <w:tab w:val="left" w:pos="1096"/>
        </w:tabs>
        <w:rPr>
          <w:rFonts w:hint="eastAsia" w:ascii="宋体" w:cs="宋体"/>
          <w:sz w:val="24"/>
          <w:highlight w:val="cyan"/>
          <w:lang w:val="zh-CN"/>
        </w:rPr>
      </w:pPr>
    </w:p>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粗圆简体">
    <w:panose1 w:val="02000000000000000000"/>
    <w:charset w:val="86"/>
    <w:family w:val="auto"/>
    <w:pitch w:val="default"/>
    <w:sig w:usb0="00000001" w:usb1="08000000" w:usb2="00000000" w:usb3="00000000" w:csb0="00040000" w:csb1="00000000"/>
  </w:font>
  <w:font w:name="Arial">
    <w:panose1 w:val="020B0604020202020204"/>
    <w:charset w:val="00"/>
    <w:family w:val="swiss"/>
    <w:pitch w:val="default"/>
    <w:sig w:usb0="E0002AFF" w:usb1="C0007843" w:usb2="00000009" w:usb3="00000000" w:csb0="400001FF" w:csb1="FFFF0000"/>
  </w:font>
  <w:font w:name="仿宋_GB2312">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华康简黑">
    <w:altName w:val="黑体"/>
    <w:panose1 w:val="02010609000101010101"/>
    <w:charset w:val="86"/>
    <w:family w:val="modern"/>
    <w:pitch w:val="default"/>
    <w:sig w:usb0="00000001" w:usb1="080E0000" w:usb2="00000010" w:usb3="00000000" w:csb0="00040000" w:csb1="00000000"/>
  </w:font>
  <w:font w:name="Cambria">
    <w:panose1 w:val="02040503050406030204"/>
    <w:charset w:val="00"/>
    <w:family w:val="roman"/>
    <w:pitch w:val="default"/>
    <w:sig w:usb0="A00002EF" w:usb1="4000004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9008E">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DEAAA">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EF1C5">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DC2D6">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664A1">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CC2FF9"/>
    <w:multiLevelType w:val="multilevel"/>
    <w:tmpl w:val="22CC2FF9"/>
    <w:lvl w:ilvl="0" w:tentative="0">
      <w:start w:val="1"/>
      <w:numFmt w:val="decimal"/>
      <w:pStyle w:val="2"/>
      <w:lvlText w:val="%1."/>
      <w:lvlJc w:val="left"/>
      <w:pPr>
        <w:tabs>
          <w:tab w:val="left" w:pos="360"/>
        </w:tabs>
        <w:ind w:left="360" w:hanging="360"/>
      </w:pPr>
      <w:rPr>
        <w:rFonts w:hint="eastAsia"/>
      </w:rPr>
    </w:lvl>
    <w:lvl w:ilvl="1" w:tentative="0">
      <w:start w:val="1"/>
      <w:numFmt w:val="decimal"/>
      <w:pStyle w:val="3"/>
      <w:lvlText w:val="%1.%2."/>
      <w:lvlJc w:val="left"/>
      <w:pPr>
        <w:tabs>
          <w:tab w:val="left" w:pos="912"/>
        </w:tabs>
        <w:ind w:left="912" w:hanging="432"/>
      </w:pPr>
      <w:rPr>
        <w:rFonts w:hint="eastAsia"/>
      </w:rPr>
    </w:lvl>
    <w:lvl w:ilvl="2" w:tentative="0">
      <w:start w:val="1"/>
      <w:numFmt w:val="decimal"/>
      <w:pStyle w:val="4"/>
      <w:lvlText w:val="%1.%2.%3."/>
      <w:lvlJc w:val="left"/>
      <w:pPr>
        <w:tabs>
          <w:tab w:val="left" w:pos="1224"/>
        </w:tabs>
        <w:ind w:left="1224" w:hanging="504"/>
      </w:pPr>
      <w:rPr>
        <w:rFonts w:hint="eastAsia"/>
      </w:rPr>
    </w:lvl>
    <w:lvl w:ilvl="3" w:tentative="0">
      <w:start w:val="1"/>
      <w:numFmt w:val="decimal"/>
      <w:lvlText w:val="%1.%2.%3.%4."/>
      <w:lvlJc w:val="left"/>
      <w:pPr>
        <w:tabs>
          <w:tab w:val="left" w:pos="1728"/>
        </w:tabs>
        <w:ind w:left="1728" w:hanging="648"/>
      </w:pPr>
      <w:rPr>
        <w:rFonts w:hint="eastAsia"/>
      </w:rPr>
    </w:lvl>
    <w:lvl w:ilvl="4" w:tentative="0">
      <w:start w:val="1"/>
      <w:numFmt w:val="decimal"/>
      <w:lvlText w:val="%1.%2.%3.%4.%5."/>
      <w:lvlJc w:val="left"/>
      <w:pPr>
        <w:tabs>
          <w:tab w:val="left" w:pos="2232"/>
        </w:tabs>
        <w:ind w:left="2232" w:hanging="792"/>
      </w:pPr>
      <w:rPr>
        <w:rFonts w:hint="eastAsia"/>
      </w:rPr>
    </w:lvl>
    <w:lvl w:ilvl="5" w:tentative="0">
      <w:start w:val="1"/>
      <w:numFmt w:val="decimal"/>
      <w:lvlText w:val="%1.%2.%3.%4.%5.%6."/>
      <w:lvlJc w:val="left"/>
      <w:pPr>
        <w:tabs>
          <w:tab w:val="left" w:pos="2880"/>
        </w:tabs>
        <w:ind w:left="2736" w:hanging="936"/>
      </w:pPr>
      <w:rPr>
        <w:rFonts w:hint="eastAsia"/>
      </w:rPr>
    </w:lvl>
    <w:lvl w:ilvl="6" w:tentative="0">
      <w:start w:val="1"/>
      <w:numFmt w:val="decimal"/>
      <w:lvlText w:val="%1.%2.%3.%4.%5.%6.%7."/>
      <w:lvlJc w:val="left"/>
      <w:pPr>
        <w:tabs>
          <w:tab w:val="left" w:pos="3600"/>
        </w:tabs>
        <w:ind w:left="3240" w:hanging="1080"/>
      </w:pPr>
      <w:rPr>
        <w:rFonts w:hint="eastAsia"/>
      </w:rPr>
    </w:lvl>
    <w:lvl w:ilvl="7" w:tentative="0">
      <w:start w:val="1"/>
      <w:numFmt w:val="decimal"/>
      <w:lvlText w:val="%1.%2.%3.%4.%5.%6.%7.%8."/>
      <w:lvlJc w:val="left"/>
      <w:pPr>
        <w:tabs>
          <w:tab w:val="left" w:pos="3960"/>
        </w:tabs>
        <w:ind w:left="3744" w:hanging="1224"/>
      </w:pPr>
      <w:rPr>
        <w:rFonts w:hint="eastAsia"/>
      </w:rPr>
    </w:lvl>
    <w:lvl w:ilvl="8" w:tentative="0">
      <w:start w:val="1"/>
      <w:numFmt w:val="decimal"/>
      <w:lvlText w:val="%1.%2.%3.%4.%5.%6.%7.%8.%9."/>
      <w:lvlJc w:val="left"/>
      <w:pPr>
        <w:tabs>
          <w:tab w:val="left" w:pos="4320"/>
        </w:tabs>
        <w:ind w:left="4320" w:hanging="144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wMmVkYTZkMGUzNmIzM2M3OTEwNzk5NTA2MWFiYWEifQ=="/>
  </w:docVars>
  <w:rsids>
    <w:rsidRoot w:val="003B5BF3"/>
    <w:rsid w:val="000001F2"/>
    <w:rsid w:val="00005D0C"/>
    <w:rsid w:val="00006A8C"/>
    <w:rsid w:val="00011D3A"/>
    <w:rsid w:val="00033740"/>
    <w:rsid w:val="00036AE5"/>
    <w:rsid w:val="00052CF6"/>
    <w:rsid w:val="00074179"/>
    <w:rsid w:val="00074DBA"/>
    <w:rsid w:val="00086223"/>
    <w:rsid w:val="000A362D"/>
    <w:rsid w:val="000C1ECC"/>
    <w:rsid w:val="000D33B1"/>
    <w:rsid w:val="000E37D9"/>
    <w:rsid w:val="000E7D20"/>
    <w:rsid w:val="000F6B4C"/>
    <w:rsid w:val="0013096D"/>
    <w:rsid w:val="00150C0D"/>
    <w:rsid w:val="00160DA0"/>
    <w:rsid w:val="00166733"/>
    <w:rsid w:val="00175822"/>
    <w:rsid w:val="00195C7B"/>
    <w:rsid w:val="001C12EF"/>
    <w:rsid w:val="001D532B"/>
    <w:rsid w:val="001D6A7D"/>
    <w:rsid w:val="00215ACC"/>
    <w:rsid w:val="002235F0"/>
    <w:rsid w:val="0024367D"/>
    <w:rsid w:val="00244345"/>
    <w:rsid w:val="00264226"/>
    <w:rsid w:val="00264E69"/>
    <w:rsid w:val="0026651F"/>
    <w:rsid w:val="00294B18"/>
    <w:rsid w:val="00303875"/>
    <w:rsid w:val="00304495"/>
    <w:rsid w:val="00310C95"/>
    <w:rsid w:val="00325461"/>
    <w:rsid w:val="00333796"/>
    <w:rsid w:val="003753E3"/>
    <w:rsid w:val="003A1901"/>
    <w:rsid w:val="003A5D48"/>
    <w:rsid w:val="003A6664"/>
    <w:rsid w:val="003B5BF3"/>
    <w:rsid w:val="003B700F"/>
    <w:rsid w:val="003E58EF"/>
    <w:rsid w:val="003F0047"/>
    <w:rsid w:val="003F56E8"/>
    <w:rsid w:val="00403FD5"/>
    <w:rsid w:val="00415BEB"/>
    <w:rsid w:val="00416313"/>
    <w:rsid w:val="00443BF6"/>
    <w:rsid w:val="00450867"/>
    <w:rsid w:val="00481A99"/>
    <w:rsid w:val="004900F0"/>
    <w:rsid w:val="004911E4"/>
    <w:rsid w:val="004A249B"/>
    <w:rsid w:val="004A45CE"/>
    <w:rsid w:val="004D1552"/>
    <w:rsid w:val="004D1E60"/>
    <w:rsid w:val="004D57F0"/>
    <w:rsid w:val="00501B8D"/>
    <w:rsid w:val="00502B18"/>
    <w:rsid w:val="0050381B"/>
    <w:rsid w:val="00544C80"/>
    <w:rsid w:val="00551306"/>
    <w:rsid w:val="00551B0A"/>
    <w:rsid w:val="00551C49"/>
    <w:rsid w:val="00551FD5"/>
    <w:rsid w:val="00560E71"/>
    <w:rsid w:val="00572569"/>
    <w:rsid w:val="005947C4"/>
    <w:rsid w:val="005A380F"/>
    <w:rsid w:val="005A6225"/>
    <w:rsid w:val="005A66C4"/>
    <w:rsid w:val="005A70A7"/>
    <w:rsid w:val="005C0073"/>
    <w:rsid w:val="005F25FB"/>
    <w:rsid w:val="005F2F27"/>
    <w:rsid w:val="005F72BB"/>
    <w:rsid w:val="0062714B"/>
    <w:rsid w:val="00627F46"/>
    <w:rsid w:val="00630E97"/>
    <w:rsid w:val="00657C92"/>
    <w:rsid w:val="006726E2"/>
    <w:rsid w:val="00677E6A"/>
    <w:rsid w:val="00681B49"/>
    <w:rsid w:val="00682B00"/>
    <w:rsid w:val="006838AA"/>
    <w:rsid w:val="00692C0C"/>
    <w:rsid w:val="006938C2"/>
    <w:rsid w:val="00694743"/>
    <w:rsid w:val="00695E28"/>
    <w:rsid w:val="006C41F6"/>
    <w:rsid w:val="006C5DEA"/>
    <w:rsid w:val="006D0575"/>
    <w:rsid w:val="006E308A"/>
    <w:rsid w:val="006F5337"/>
    <w:rsid w:val="006F6D6D"/>
    <w:rsid w:val="00702E34"/>
    <w:rsid w:val="00703364"/>
    <w:rsid w:val="00722361"/>
    <w:rsid w:val="007323B7"/>
    <w:rsid w:val="00741724"/>
    <w:rsid w:val="00747AE9"/>
    <w:rsid w:val="00761FB6"/>
    <w:rsid w:val="00792502"/>
    <w:rsid w:val="007C078B"/>
    <w:rsid w:val="007C3664"/>
    <w:rsid w:val="007D431B"/>
    <w:rsid w:val="007E10A2"/>
    <w:rsid w:val="007F2C87"/>
    <w:rsid w:val="00802B06"/>
    <w:rsid w:val="00822D88"/>
    <w:rsid w:val="00825824"/>
    <w:rsid w:val="00854249"/>
    <w:rsid w:val="00861FD5"/>
    <w:rsid w:val="008739A9"/>
    <w:rsid w:val="008B2FF8"/>
    <w:rsid w:val="008C5464"/>
    <w:rsid w:val="008D3F78"/>
    <w:rsid w:val="008F6EB2"/>
    <w:rsid w:val="00905468"/>
    <w:rsid w:val="0090758C"/>
    <w:rsid w:val="00911EE9"/>
    <w:rsid w:val="00943175"/>
    <w:rsid w:val="00950206"/>
    <w:rsid w:val="00975A93"/>
    <w:rsid w:val="00992D45"/>
    <w:rsid w:val="009A1163"/>
    <w:rsid w:val="009A4655"/>
    <w:rsid w:val="009D0D3D"/>
    <w:rsid w:val="009D39D1"/>
    <w:rsid w:val="00A06F56"/>
    <w:rsid w:val="00A22FA3"/>
    <w:rsid w:val="00A30015"/>
    <w:rsid w:val="00A40967"/>
    <w:rsid w:val="00A61B34"/>
    <w:rsid w:val="00A7226F"/>
    <w:rsid w:val="00A73AC1"/>
    <w:rsid w:val="00A802AF"/>
    <w:rsid w:val="00A82050"/>
    <w:rsid w:val="00A84E9C"/>
    <w:rsid w:val="00A871A4"/>
    <w:rsid w:val="00A95881"/>
    <w:rsid w:val="00AA4475"/>
    <w:rsid w:val="00AA775F"/>
    <w:rsid w:val="00AB1382"/>
    <w:rsid w:val="00AB1B92"/>
    <w:rsid w:val="00AB76AF"/>
    <w:rsid w:val="00AF09C4"/>
    <w:rsid w:val="00AF1AC5"/>
    <w:rsid w:val="00B01E43"/>
    <w:rsid w:val="00B0477D"/>
    <w:rsid w:val="00B13943"/>
    <w:rsid w:val="00B35038"/>
    <w:rsid w:val="00B60BF2"/>
    <w:rsid w:val="00B83E9A"/>
    <w:rsid w:val="00B91DEE"/>
    <w:rsid w:val="00B93FE1"/>
    <w:rsid w:val="00BA5D8D"/>
    <w:rsid w:val="00BA7A2D"/>
    <w:rsid w:val="00BB121A"/>
    <w:rsid w:val="00BC208F"/>
    <w:rsid w:val="00BC5603"/>
    <w:rsid w:val="00BC79B1"/>
    <w:rsid w:val="00BD3CC7"/>
    <w:rsid w:val="00BD6A2B"/>
    <w:rsid w:val="00BE13A5"/>
    <w:rsid w:val="00BE4767"/>
    <w:rsid w:val="00BE68AB"/>
    <w:rsid w:val="00BE6E72"/>
    <w:rsid w:val="00BF02DC"/>
    <w:rsid w:val="00BF3288"/>
    <w:rsid w:val="00C13DC3"/>
    <w:rsid w:val="00C4431A"/>
    <w:rsid w:val="00CB1261"/>
    <w:rsid w:val="00CB446F"/>
    <w:rsid w:val="00CB77BE"/>
    <w:rsid w:val="00CD0C24"/>
    <w:rsid w:val="00CF131A"/>
    <w:rsid w:val="00D00F14"/>
    <w:rsid w:val="00D014AD"/>
    <w:rsid w:val="00D15FCA"/>
    <w:rsid w:val="00D16F7E"/>
    <w:rsid w:val="00D6042B"/>
    <w:rsid w:val="00D85B58"/>
    <w:rsid w:val="00D967E4"/>
    <w:rsid w:val="00D97F05"/>
    <w:rsid w:val="00DB3848"/>
    <w:rsid w:val="00DC2385"/>
    <w:rsid w:val="00DC2586"/>
    <w:rsid w:val="00DD05EC"/>
    <w:rsid w:val="00DE6C53"/>
    <w:rsid w:val="00DE7075"/>
    <w:rsid w:val="00DF483D"/>
    <w:rsid w:val="00E14ECB"/>
    <w:rsid w:val="00E35CCF"/>
    <w:rsid w:val="00E45C8A"/>
    <w:rsid w:val="00E67ED3"/>
    <w:rsid w:val="00E752D5"/>
    <w:rsid w:val="00E77382"/>
    <w:rsid w:val="00E86A26"/>
    <w:rsid w:val="00EA0E6F"/>
    <w:rsid w:val="00EA2052"/>
    <w:rsid w:val="00EB1C48"/>
    <w:rsid w:val="00EE5B29"/>
    <w:rsid w:val="00F00D14"/>
    <w:rsid w:val="00F20B39"/>
    <w:rsid w:val="00F25622"/>
    <w:rsid w:val="00F27063"/>
    <w:rsid w:val="00F52ED5"/>
    <w:rsid w:val="00F65E41"/>
    <w:rsid w:val="00F84302"/>
    <w:rsid w:val="00F87A24"/>
    <w:rsid w:val="00FB022C"/>
    <w:rsid w:val="00FC0381"/>
    <w:rsid w:val="01B446F6"/>
    <w:rsid w:val="02EE242F"/>
    <w:rsid w:val="030E5BE9"/>
    <w:rsid w:val="03710AF1"/>
    <w:rsid w:val="04021749"/>
    <w:rsid w:val="051A51B8"/>
    <w:rsid w:val="055E50A5"/>
    <w:rsid w:val="05CF7D50"/>
    <w:rsid w:val="06194E86"/>
    <w:rsid w:val="06484F1C"/>
    <w:rsid w:val="08114650"/>
    <w:rsid w:val="08AE00F1"/>
    <w:rsid w:val="08E36252"/>
    <w:rsid w:val="091160C2"/>
    <w:rsid w:val="091A12E3"/>
    <w:rsid w:val="0930321F"/>
    <w:rsid w:val="09475E50"/>
    <w:rsid w:val="095D0D3D"/>
    <w:rsid w:val="09DB4F16"/>
    <w:rsid w:val="0A2F5262"/>
    <w:rsid w:val="0A83110A"/>
    <w:rsid w:val="0A9B0C48"/>
    <w:rsid w:val="0ADF0A36"/>
    <w:rsid w:val="0B9C06D5"/>
    <w:rsid w:val="0C253D40"/>
    <w:rsid w:val="0CFB088B"/>
    <w:rsid w:val="0D9F44AC"/>
    <w:rsid w:val="0DF04D08"/>
    <w:rsid w:val="0E1053AA"/>
    <w:rsid w:val="0E9C09EC"/>
    <w:rsid w:val="0F0C5B71"/>
    <w:rsid w:val="0F331350"/>
    <w:rsid w:val="0F607C6B"/>
    <w:rsid w:val="0F6E4136"/>
    <w:rsid w:val="0FD83CA6"/>
    <w:rsid w:val="0FDA7A1E"/>
    <w:rsid w:val="0FF705D0"/>
    <w:rsid w:val="10437371"/>
    <w:rsid w:val="105570A4"/>
    <w:rsid w:val="11A227BD"/>
    <w:rsid w:val="12374CB3"/>
    <w:rsid w:val="130410E0"/>
    <w:rsid w:val="13F27A08"/>
    <w:rsid w:val="148368D6"/>
    <w:rsid w:val="149442CD"/>
    <w:rsid w:val="14D215B4"/>
    <w:rsid w:val="14F52C04"/>
    <w:rsid w:val="152139F9"/>
    <w:rsid w:val="160F7CF5"/>
    <w:rsid w:val="163261A1"/>
    <w:rsid w:val="163F05DA"/>
    <w:rsid w:val="173C17B0"/>
    <w:rsid w:val="176F6C9D"/>
    <w:rsid w:val="1780517C"/>
    <w:rsid w:val="18463EA2"/>
    <w:rsid w:val="18B84674"/>
    <w:rsid w:val="19575C3B"/>
    <w:rsid w:val="19F65454"/>
    <w:rsid w:val="1A0A53A3"/>
    <w:rsid w:val="1A2975D8"/>
    <w:rsid w:val="1A6D3441"/>
    <w:rsid w:val="1BD9502D"/>
    <w:rsid w:val="1CC33EEA"/>
    <w:rsid w:val="1D216C8C"/>
    <w:rsid w:val="1ED61CF8"/>
    <w:rsid w:val="1F1D3483"/>
    <w:rsid w:val="1F501AAA"/>
    <w:rsid w:val="1F7532BF"/>
    <w:rsid w:val="20F3515F"/>
    <w:rsid w:val="21050673"/>
    <w:rsid w:val="2149055F"/>
    <w:rsid w:val="2197751D"/>
    <w:rsid w:val="220F79FB"/>
    <w:rsid w:val="2217065D"/>
    <w:rsid w:val="22460F43"/>
    <w:rsid w:val="2331574F"/>
    <w:rsid w:val="239F656A"/>
    <w:rsid w:val="23D61F2B"/>
    <w:rsid w:val="23F32964"/>
    <w:rsid w:val="24F5112A"/>
    <w:rsid w:val="252231A4"/>
    <w:rsid w:val="252235A1"/>
    <w:rsid w:val="25BC1C48"/>
    <w:rsid w:val="264D464E"/>
    <w:rsid w:val="27262FBE"/>
    <w:rsid w:val="276C31F9"/>
    <w:rsid w:val="278B7B24"/>
    <w:rsid w:val="28722A91"/>
    <w:rsid w:val="29A52F06"/>
    <w:rsid w:val="2BB5659B"/>
    <w:rsid w:val="2BEE68D3"/>
    <w:rsid w:val="2CD5438A"/>
    <w:rsid w:val="2E0028ED"/>
    <w:rsid w:val="2F590507"/>
    <w:rsid w:val="2F6D3FB3"/>
    <w:rsid w:val="31081F91"/>
    <w:rsid w:val="312B5ED3"/>
    <w:rsid w:val="32AA05ED"/>
    <w:rsid w:val="34F67E3E"/>
    <w:rsid w:val="35E6771E"/>
    <w:rsid w:val="362353CB"/>
    <w:rsid w:val="36413AA3"/>
    <w:rsid w:val="36D641EB"/>
    <w:rsid w:val="381E22EE"/>
    <w:rsid w:val="38593326"/>
    <w:rsid w:val="3885411B"/>
    <w:rsid w:val="38A65E3F"/>
    <w:rsid w:val="38F60B75"/>
    <w:rsid w:val="39186D3D"/>
    <w:rsid w:val="39311BAD"/>
    <w:rsid w:val="3A3F2DBF"/>
    <w:rsid w:val="3AC32CD9"/>
    <w:rsid w:val="3B593624"/>
    <w:rsid w:val="3C687FDC"/>
    <w:rsid w:val="3CBF1083"/>
    <w:rsid w:val="3E0E070F"/>
    <w:rsid w:val="3EB56DDC"/>
    <w:rsid w:val="3ED71449"/>
    <w:rsid w:val="3ED90D1D"/>
    <w:rsid w:val="3F0679F4"/>
    <w:rsid w:val="3F2D206F"/>
    <w:rsid w:val="3FF322B2"/>
    <w:rsid w:val="406E1939"/>
    <w:rsid w:val="409749EB"/>
    <w:rsid w:val="40980764"/>
    <w:rsid w:val="40BB2DD0"/>
    <w:rsid w:val="40F538F2"/>
    <w:rsid w:val="41004C87"/>
    <w:rsid w:val="41110C42"/>
    <w:rsid w:val="41AC096A"/>
    <w:rsid w:val="43472CC4"/>
    <w:rsid w:val="449D459A"/>
    <w:rsid w:val="44CE2297"/>
    <w:rsid w:val="45521829"/>
    <w:rsid w:val="456930CA"/>
    <w:rsid w:val="456B4699"/>
    <w:rsid w:val="469B0FAE"/>
    <w:rsid w:val="477E6905"/>
    <w:rsid w:val="477F61D9"/>
    <w:rsid w:val="47AD2D46"/>
    <w:rsid w:val="47EB386F"/>
    <w:rsid w:val="48B56357"/>
    <w:rsid w:val="48C85951"/>
    <w:rsid w:val="49C10D2B"/>
    <w:rsid w:val="4A10437C"/>
    <w:rsid w:val="4A162E25"/>
    <w:rsid w:val="4AAB4494"/>
    <w:rsid w:val="4BAB57EF"/>
    <w:rsid w:val="4C602A7D"/>
    <w:rsid w:val="4CC27294"/>
    <w:rsid w:val="4D01600E"/>
    <w:rsid w:val="4D955F4B"/>
    <w:rsid w:val="4DF25957"/>
    <w:rsid w:val="4DF72F6D"/>
    <w:rsid w:val="4E915170"/>
    <w:rsid w:val="4EBA5DD6"/>
    <w:rsid w:val="4EE96D5A"/>
    <w:rsid w:val="4F196F13"/>
    <w:rsid w:val="4F6C1739"/>
    <w:rsid w:val="50485D02"/>
    <w:rsid w:val="50C80BF1"/>
    <w:rsid w:val="528F19C6"/>
    <w:rsid w:val="52B458D1"/>
    <w:rsid w:val="52C4795D"/>
    <w:rsid w:val="543D36A4"/>
    <w:rsid w:val="5563713A"/>
    <w:rsid w:val="561F5757"/>
    <w:rsid w:val="56AD4B11"/>
    <w:rsid w:val="5734162D"/>
    <w:rsid w:val="578F71B5"/>
    <w:rsid w:val="57995095"/>
    <w:rsid w:val="57D54E2D"/>
    <w:rsid w:val="5A506F9B"/>
    <w:rsid w:val="5C6C0FCA"/>
    <w:rsid w:val="5CF27722"/>
    <w:rsid w:val="5D2378DB"/>
    <w:rsid w:val="5D600B2F"/>
    <w:rsid w:val="5D9205BD"/>
    <w:rsid w:val="5D924A61"/>
    <w:rsid w:val="5F6D7533"/>
    <w:rsid w:val="5F6E0C64"/>
    <w:rsid w:val="60D55390"/>
    <w:rsid w:val="60E70C20"/>
    <w:rsid w:val="61021EFD"/>
    <w:rsid w:val="61146BAC"/>
    <w:rsid w:val="61354081"/>
    <w:rsid w:val="61736957"/>
    <w:rsid w:val="618E3791"/>
    <w:rsid w:val="61903065"/>
    <w:rsid w:val="62457ACE"/>
    <w:rsid w:val="62BE3C02"/>
    <w:rsid w:val="647A1DAB"/>
    <w:rsid w:val="65055B18"/>
    <w:rsid w:val="65BA1E7F"/>
    <w:rsid w:val="65BA6903"/>
    <w:rsid w:val="65BF03BD"/>
    <w:rsid w:val="65D347DE"/>
    <w:rsid w:val="6607059B"/>
    <w:rsid w:val="6615622F"/>
    <w:rsid w:val="66AF3F8D"/>
    <w:rsid w:val="67416A73"/>
    <w:rsid w:val="6779459B"/>
    <w:rsid w:val="678E0047"/>
    <w:rsid w:val="67C1666E"/>
    <w:rsid w:val="67CE4095"/>
    <w:rsid w:val="67F46CF9"/>
    <w:rsid w:val="685A617B"/>
    <w:rsid w:val="693D7F76"/>
    <w:rsid w:val="69A00505"/>
    <w:rsid w:val="6A633A0D"/>
    <w:rsid w:val="6AAF0A00"/>
    <w:rsid w:val="6B2111D2"/>
    <w:rsid w:val="6B7E4876"/>
    <w:rsid w:val="6C0463A6"/>
    <w:rsid w:val="6CBB6423"/>
    <w:rsid w:val="6CEA3D18"/>
    <w:rsid w:val="6CFE7A1D"/>
    <w:rsid w:val="6D065655"/>
    <w:rsid w:val="6E140BBB"/>
    <w:rsid w:val="6EEB79F2"/>
    <w:rsid w:val="6F1E7F02"/>
    <w:rsid w:val="703F45D4"/>
    <w:rsid w:val="70BD7BEF"/>
    <w:rsid w:val="70F353BF"/>
    <w:rsid w:val="7101188A"/>
    <w:rsid w:val="715A4D44"/>
    <w:rsid w:val="71C34D91"/>
    <w:rsid w:val="71CC65EC"/>
    <w:rsid w:val="71CF7BDA"/>
    <w:rsid w:val="7249173A"/>
    <w:rsid w:val="72787F6D"/>
    <w:rsid w:val="72BB508D"/>
    <w:rsid w:val="731A1328"/>
    <w:rsid w:val="740022CC"/>
    <w:rsid w:val="74DB0643"/>
    <w:rsid w:val="75137DDD"/>
    <w:rsid w:val="75151DA7"/>
    <w:rsid w:val="75324707"/>
    <w:rsid w:val="758E56B6"/>
    <w:rsid w:val="75AD18F8"/>
    <w:rsid w:val="776963DA"/>
    <w:rsid w:val="786C7F30"/>
    <w:rsid w:val="78C0202A"/>
    <w:rsid w:val="78F32667"/>
    <w:rsid w:val="79386064"/>
    <w:rsid w:val="794E3ADA"/>
    <w:rsid w:val="79927E6B"/>
    <w:rsid w:val="79D833A4"/>
    <w:rsid w:val="79E7604F"/>
    <w:rsid w:val="7C02295A"/>
    <w:rsid w:val="7C8F68E3"/>
    <w:rsid w:val="7D4443FD"/>
    <w:rsid w:val="7D6C452F"/>
    <w:rsid w:val="7DEE3196"/>
    <w:rsid w:val="7E4B42A4"/>
    <w:rsid w:val="7E5F4093"/>
    <w:rsid w:val="7ECF2FC7"/>
    <w:rsid w:val="7F313C82"/>
    <w:rsid w:val="7F89586C"/>
    <w:rsid w:val="7FD528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kern w:val="2"/>
      <w:sz w:val="21"/>
      <w:szCs w:val="24"/>
      <w:lang w:val="en-US" w:eastAsia="zh-CN" w:bidi="ar-SA"/>
    </w:rPr>
  </w:style>
  <w:style w:type="paragraph" w:styleId="2">
    <w:name w:val="heading 1"/>
    <w:basedOn w:val="1"/>
    <w:next w:val="1"/>
    <w:qFormat/>
    <w:uiPriority w:val="0"/>
    <w:pPr>
      <w:keepNext/>
      <w:widowControl/>
      <w:numPr>
        <w:ilvl w:val="0"/>
        <w:numId w:val="1"/>
      </w:numPr>
      <w:autoSpaceDE w:val="0"/>
      <w:autoSpaceDN w:val="0"/>
      <w:adjustRightInd w:val="0"/>
      <w:snapToGrid w:val="0"/>
      <w:spacing w:before="120" w:after="120" w:line="360" w:lineRule="auto"/>
      <w:jc w:val="left"/>
      <w:textAlignment w:val="bottom"/>
      <w:outlineLvl w:val="0"/>
    </w:pPr>
    <w:rPr>
      <w:rFonts w:ascii="方正粗圆简体" w:hAnsi="方正粗圆简体" w:cs="Arial"/>
      <w:b/>
      <w:spacing w:val="6"/>
      <w:kern w:val="0"/>
      <w:sz w:val="32"/>
      <w:szCs w:val="20"/>
    </w:rPr>
  </w:style>
  <w:style w:type="paragraph" w:styleId="3">
    <w:name w:val="heading 2"/>
    <w:basedOn w:val="1"/>
    <w:next w:val="1"/>
    <w:qFormat/>
    <w:uiPriority w:val="0"/>
    <w:pPr>
      <w:keepNext/>
      <w:numPr>
        <w:ilvl w:val="1"/>
        <w:numId w:val="1"/>
      </w:numPr>
      <w:tabs>
        <w:tab w:val="left" w:pos="792"/>
        <w:tab w:val="clear" w:pos="912"/>
      </w:tabs>
      <w:adjustRightInd w:val="0"/>
      <w:snapToGrid w:val="0"/>
      <w:spacing w:before="240" w:after="60" w:line="360" w:lineRule="auto"/>
      <w:ind w:left="792" w:rightChars="100"/>
      <w:jc w:val="left"/>
      <w:textAlignment w:val="baseline"/>
      <w:outlineLvl w:val="1"/>
    </w:pPr>
    <w:rPr>
      <w:rFonts w:ascii="方正粗圆简体" w:hAnsi="方正粗圆简体" w:cs="Arial"/>
      <w:b/>
      <w:bCs/>
      <w:iCs/>
      <w:kern w:val="0"/>
      <w:sz w:val="28"/>
      <w:szCs w:val="28"/>
    </w:rPr>
  </w:style>
  <w:style w:type="paragraph" w:styleId="4">
    <w:name w:val="heading 3"/>
    <w:basedOn w:val="1"/>
    <w:next w:val="1"/>
    <w:qFormat/>
    <w:uiPriority w:val="0"/>
    <w:pPr>
      <w:keepNext/>
      <w:numPr>
        <w:ilvl w:val="2"/>
        <w:numId w:val="1"/>
      </w:numPr>
      <w:adjustRightInd w:val="0"/>
      <w:spacing w:before="240" w:after="60" w:line="360" w:lineRule="auto"/>
      <w:ind w:rightChars="100"/>
      <w:jc w:val="left"/>
      <w:textAlignment w:val="baseline"/>
      <w:outlineLvl w:val="2"/>
    </w:pPr>
    <w:rPr>
      <w:rFonts w:ascii="方正粗圆简体" w:hAnsi="方正粗圆简体" w:cs="Arial"/>
      <w:b/>
      <w:bCs/>
      <w:kern w:val="0"/>
      <w:sz w:val="24"/>
      <w:szCs w:val="26"/>
    </w:rPr>
  </w:style>
  <w:style w:type="character" w:default="1" w:styleId="17">
    <w:name w:val="Default Paragraph Font"/>
    <w:link w:val="18"/>
    <w:semiHidden/>
    <w:uiPriority w:val="0"/>
  </w:style>
  <w:style w:type="table" w:default="1" w:styleId="15">
    <w:name w:val="Normal Table"/>
    <w:semiHidden/>
    <w:uiPriority w:val="0"/>
    <w:tblPr>
      <w:tblStyle w:val="15"/>
      <w:tblCellMar>
        <w:top w:w="0" w:type="dxa"/>
        <w:left w:w="108" w:type="dxa"/>
        <w:bottom w:w="0" w:type="dxa"/>
        <w:right w:w="108" w:type="dxa"/>
      </w:tblCellMar>
    </w:tblPr>
  </w:style>
  <w:style w:type="paragraph" w:styleId="5">
    <w:name w:val="annotation text"/>
    <w:basedOn w:val="1"/>
    <w:semiHidden/>
    <w:uiPriority w:val="0"/>
    <w:pPr>
      <w:jc w:val="left"/>
    </w:pPr>
  </w:style>
  <w:style w:type="paragraph" w:styleId="6">
    <w:name w:val="index 6"/>
    <w:basedOn w:val="1"/>
    <w:next w:val="1"/>
    <w:qFormat/>
    <w:uiPriority w:val="0"/>
    <w:pPr>
      <w:widowControl w:val="0"/>
      <w:ind w:left="2100"/>
      <w:jc w:val="left"/>
    </w:pPr>
    <w:rPr>
      <w:rFonts w:ascii="Times New Roman" w:hAnsi="Times New Roman" w:eastAsia="仿宋_GB2312" w:cs="Times New Roman"/>
      <w:kern w:val="2"/>
      <w:sz w:val="28"/>
      <w:szCs w:val="24"/>
      <w:lang w:val="en-US" w:eastAsia="zh-CN" w:bidi="ar-SA"/>
    </w:rPr>
  </w:style>
  <w:style w:type="paragraph" w:styleId="7">
    <w:name w:val="Body Text"/>
    <w:basedOn w:val="1"/>
    <w:next w:val="1"/>
    <w:qFormat/>
    <w:uiPriority w:val="0"/>
    <w:pPr>
      <w:spacing w:line="360" w:lineRule="auto"/>
    </w:pPr>
  </w:style>
  <w:style w:type="paragraph" w:styleId="8">
    <w:name w:val="endnote text"/>
    <w:basedOn w:val="1"/>
    <w:semiHidden/>
    <w:uiPriority w:val="0"/>
    <w:pPr>
      <w:widowControl/>
      <w:jc w:val="left"/>
    </w:pPr>
    <w:rPr>
      <w:rFonts w:ascii="Courier New" w:hAnsi="Courier New"/>
      <w:kern w:val="0"/>
      <w:sz w:val="24"/>
      <w:szCs w:val="20"/>
      <w:lang w:eastAsia="en-US"/>
    </w:rPr>
  </w:style>
  <w:style w:type="paragraph" w:styleId="9">
    <w:name w:val="footer"/>
    <w:basedOn w:val="1"/>
    <w:uiPriority w:val="0"/>
    <w:pPr>
      <w:tabs>
        <w:tab w:val="center" w:pos="4153"/>
        <w:tab w:val="right" w:pos="8306"/>
      </w:tabs>
      <w:snapToGrid w:val="0"/>
      <w:jc w:val="left"/>
    </w:pPr>
    <w:rPr>
      <w:sz w:val="18"/>
      <w:szCs w:val="18"/>
    </w:rPr>
  </w:style>
  <w:style w:type="paragraph" w:styleId="10">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1">
    <w:name w:val="toc 2"/>
    <w:basedOn w:val="1"/>
    <w:next w:val="1"/>
    <w:qFormat/>
    <w:uiPriority w:val="0"/>
    <w:pPr>
      <w:ind w:left="420" w:leftChars="200"/>
    </w:pPr>
  </w:style>
  <w:style w:type="paragraph" w:styleId="12">
    <w:name w:val="Normal (Web)"/>
    <w:basedOn w:val="1"/>
    <w:uiPriority w:val="0"/>
    <w:pPr>
      <w:spacing w:before="100" w:beforeAutospacing="1" w:after="100" w:afterAutospacing="1"/>
      <w:ind w:left="0" w:right="0"/>
      <w:jc w:val="left"/>
    </w:pPr>
    <w:rPr>
      <w:kern w:val="0"/>
      <w:sz w:val="24"/>
      <w:lang w:val="en-US" w:eastAsia="zh-CN" w:bidi="ar"/>
    </w:rPr>
  </w:style>
  <w:style w:type="paragraph" w:styleId="13">
    <w:name w:val="annotation subject"/>
    <w:basedOn w:val="5"/>
    <w:next w:val="5"/>
    <w:semiHidden/>
    <w:uiPriority w:val="0"/>
    <w:rPr>
      <w:b/>
      <w:bCs/>
    </w:rPr>
  </w:style>
  <w:style w:type="paragraph" w:styleId="14">
    <w:name w:val="Body Text First Indent"/>
    <w:basedOn w:val="7"/>
    <w:next w:val="6"/>
    <w:qFormat/>
    <w:uiPriority w:val="0"/>
    <w:pPr>
      <w:tabs>
        <w:tab w:val="left" w:pos="284"/>
        <w:tab w:val="right" w:pos="4111"/>
      </w:tabs>
      <w:ind w:firstLine="420" w:firstLineChars="100"/>
    </w:pPr>
  </w:style>
  <w:style w:type="table" w:styleId="16">
    <w:name w:val="Table Grid"/>
    <w:basedOn w:val="15"/>
    <w:uiPriority w:val="0"/>
    <w:pPr>
      <w:widowControl w:val="0"/>
      <w:jc w:val="both"/>
    </w:pPr>
    <w:tblPr>
      <w:tblStyle w:val="1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 Char Char"/>
    <w:basedOn w:val="1"/>
    <w:link w:val="17"/>
    <w:uiPriority w:val="0"/>
  </w:style>
  <w:style w:type="character" w:styleId="19">
    <w:name w:val="Strong"/>
    <w:basedOn w:val="17"/>
    <w:uiPriority w:val="0"/>
    <w:rPr>
      <w:b/>
    </w:rPr>
  </w:style>
  <w:style w:type="character" w:styleId="20">
    <w:name w:val="page number"/>
    <w:basedOn w:val="17"/>
    <w:qFormat/>
    <w:uiPriority w:val="0"/>
  </w:style>
  <w:style w:type="character" w:customStyle="1" w:styleId="21">
    <w:name w:val="简述正文"/>
    <w:basedOn w:val="17"/>
    <w:uiPriority w:val="0"/>
    <w:rPr>
      <w:sz w:val="23"/>
    </w:rPr>
  </w:style>
  <w:style w:type="character" w:customStyle="1" w:styleId="22">
    <w:name w:val="解释正文 Char"/>
    <w:basedOn w:val="17"/>
    <w:link w:val="23"/>
    <w:uiPriority w:val="0"/>
    <w:rPr>
      <w:rFonts w:ascii="方正粗圆简体" w:hAnsi="方正粗圆简体" w:eastAsia="宋体"/>
      <w:lang w:val="en-US" w:eastAsia="zh-CN" w:bidi="ar-SA"/>
    </w:rPr>
  </w:style>
  <w:style w:type="paragraph" w:customStyle="1" w:styleId="23">
    <w:name w:val="解释正文"/>
    <w:basedOn w:val="1"/>
    <w:link w:val="22"/>
    <w:uiPriority w:val="0"/>
    <w:pPr>
      <w:adjustRightInd w:val="0"/>
      <w:spacing w:before="120" w:after="120" w:line="360" w:lineRule="auto"/>
      <w:ind w:hanging="24"/>
      <w:jc w:val="left"/>
      <w:textAlignment w:val="baseline"/>
    </w:pPr>
    <w:rPr>
      <w:rFonts w:ascii="方正粗圆简体" w:hAnsi="方正粗圆简体"/>
      <w:kern w:val="0"/>
      <w:sz w:val="20"/>
      <w:szCs w:val="20"/>
    </w:rPr>
  </w:style>
  <w:style w:type="character" w:customStyle="1" w:styleId="24">
    <w:name w:val="着重部分1"/>
    <w:uiPriority w:val="0"/>
    <w:rPr>
      <w:rFonts w:ascii="方正粗圆简体" w:hAnsi="方正粗圆简体"/>
      <w:sz w:val="23"/>
    </w:rPr>
  </w:style>
  <w:style w:type="character" w:customStyle="1" w:styleId="25">
    <w:name w:val="简述标题"/>
    <w:basedOn w:val="17"/>
    <w:uiPriority w:val="0"/>
    <w:rPr>
      <w:rFonts w:ascii="华康简黑" w:hAnsi="华康简黑" w:eastAsia="华康简黑"/>
    </w:rPr>
  </w:style>
  <w:style w:type="paragraph" w:customStyle="1" w:styleId="26">
    <w:name w:val="解释标题"/>
    <w:basedOn w:val="1"/>
    <w:uiPriority w:val="0"/>
    <w:pPr>
      <w:adjustRightInd w:val="0"/>
      <w:spacing w:before="120" w:after="120" w:line="360" w:lineRule="auto"/>
      <w:ind w:hanging="24"/>
      <w:jc w:val="left"/>
      <w:textAlignment w:val="baseline"/>
    </w:pPr>
    <w:rPr>
      <w:rFonts w:ascii="宋体" w:hAnsi="宋体"/>
      <w:b/>
      <w:color w:val="000000"/>
      <w:kern w:val="0"/>
      <w:sz w:val="24"/>
    </w:rPr>
  </w:style>
  <w:style w:type="paragraph" w:customStyle="1" w:styleId="27">
    <w:name w:val="默认段落字体 Para Char Char Char Char"/>
    <w:basedOn w:val="1"/>
    <w:uiPriority w:val="0"/>
  </w:style>
  <w:style w:type="paragraph" w:styleId="28">
    <w:name w:val="List Paragraph"/>
    <w:basedOn w:val="1"/>
    <w:qFormat/>
    <w:uiPriority w:val="34"/>
    <w:pPr>
      <w:widowControl/>
      <w:ind w:firstLine="420" w:firstLineChars="200"/>
      <w:jc w:val="left"/>
    </w:pPr>
    <w:rPr>
      <w:rFonts w:ascii="宋体" w:hAnsi="宋体"/>
      <w:kern w:val="0"/>
    </w:rPr>
  </w:style>
  <w:style w:type="paragraph" w:customStyle="1" w:styleId="29">
    <w:name w:val="TOC Heading"/>
    <w:basedOn w:val="2"/>
    <w:next w:val="1"/>
    <w:unhideWhenUsed/>
    <w:qFormat/>
    <w:uiPriority w:val="39"/>
    <w:pPr>
      <w:spacing w:before="240" w:line="259" w:lineRule="auto"/>
      <w:jc w:val="left"/>
      <w:outlineLvl w:val="9"/>
    </w:pPr>
    <w:rPr>
      <w:rFonts w:ascii="Cambria" w:hAnsi="Cambria" w:eastAsia="宋体" w:cs="Times New Roman"/>
      <w:color w:val="366091"/>
      <w:kern w:val="0"/>
      <w:sz w:val="32"/>
      <w:szCs w:val="32"/>
    </w:rPr>
  </w:style>
  <w:style w:type="paragraph" w:customStyle="1" w:styleId="30">
    <w:name w:val="标题7"/>
    <w:basedOn w:val="1"/>
    <w:qFormat/>
    <w:uiPriority w:val="0"/>
    <w:pPr>
      <w:spacing w:line="348" w:lineRule="auto"/>
      <w:outlineLvl w:val="0"/>
    </w:pPr>
    <w:rPr>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7</Pages>
  <Words>2345</Words>
  <Characters>2557</Characters>
  <Lines>24</Lines>
  <Paragraphs>6</Paragraphs>
  <TotalTime>25</TotalTime>
  <ScaleCrop>false</ScaleCrop>
  <LinksUpToDate>false</LinksUpToDate>
  <CharactersWithSpaces>2691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2013-02-26T04:47:00Z</dcterms:created>
  <dc:creator>微软系统</dc:creator>
  <cp:lastModifiedBy>邱啸峪</cp:lastModifiedBy>
  <dcterms:modified xsi:type="dcterms:W3CDTF">2026-03-25T00:34:40Z</dcterms:modified>
  <dc:title>变压器招标技术协议</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840CDDC4856E480281DA3FCB095D1F14_13</vt:lpwstr>
  </property>
  <property fmtid="{D5CDD505-2E9C-101B-9397-08002B2CF9AE}" pid="4" name="KSOTemplateDocerSaveRecord">
    <vt:lpwstr>eyJoZGlkIjoiNDU0ZDJjYzZjZGVjOGYzNjBmNTFjZWQ2NWE4ZTA5MDEiLCJ1c2VySWQiOiIxNDg5MzAwMzY3In0=</vt:lpwstr>
  </property>
</Properties>
</file>