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0"/>
      </w:tblGrid>
      <w:tr w14:paraId="6200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Borders>
              <w:top w:val="nil"/>
              <w:left w:val="nil"/>
              <w:bottom w:val="nil"/>
              <w:right w:val="nil"/>
            </w:tcBorders>
            <w:noWrap w:val="0"/>
            <w:vAlign w:val="top"/>
          </w:tcPr>
          <w:p w14:paraId="1861892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黑体"/>
                <w:sz w:val="36"/>
                <w:szCs w:val="36"/>
              </w:rPr>
            </w:pPr>
            <w:r>
              <w:rPr>
                <w:rFonts w:hint="eastAsia" w:ascii="黑体" w:hAnsi="黑体" w:eastAsia="黑体" w:cs="黑体"/>
                <w:sz w:val="36"/>
                <w:szCs w:val="36"/>
              </w:rPr>
              <w:t>甘肃酒钢集团宏兴钢铁股份有限公司</w:t>
            </w:r>
          </w:p>
        </w:tc>
      </w:tr>
      <w:tr w14:paraId="38C3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Borders>
              <w:top w:val="nil"/>
              <w:left w:val="nil"/>
              <w:bottom w:val="nil"/>
              <w:right w:val="nil"/>
            </w:tcBorders>
            <w:noWrap w:val="0"/>
            <w:vAlign w:val="top"/>
          </w:tcPr>
          <w:p w14:paraId="312EBBC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黑体" w:hAnsi="黑体" w:eastAsia="黑体" w:cs="黑体"/>
                <w:sz w:val="48"/>
                <w:szCs w:val="48"/>
                <w:lang w:val="en-US" w:eastAsia="zh-CN"/>
              </w:rPr>
            </w:pPr>
            <w:r>
              <w:rPr>
                <w:rFonts w:hint="eastAsia" w:ascii="黑体" w:hAnsi="黑体" w:eastAsia="黑体" w:cs="黑体"/>
                <w:b/>
                <w:spacing w:val="-11"/>
                <w:position w:val="-6"/>
                <w:sz w:val="48"/>
                <w:szCs w:val="48"/>
                <w:lang w:val="en-US" w:eastAsia="zh-CN"/>
              </w:rPr>
              <w:t>本部25万吨库废钢堆存改造项目</w:t>
            </w:r>
          </w:p>
        </w:tc>
      </w:tr>
      <w:tr w14:paraId="2A5C1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Borders>
              <w:top w:val="nil"/>
              <w:left w:val="nil"/>
              <w:bottom w:val="nil"/>
              <w:right w:val="nil"/>
            </w:tcBorders>
            <w:noWrap w:val="0"/>
            <w:vAlign w:val="top"/>
          </w:tcPr>
          <w:p w14:paraId="4EC1C17D">
            <w:pPr>
              <w:spacing w:line="360" w:lineRule="auto"/>
              <w:jc w:val="center"/>
              <w:rPr>
                <w:rFonts w:hint="eastAsia" w:ascii="黑体" w:eastAsia="黑体"/>
                <w:sz w:val="32"/>
                <w:szCs w:val="32"/>
              </w:rPr>
            </w:pPr>
          </w:p>
        </w:tc>
      </w:tr>
      <w:tr w14:paraId="5B7E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Borders>
              <w:top w:val="nil"/>
              <w:left w:val="nil"/>
              <w:bottom w:val="nil"/>
              <w:right w:val="nil"/>
            </w:tcBorders>
            <w:noWrap w:val="0"/>
            <w:vAlign w:val="top"/>
          </w:tcPr>
          <w:p w14:paraId="12853479">
            <w:pPr>
              <w:spacing w:line="360" w:lineRule="auto"/>
              <w:jc w:val="center"/>
              <w:rPr>
                <w:rFonts w:hint="eastAsia" w:ascii="黑体" w:eastAsia="黑体"/>
                <w:sz w:val="32"/>
                <w:szCs w:val="32"/>
              </w:rPr>
            </w:pPr>
          </w:p>
        </w:tc>
      </w:tr>
      <w:tr w14:paraId="644E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Borders>
              <w:top w:val="nil"/>
              <w:left w:val="nil"/>
              <w:bottom w:val="nil"/>
              <w:right w:val="nil"/>
            </w:tcBorders>
            <w:noWrap w:val="0"/>
            <w:vAlign w:val="top"/>
          </w:tcPr>
          <w:p w14:paraId="14C8CA5C">
            <w:pPr>
              <w:spacing w:line="360" w:lineRule="auto"/>
              <w:ind w:left="0" w:leftChars="0" w:firstLine="0" w:firstLineChars="0"/>
              <w:jc w:val="center"/>
              <w:rPr>
                <w:rFonts w:hint="eastAsia" w:ascii="宋体" w:hAnsi="宋体" w:eastAsia="宋体"/>
                <w:b/>
                <w:sz w:val="44"/>
                <w:lang w:eastAsia="zh-CN"/>
              </w:rPr>
            </w:pPr>
            <w:r>
              <w:rPr>
                <w:rFonts w:hint="eastAsia" w:ascii="宋体" w:hAnsi="宋体"/>
                <w:b/>
                <w:sz w:val="44"/>
                <w:szCs w:val="22"/>
                <w:lang w:val="en-US" w:eastAsia="zh-CN"/>
              </w:rPr>
              <w:t>箱式变电站</w:t>
            </w:r>
            <w:r>
              <w:rPr>
                <w:rFonts w:hint="eastAsia" w:ascii="宋体" w:hAnsi="宋体"/>
                <w:b/>
                <w:sz w:val="44"/>
                <w:szCs w:val="22"/>
              </w:rPr>
              <w:t>技术</w:t>
            </w:r>
            <w:r>
              <w:rPr>
                <w:rFonts w:hint="eastAsia" w:ascii="宋体" w:hAnsi="宋体" w:eastAsia="宋体"/>
                <w:b/>
                <w:sz w:val="44"/>
                <w:szCs w:val="22"/>
                <w:lang w:eastAsia="zh-CN"/>
              </w:rPr>
              <w:t>规格书</w:t>
            </w:r>
          </w:p>
        </w:tc>
      </w:tr>
    </w:tbl>
    <w:p w14:paraId="23A203A7">
      <w:pPr>
        <w:rPr>
          <w:rFonts w:asciiTheme="minorEastAsia" w:hAnsiTheme="minorEastAsia" w:eastAsiaTheme="minorEastAsia" w:cstheme="minorEastAsia"/>
          <w:b/>
          <w:sz w:val="36"/>
          <w:szCs w:val="36"/>
          <w:lang w:eastAsia="zh-CN"/>
        </w:rPr>
      </w:pPr>
    </w:p>
    <w:p w14:paraId="1DB30004">
      <w:pPr>
        <w:rPr>
          <w:rFonts w:asciiTheme="minorEastAsia" w:hAnsiTheme="minorEastAsia" w:eastAsiaTheme="minorEastAsia" w:cstheme="minorEastAsia"/>
          <w:b/>
          <w:sz w:val="36"/>
          <w:szCs w:val="36"/>
          <w:lang w:eastAsia="zh-CN"/>
        </w:rPr>
      </w:pPr>
      <w:bookmarkStart w:id="18" w:name="_GoBack"/>
      <w:bookmarkEnd w:id="18"/>
    </w:p>
    <w:p w14:paraId="4D642C57">
      <w:pPr>
        <w:rPr>
          <w:rFonts w:asciiTheme="minorEastAsia" w:hAnsiTheme="minorEastAsia" w:eastAsiaTheme="minorEastAsia" w:cstheme="minorEastAsia"/>
          <w:b/>
          <w:sz w:val="36"/>
          <w:szCs w:val="36"/>
          <w:lang w:eastAsia="zh-CN"/>
        </w:rPr>
      </w:pPr>
    </w:p>
    <w:p w14:paraId="2A54AAAA">
      <w:pPr>
        <w:rPr>
          <w:rFonts w:asciiTheme="minorEastAsia" w:hAnsiTheme="minorEastAsia" w:eastAsiaTheme="minorEastAsia" w:cstheme="minorEastAsia"/>
          <w:b/>
          <w:sz w:val="36"/>
          <w:szCs w:val="36"/>
          <w:lang w:eastAsia="zh-CN"/>
        </w:rPr>
      </w:pPr>
    </w:p>
    <w:tbl>
      <w:tblPr>
        <w:tblStyle w:val="12"/>
        <w:tblW w:w="6804" w:type="dxa"/>
        <w:jc w:val="center"/>
        <w:tblLayout w:type="fixed"/>
        <w:tblCellMar>
          <w:top w:w="0" w:type="dxa"/>
          <w:left w:w="108" w:type="dxa"/>
          <w:bottom w:w="0" w:type="dxa"/>
          <w:right w:w="108" w:type="dxa"/>
        </w:tblCellMar>
      </w:tblPr>
      <w:tblGrid>
        <w:gridCol w:w="992"/>
        <w:gridCol w:w="5812"/>
      </w:tblGrid>
      <w:tr w14:paraId="546D14F1">
        <w:tblPrEx>
          <w:tblCellMar>
            <w:top w:w="0" w:type="dxa"/>
            <w:left w:w="108" w:type="dxa"/>
            <w:bottom w:w="0" w:type="dxa"/>
            <w:right w:w="108" w:type="dxa"/>
          </w:tblCellMar>
        </w:tblPrEx>
        <w:trPr>
          <w:jc w:val="center"/>
        </w:trPr>
        <w:tc>
          <w:tcPr>
            <w:tcW w:w="992" w:type="dxa"/>
            <w:noWrap w:val="0"/>
            <w:vAlign w:val="center"/>
          </w:tcPr>
          <w:p w14:paraId="58851645">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b/>
                <w:sz w:val="30"/>
                <w:szCs w:val="30"/>
              </w:rPr>
            </w:pPr>
            <w:r>
              <w:rPr>
                <w:rFonts w:hint="eastAsia"/>
                <w:b/>
                <w:sz w:val="30"/>
                <w:szCs w:val="30"/>
              </w:rPr>
              <w:t>业主：</w:t>
            </w:r>
          </w:p>
        </w:tc>
        <w:tc>
          <w:tcPr>
            <w:tcW w:w="5812" w:type="dxa"/>
            <w:noWrap w:val="0"/>
            <w:vAlign w:val="center"/>
          </w:tcPr>
          <w:p w14:paraId="6D51C026">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b/>
                <w:sz w:val="30"/>
                <w:szCs w:val="30"/>
              </w:rPr>
            </w:pPr>
            <w:r>
              <w:rPr>
                <w:rFonts w:hint="eastAsia"/>
                <w:b/>
                <w:sz w:val="30"/>
                <w:szCs w:val="30"/>
              </w:rPr>
              <w:t>甘肃</w:t>
            </w:r>
            <w:r>
              <w:rPr>
                <w:rFonts w:hint="eastAsia"/>
                <w:b/>
                <w:sz w:val="30"/>
                <w:szCs w:val="30"/>
                <w:lang w:eastAsia="zh-CN"/>
              </w:rPr>
              <w:t>酒钢</w:t>
            </w:r>
            <w:r>
              <w:rPr>
                <w:rFonts w:hint="eastAsia"/>
                <w:b/>
                <w:sz w:val="30"/>
                <w:szCs w:val="30"/>
              </w:rPr>
              <w:t>宏兴</w:t>
            </w:r>
            <w:r>
              <w:rPr>
                <w:rFonts w:hint="eastAsia"/>
                <w:b/>
                <w:sz w:val="30"/>
                <w:szCs w:val="30"/>
                <w:lang w:eastAsia="zh-CN"/>
              </w:rPr>
              <w:t>钢铁</w:t>
            </w:r>
            <w:r>
              <w:rPr>
                <w:rFonts w:hint="eastAsia"/>
                <w:b/>
                <w:sz w:val="30"/>
                <w:szCs w:val="30"/>
              </w:rPr>
              <w:t>股份有限公司储运部</w:t>
            </w:r>
          </w:p>
        </w:tc>
      </w:tr>
      <w:tr w14:paraId="7AF387C8">
        <w:tblPrEx>
          <w:tblCellMar>
            <w:top w:w="0" w:type="dxa"/>
            <w:left w:w="108" w:type="dxa"/>
            <w:bottom w:w="0" w:type="dxa"/>
            <w:right w:w="108" w:type="dxa"/>
          </w:tblCellMar>
        </w:tblPrEx>
        <w:trPr>
          <w:jc w:val="center"/>
        </w:trPr>
        <w:tc>
          <w:tcPr>
            <w:tcW w:w="992" w:type="dxa"/>
            <w:noWrap w:val="0"/>
            <w:vAlign w:val="center"/>
          </w:tcPr>
          <w:p w14:paraId="52AA4D7C">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b/>
                <w:sz w:val="30"/>
                <w:szCs w:val="30"/>
              </w:rPr>
            </w:pPr>
            <w:r>
              <w:rPr>
                <w:rFonts w:hint="eastAsia"/>
                <w:b/>
                <w:sz w:val="30"/>
                <w:szCs w:val="30"/>
              </w:rPr>
              <w:t>需方：</w:t>
            </w:r>
          </w:p>
        </w:tc>
        <w:tc>
          <w:tcPr>
            <w:tcW w:w="5812" w:type="dxa"/>
            <w:noWrap w:val="0"/>
            <w:vAlign w:val="center"/>
          </w:tcPr>
          <w:p w14:paraId="477A483B">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b/>
                <w:sz w:val="30"/>
                <w:szCs w:val="30"/>
              </w:rPr>
            </w:pPr>
            <w:r>
              <w:rPr>
                <w:rFonts w:hint="eastAsia"/>
                <w:b/>
                <w:sz w:val="30"/>
                <w:szCs w:val="30"/>
                <w:lang w:val="en-US" w:eastAsia="zh-CN"/>
              </w:rPr>
              <w:t>酒钢集团</w:t>
            </w:r>
            <w:r>
              <w:rPr>
                <w:rFonts w:hint="eastAsia"/>
                <w:b/>
                <w:sz w:val="30"/>
                <w:szCs w:val="30"/>
              </w:rPr>
              <w:t>甘肃</w:t>
            </w:r>
            <w:r>
              <w:rPr>
                <w:rFonts w:hint="eastAsia"/>
                <w:b/>
                <w:sz w:val="30"/>
                <w:szCs w:val="30"/>
                <w:lang w:val="en-US" w:eastAsia="zh-CN"/>
              </w:rPr>
              <w:t>工程技术</w:t>
            </w:r>
            <w:r>
              <w:rPr>
                <w:rFonts w:hint="eastAsia"/>
                <w:b/>
                <w:sz w:val="30"/>
                <w:szCs w:val="30"/>
              </w:rPr>
              <w:t>有限责任公司</w:t>
            </w:r>
          </w:p>
        </w:tc>
      </w:tr>
      <w:tr w14:paraId="3811AECA">
        <w:tblPrEx>
          <w:tblCellMar>
            <w:top w:w="0" w:type="dxa"/>
            <w:left w:w="108" w:type="dxa"/>
            <w:bottom w:w="0" w:type="dxa"/>
            <w:right w:w="108" w:type="dxa"/>
          </w:tblCellMar>
        </w:tblPrEx>
        <w:trPr>
          <w:jc w:val="center"/>
        </w:trPr>
        <w:tc>
          <w:tcPr>
            <w:tcW w:w="992" w:type="dxa"/>
            <w:noWrap w:val="0"/>
            <w:vAlign w:val="center"/>
          </w:tcPr>
          <w:p w14:paraId="15C25271">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eastAsia="宋体"/>
                <w:b/>
                <w:sz w:val="30"/>
                <w:szCs w:val="30"/>
                <w:lang w:eastAsia="zh-CN"/>
              </w:rPr>
            </w:pPr>
            <w:r>
              <w:rPr>
                <w:rFonts w:hint="eastAsia"/>
                <w:b/>
                <w:sz w:val="30"/>
                <w:szCs w:val="30"/>
                <w:lang w:eastAsia="zh-CN"/>
              </w:rPr>
              <w:t>供方：</w:t>
            </w:r>
          </w:p>
        </w:tc>
        <w:tc>
          <w:tcPr>
            <w:tcW w:w="5812" w:type="dxa"/>
            <w:noWrap w:val="0"/>
            <w:vAlign w:val="center"/>
          </w:tcPr>
          <w:p w14:paraId="6D591BF7">
            <w:pPr>
              <w:keepNext w:val="0"/>
              <w:keepLines w:val="0"/>
              <w:pageBreakBefore w:val="0"/>
              <w:widowControl w:val="0"/>
              <w:tabs>
                <w:tab w:val="left" w:pos="7703"/>
              </w:tabs>
              <w:kinsoku/>
              <w:wordWrap/>
              <w:overflowPunct/>
              <w:topLinePunct w:val="0"/>
              <w:autoSpaceDE/>
              <w:autoSpaceDN/>
              <w:bidi w:val="0"/>
              <w:adjustRightInd/>
              <w:snapToGrid/>
              <w:ind w:firstLine="0" w:firstLineChars="0"/>
              <w:jc w:val="left"/>
              <w:textAlignment w:val="auto"/>
              <w:rPr>
                <w:rFonts w:hint="eastAsia"/>
                <w:b/>
                <w:sz w:val="30"/>
                <w:szCs w:val="30"/>
              </w:rPr>
            </w:pPr>
          </w:p>
        </w:tc>
      </w:tr>
    </w:tbl>
    <w:p w14:paraId="0030244C">
      <w:pPr>
        <w:jc w:val="center"/>
        <w:rPr>
          <w:rFonts w:asciiTheme="minorEastAsia" w:hAnsiTheme="minorEastAsia" w:eastAsiaTheme="minorEastAsia" w:cstheme="minorEastAsia"/>
          <w:b/>
          <w:sz w:val="36"/>
          <w:szCs w:val="36"/>
        </w:rPr>
      </w:pPr>
    </w:p>
    <w:p w14:paraId="030F6430">
      <w:pPr>
        <w:jc w:val="center"/>
        <w:rPr>
          <w:rFonts w:hint="default"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rPr>
        <w:t>20</w:t>
      </w:r>
      <w:r>
        <w:rPr>
          <w:rFonts w:hint="eastAsia" w:asciiTheme="minorEastAsia" w:hAnsiTheme="minorEastAsia" w:eastAsiaTheme="minorEastAsia" w:cstheme="minorEastAsia"/>
          <w:b/>
          <w:sz w:val="36"/>
          <w:szCs w:val="36"/>
          <w:lang w:eastAsia="zh-CN"/>
        </w:rPr>
        <w:t>2</w:t>
      </w:r>
      <w:r>
        <w:rPr>
          <w:rFonts w:hint="eastAsia" w:asciiTheme="minorEastAsia" w:hAnsiTheme="minorEastAsia" w:eastAsiaTheme="minorEastAsia" w:cstheme="minorEastAsia"/>
          <w:b/>
          <w:sz w:val="36"/>
          <w:szCs w:val="36"/>
          <w:lang w:val="en-US" w:eastAsia="zh-CN"/>
        </w:rPr>
        <w:t>5</w:t>
      </w:r>
      <w:r>
        <w:rPr>
          <w:rFonts w:hint="eastAsia" w:asciiTheme="minorEastAsia" w:hAnsiTheme="minorEastAsia" w:eastAsiaTheme="minorEastAsia" w:cstheme="minorEastAsia"/>
          <w:b/>
          <w:sz w:val="36"/>
          <w:szCs w:val="36"/>
        </w:rPr>
        <w:t>年</w:t>
      </w:r>
      <w:r>
        <w:rPr>
          <w:rFonts w:hint="eastAsia" w:asciiTheme="minorEastAsia" w:hAnsiTheme="minorEastAsia" w:eastAsiaTheme="minorEastAsia" w:cstheme="minorEastAsia"/>
          <w:b/>
          <w:sz w:val="36"/>
          <w:szCs w:val="36"/>
          <w:lang w:val="en-US" w:eastAsia="zh-CN"/>
        </w:rPr>
        <w:t>12</w:t>
      </w:r>
      <w:r>
        <w:rPr>
          <w:rFonts w:hint="eastAsia" w:asciiTheme="minorEastAsia" w:hAnsiTheme="minorEastAsia" w:eastAsiaTheme="minorEastAsia" w:cstheme="minorEastAsia"/>
          <w:b/>
          <w:sz w:val="36"/>
          <w:szCs w:val="36"/>
        </w:rPr>
        <w:t>月</w:t>
      </w:r>
      <w:r>
        <w:rPr>
          <w:rFonts w:hint="eastAsia" w:asciiTheme="minorEastAsia" w:hAnsiTheme="minorEastAsia" w:eastAsiaTheme="minorEastAsia" w:cstheme="minorEastAsia"/>
          <w:b/>
          <w:sz w:val="36"/>
          <w:szCs w:val="36"/>
          <w:lang w:val="en-US" w:eastAsia="zh-CN"/>
        </w:rPr>
        <w:t>24日</w:t>
      </w:r>
    </w:p>
    <w:p w14:paraId="408C2201">
      <w:pPr>
        <w:tabs>
          <w:tab w:val="left" w:pos="343"/>
        </w:tabs>
        <w:rPr>
          <w:rFonts w:hint="default" w:asciiTheme="minorEastAsia" w:hAnsiTheme="minorEastAsia" w:eastAsiaTheme="minorEastAsia" w:cstheme="minorEastAsia"/>
          <w:lang w:val="en-US" w:eastAsia="zh-CN"/>
        </w:rPr>
        <w:sectPr>
          <w:pgSz w:w="11906" w:h="16838"/>
          <w:pgMar w:top="1440" w:right="1800" w:bottom="1440" w:left="1800" w:header="851" w:footer="992" w:gutter="0"/>
          <w:cols w:space="425" w:num="1"/>
          <w:docGrid w:type="lines" w:linePitch="312" w:charSpace="0"/>
        </w:sectPr>
      </w:pPr>
    </w:p>
    <w:sdt>
      <w:sdtPr>
        <w:rPr>
          <w:rFonts w:hint="eastAsia" w:asciiTheme="minorEastAsia" w:hAnsiTheme="minorEastAsia" w:eastAsiaTheme="minorEastAsia" w:cstheme="minorEastAsia"/>
          <w:b/>
          <w:bCs/>
          <w:sz w:val="32"/>
          <w:szCs w:val="32"/>
        </w:rPr>
        <w:id w:val="147482523"/>
        <w15:color w:val="DBDBDB"/>
        <w:docPartObj>
          <w:docPartGallery w:val="Table of Contents"/>
          <w:docPartUnique/>
        </w:docPartObj>
      </w:sdtPr>
      <w:sdtEndPr>
        <w:rPr>
          <w:rFonts w:hint="eastAsia" w:asciiTheme="minorEastAsia" w:hAnsiTheme="minorEastAsia" w:eastAsiaTheme="minorEastAsia" w:cstheme="minorEastAsia"/>
          <w:b/>
          <w:bCs/>
          <w:sz w:val="16"/>
          <w:szCs w:val="28"/>
        </w:rPr>
      </w:sdtEndPr>
      <w:sdtContent>
        <w:p w14:paraId="3F2CFC12">
          <w:pPr>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目录</w:t>
          </w:r>
        </w:p>
        <w:p w14:paraId="58556329">
          <w:pPr>
            <w:pStyle w:val="19"/>
            <w:spacing w:line="240" w:lineRule="auto"/>
            <w:rPr>
              <w:rFonts w:asciiTheme="minorEastAsia" w:hAnsiTheme="minorEastAsia" w:eastAsiaTheme="minorEastAsia" w:cstheme="minorEastAsia"/>
              <w:b/>
              <w:bCs/>
              <w:sz w:val="28"/>
              <w:szCs w:val="28"/>
            </w:rPr>
          </w:pPr>
        </w:p>
      </w:sdtContent>
    </w:sdt>
    <w:p w14:paraId="14276B88">
      <w:pPr>
        <w:pStyle w:val="11"/>
        <w:tabs>
          <w:tab w:val="right" w:leader="dot" w:pos="9070"/>
        </w:tabs>
      </w:pPr>
      <w:bookmarkStart w:id="0" w:name="_Toc23001"/>
      <w:r>
        <w:rPr>
          <w:rFonts w:ascii="宋体" w:hAnsi="宋体"/>
          <w:sz w:val="28"/>
          <w:szCs w:val="28"/>
        </w:rPr>
        <w:fldChar w:fldCharType="begin"/>
      </w:r>
      <w:r>
        <w:rPr>
          <w:rFonts w:ascii="宋体" w:hAnsi="宋体"/>
          <w:sz w:val="28"/>
          <w:szCs w:val="28"/>
        </w:rPr>
        <w:instrText xml:space="preserve"> </w:instrText>
      </w:r>
      <w:r>
        <w:rPr>
          <w:rFonts w:hint="eastAsia" w:ascii="宋体" w:hAnsi="宋体"/>
          <w:sz w:val="28"/>
          <w:szCs w:val="28"/>
        </w:rPr>
        <w:instrText xml:space="preserve">TOC \o "1-2" \h \z \u</w:instrText>
      </w:r>
      <w:r>
        <w:rPr>
          <w:rFonts w:ascii="宋体" w:hAnsi="宋体"/>
          <w:sz w:val="28"/>
          <w:szCs w:val="28"/>
        </w:rPr>
        <w:instrText xml:space="preserve"> </w:instrText>
      </w:r>
      <w:r>
        <w:rPr>
          <w:rFonts w:ascii="宋体" w:hAnsi="宋体"/>
          <w:sz w:val="28"/>
          <w:szCs w:val="28"/>
        </w:rPr>
        <w:fldChar w:fldCharType="separate"/>
      </w:r>
      <w:r>
        <w:rPr>
          <w:rFonts w:ascii="宋体" w:hAnsi="宋体"/>
          <w:szCs w:val="28"/>
        </w:rPr>
        <w:fldChar w:fldCharType="begin"/>
      </w:r>
      <w:r>
        <w:rPr>
          <w:rFonts w:ascii="宋体" w:hAnsi="宋体"/>
          <w:szCs w:val="28"/>
        </w:rPr>
        <w:instrText xml:space="preserve"> HYPERLINK \l _Toc27440 </w:instrText>
      </w:r>
      <w:r>
        <w:rPr>
          <w:rFonts w:ascii="宋体" w:hAnsi="宋体"/>
          <w:szCs w:val="28"/>
        </w:rPr>
        <w:fldChar w:fldCharType="separate"/>
      </w:r>
      <w:r>
        <w:rPr>
          <w:rFonts w:hint="eastAsia"/>
        </w:rPr>
        <w:t>总则</w:t>
      </w:r>
      <w:r>
        <w:tab/>
      </w:r>
      <w:r>
        <w:fldChar w:fldCharType="begin"/>
      </w:r>
      <w:r>
        <w:instrText xml:space="preserve"> PAGEREF _Toc27440 \h </w:instrText>
      </w:r>
      <w:r>
        <w:fldChar w:fldCharType="separate"/>
      </w:r>
      <w:r>
        <w:t>1</w:t>
      </w:r>
      <w:r>
        <w:fldChar w:fldCharType="end"/>
      </w:r>
      <w:r>
        <w:rPr>
          <w:rFonts w:ascii="宋体" w:hAnsi="宋体"/>
          <w:szCs w:val="28"/>
        </w:rPr>
        <w:fldChar w:fldCharType="end"/>
      </w:r>
    </w:p>
    <w:p w14:paraId="794FB154">
      <w:pPr>
        <w:pStyle w:val="3"/>
        <w:tabs>
          <w:tab w:val="right" w:leader="dot" w:pos="9070"/>
        </w:tabs>
        <w:ind w:left="0" w:leftChars="0" w:firstLine="0" w:firstLineChars="0"/>
      </w:pPr>
      <w:r>
        <w:rPr>
          <w:rFonts w:ascii="宋体" w:hAnsi="宋体"/>
          <w:szCs w:val="28"/>
        </w:rPr>
        <w:fldChar w:fldCharType="begin"/>
      </w:r>
      <w:r>
        <w:rPr>
          <w:rFonts w:ascii="宋体" w:hAnsi="宋体"/>
          <w:szCs w:val="28"/>
        </w:rPr>
        <w:instrText xml:space="preserve"> HYPERLINK \l _Toc3157 </w:instrText>
      </w:r>
      <w:r>
        <w:rPr>
          <w:rFonts w:ascii="宋体" w:hAnsi="宋体"/>
          <w:szCs w:val="28"/>
        </w:rPr>
        <w:fldChar w:fldCharType="separate"/>
      </w:r>
      <w:r>
        <w:rPr>
          <w:rFonts w:hint="eastAsia"/>
          <w:lang w:val="en-US" w:eastAsia="zh-CN"/>
        </w:rPr>
        <w:t>规范性引用文件</w:t>
      </w:r>
      <w:r>
        <w:tab/>
      </w:r>
      <w:r>
        <w:fldChar w:fldCharType="begin"/>
      </w:r>
      <w:r>
        <w:instrText xml:space="preserve"> PAGEREF _Toc3157 \h </w:instrText>
      </w:r>
      <w:r>
        <w:fldChar w:fldCharType="separate"/>
      </w:r>
      <w:r>
        <w:t>1</w:t>
      </w:r>
      <w:r>
        <w:fldChar w:fldCharType="end"/>
      </w:r>
      <w:r>
        <w:rPr>
          <w:rFonts w:ascii="宋体" w:hAnsi="宋体"/>
          <w:szCs w:val="28"/>
        </w:rPr>
        <w:fldChar w:fldCharType="end"/>
      </w:r>
    </w:p>
    <w:p w14:paraId="5E4A9182">
      <w:pPr>
        <w:pStyle w:val="3"/>
        <w:tabs>
          <w:tab w:val="right" w:leader="dot" w:pos="9070"/>
        </w:tabs>
        <w:ind w:left="0" w:leftChars="0" w:firstLine="0" w:firstLineChars="0"/>
      </w:pPr>
      <w:r>
        <w:rPr>
          <w:rFonts w:ascii="宋体" w:hAnsi="宋体"/>
          <w:szCs w:val="28"/>
        </w:rPr>
        <w:fldChar w:fldCharType="begin"/>
      </w:r>
      <w:r>
        <w:rPr>
          <w:rFonts w:ascii="宋体" w:hAnsi="宋体"/>
          <w:szCs w:val="28"/>
        </w:rPr>
        <w:instrText xml:space="preserve"> HYPERLINK \l _Toc22235 </w:instrText>
      </w:r>
      <w:r>
        <w:rPr>
          <w:rFonts w:ascii="宋体" w:hAnsi="宋体"/>
          <w:szCs w:val="28"/>
        </w:rPr>
        <w:fldChar w:fldCharType="separate"/>
      </w:r>
      <w:r>
        <w:rPr>
          <w:rFonts w:hint="eastAsia"/>
          <w:lang w:val="en-US" w:eastAsia="zh-CN"/>
        </w:rPr>
        <w:t>箱式变电站使用环境条件</w:t>
      </w:r>
      <w:r>
        <w:tab/>
      </w:r>
      <w:r>
        <w:fldChar w:fldCharType="begin"/>
      </w:r>
      <w:r>
        <w:instrText xml:space="preserve"> PAGEREF _Toc22235 \h </w:instrText>
      </w:r>
      <w:r>
        <w:fldChar w:fldCharType="separate"/>
      </w:r>
      <w:r>
        <w:t>1</w:t>
      </w:r>
      <w:r>
        <w:fldChar w:fldCharType="end"/>
      </w:r>
      <w:r>
        <w:rPr>
          <w:rFonts w:ascii="宋体" w:hAnsi="宋体"/>
          <w:szCs w:val="28"/>
        </w:rPr>
        <w:fldChar w:fldCharType="end"/>
      </w:r>
    </w:p>
    <w:p w14:paraId="11B53E00">
      <w:pPr>
        <w:pStyle w:val="3"/>
        <w:tabs>
          <w:tab w:val="right" w:leader="dot" w:pos="9070"/>
        </w:tabs>
        <w:ind w:left="0" w:leftChars="0" w:firstLine="0" w:firstLineChars="0"/>
      </w:pPr>
      <w:r>
        <w:rPr>
          <w:rFonts w:hint="eastAsia" w:ascii="宋体" w:hAnsi="宋体"/>
          <w:szCs w:val="28"/>
          <w:lang w:val="en-US" w:eastAsia="zh-CN"/>
        </w:rPr>
        <w:t>箱式变电站技术要求</w:t>
      </w:r>
      <w:r>
        <w:rPr>
          <w:rFonts w:ascii="宋体" w:hAnsi="宋体"/>
          <w:szCs w:val="28"/>
        </w:rPr>
        <w:fldChar w:fldCharType="begin"/>
      </w:r>
      <w:r>
        <w:rPr>
          <w:rFonts w:ascii="宋体" w:hAnsi="宋体"/>
          <w:szCs w:val="28"/>
        </w:rPr>
        <w:instrText xml:space="preserve"> HYPERLINK \l _Toc15767 </w:instrText>
      </w:r>
      <w:r>
        <w:rPr>
          <w:rFonts w:ascii="宋体" w:hAnsi="宋体"/>
          <w:szCs w:val="28"/>
        </w:rPr>
        <w:fldChar w:fldCharType="separate"/>
      </w:r>
      <w:r>
        <w:tab/>
      </w:r>
      <w:r>
        <w:rPr>
          <w:rFonts w:hint="eastAsia"/>
          <w:lang w:val="en-US" w:eastAsia="zh-CN"/>
        </w:rPr>
        <w:t>2</w:t>
      </w:r>
      <w:r>
        <w:rPr>
          <w:rFonts w:ascii="宋体" w:hAnsi="宋体"/>
          <w:szCs w:val="28"/>
        </w:rPr>
        <w:fldChar w:fldCharType="end"/>
      </w:r>
    </w:p>
    <w:p w14:paraId="66D94CB6">
      <w:pPr>
        <w:pStyle w:val="3"/>
        <w:tabs>
          <w:tab w:val="right" w:leader="dot" w:pos="9070"/>
        </w:tabs>
        <w:ind w:left="0" w:leftChars="0" w:firstLine="0" w:firstLineChars="0"/>
      </w:pPr>
      <w:r>
        <w:rPr>
          <w:rFonts w:ascii="宋体" w:hAnsi="宋体"/>
          <w:szCs w:val="28"/>
        </w:rPr>
        <w:fldChar w:fldCharType="begin"/>
      </w:r>
      <w:r>
        <w:rPr>
          <w:rFonts w:ascii="宋体" w:hAnsi="宋体"/>
          <w:szCs w:val="28"/>
        </w:rPr>
        <w:instrText xml:space="preserve"> HYPERLINK \l _Toc1515 </w:instrText>
      </w:r>
      <w:r>
        <w:rPr>
          <w:rFonts w:ascii="宋体" w:hAnsi="宋体"/>
          <w:szCs w:val="28"/>
        </w:rPr>
        <w:fldChar w:fldCharType="separate"/>
      </w:r>
      <w:r>
        <w:rPr>
          <w:rFonts w:hint="eastAsia" w:ascii="宋体" w:hAnsi="宋体"/>
          <w:szCs w:val="28"/>
          <w:lang w:val="en-US" w:eastAsia="zh-CN"/>
        </w:rPr>
        <w:t>低压配电装置技术要求</w:t>
      </w:r>
      <w:r>
        <w:tab/>
      </w:r>
      <w:r>
        <w:rPr>
          <w:rFonts w:hint="eastAsia"/>
          <w:lang w:val="en-US" w:eastAsia="zh-CN"/>
        </w:rPr>
        <w:t>4</w:t>
      </w:r>
      <w:r>
        <w:rPr>
          <w:rFonts w:ascii="宋体" w:hAnsi="宋体"/>
          <w:szCs w:val="28"/>
        </w:rPr>
        <w:fldChar w:fldCharType="end"/>
      </w:r>
    </w:p>
    <w:p w14:paraId="0C429B53">
      <w:pPr>
        <w:pStyle w:val="11"/>
        <w:tabs>
          <w:tab w:val="right" w:leader="dot" w:pos="9070"/>
        </w:tabs>
      </w:pPr>
      <w:r>
        <w:rPr>
          <w:rFonts w:ascii="宋体" w:hAnsi="宋体"/>
          <w:szCs w:val="28"/>
        </w:rPr>
        <w:fldChar w:fldCharType="begin"/>
      </w:r>
      <w:r>
        <w:rPr>
          <w:rFonts w:ascii="宋体" w:hAnsi="宋体"/>
          <w:szCs w:val="28"/>
        </w:rPr>
        <w:instrText xml:space="preserve"> HYPERLINK \l _Toc2310 </w:instrText>
      </w:r>
      <w:r>
        <w:rPr>
          <w:rFonts w:ascii="宋体" w:hAnsi="宋体"/>
          <w:szCs w:val="28"/>
        </w:rPr>
        <w:fldChar w:fldCharType="separate"/>
      </w:r>
      <w:r>
        <w:rPr>
          <w:rFonts w:hint="eastAsia" w:ascii="宋体" w:hAnsi="宋体"/>
          <w:szCs w:val="28"/>
          <w:lang w:val="en-US" w:eastAsia="zh-CN"/>
        </w:rPr>
        <w:t>固体开关柜</w:t>
      </w:r>
      <w:r>
        <w:tab/>
      </w:r>
      <w:r>
        <w:rPr>
          <w:rFonts w:hint="eastAsia" w:eastAsia="宋体"/>
          <w:lang w:val="en-US" w:eastAsia="zh-CN"/>
        </w:rPr>
        <w:t>6</w:t>
      </w:r>
      <w:r>
        <w:rPr>
          <w:rFonts w:ascii="宋体" w:hAnsi="宋体"/>
          <w:szCs w:val="28"/>
        </w:rPr>
        <w:fldChar w:fldCharType="end"/>
      </w:r>
    </w:p>
    <w:p w14:paraId="773E9988">
      <w:pPr>
        <w:pStyle w:val="3"/>
        <w:tabs>
          <w:tab w:val="right" w:leader="dot" w:pos="9070"/>
        </w:tabs>
        <w:ind w:left="0" w:leftChars="0" w:firstLine="0" w:firstLineChars="0"/>
        <w:rPr>
          <w:rFonts w:hint="eastAsia" w:eastAsia="宋体"/>
          <w:lang w:val="en-US" w:eastAsia="zh-CN"/>
        </w:rPr>
      </w:pPr>
      <w:r>
        <w:rPr>
          <w:rFonts w:hint="eastAsia" w:ascii="宋体" w:hAnsi="宋体"/>
          <w:szCs w:val="28"/>
          <w:lang w:val="en-US" w:eastAsia="zh-CN"/>
        </w:rPr>
        <w:t>变压器技术参数</w:t>
      </w:r>
      <w:r>
        <w:rPr>
          <w:rFonts w:ascii="宋体" w:hAnsi="宋体"/>
          <w:szCs w:val="28"/>
        </w:rPr>
        <w:fldChar w:fldCharType="begin"/>
      </w:r>
      <w:r>
        <w:rPr>
          <w:rFonts w:ascii="宋体" w:hAnsi="宋体"/>
          <w:szCs w:val="28"/>
        </w:rPr>
        <w:instrText xml:space="preserve"> HYPERLINK \l _Toc13923 </w:instrText>
      </w:r>
      <w:r>
        <w:rPr>
          <w:rFonts w:ascii="宋体" w:hAnsi="宋体"/>
          <w:szCs w:val="28"/>
        </w:rPr>
        <w:fldChar w:fldCharType="separate"/>
      </w:r>
      <w:r>
        <w:tab/>
      </w:r>
      <w:r>
        <w:rPr>
          <w:rFonts w:hint="eastAsia"/>
          <w:lang w:val="en-US" w:eastAsia="zh-CN"/>
        </w:rPr>
        <w:t>9</w:t>
      </w:r>
      <w:r>
        <w:rPr>
          <w:rFonts w:ascii="宋体" w:hAnsi="宋体"/>
          <w:szCs w:val="28"/>
        </w:rPr>
        <w:fldChar w:fldCharType="end"/>
      </w:r>
    </w:p>
    <w:p w14:paraId="1E813A76">
      <w:pPr>
        <w:pStyle w:val="3"/>
        <w:tabs>
          <w:tab w:val="right" w:leader="dot" w:pos="9070"/>
        </w:tabs>
        <w:ind w:left="0" w:leftChars="0" w:firstLine="0" w:firstLineChars="0"/>
        <w:rPr>
          <w:rFonts w:hint="eastAsia" w:eastAsia="宋体"/>
          <w:lang w:val="en-US" w:eastAsia="zh-CN"/>
        </w:rPr>
      </w:pPr>
      <w:r>
        <w:rPr>
          <w:rFonts w:hint="eastAsia" w:ascii="宋体" w:hAnsi="宋体"/>
          <w:szCs w:val="28"/>
          <w:lang w:val="en-US" w:eastAsia="zh-CN"/>
        </w:rPr>
        <w:t>技术资料和图纸交付</w:t>
      </w:r>
      <w:r>
        <w:rPr>
          <w:rFonts w:ascii="宋体" w:hAnsi="宋体"/>
          <w:szCs w:val="28"/>
        </w:rPr>
        <w:fldChar w:fldCharType="begin"/>
      </w:r>
      <w:r>
        <w:rPr>
          <w:rFonts w:ascii="宋体" w:hAnsi="宋体"/>
          <w:szCs w:val="28"/>
        </w:rPr>
        <w:instrText xml:space="preserve"> HYPERLINK \l _Toc26993 </w:instrText>
      </w:r>
      <w:r>
        <w:rPr>
          <w:rFonts w:ascii="宋体" w:hAnsi="宋体"/>
          <w:szCs w:val="28"/>
        </w:rPr>
        <w:fldChar w:fldCharType="separate"/>
      </w:r>
      <w:r>
        <w:tab/>
      </w:r>
      <w:r>
        <w:rPr>
          <w:rFonts w:hint="eastAsia"/>
          <w:lang w:val="en-US" w:eastAsia="zh-CN"/>
        </w:rPr>
        <w:t>1</w:t>
      </w:r>
      <w:r>
        <w:rPr>
          <w:rFonts w:ascii="宋体" w:hAnsi="宋体"/>
          <w:szCs w:val="28"/>
        </w:rPr>
        <w:fldChar w:fldCharType="end"/>
      </w:r>
      <w:r>
        <w:rPr>
          <w:rFonts w:hint="eastAsia" w:ascii="宋体" w:hAnsi="宋体"/>
          <w:szCs w:val="28"/>
          <w:lang w:val="en-US" w:eastAsia="zh-CN"/>
        </w:rPr>
        <w:t>0</w:t>
      </w:r>
    </w:p>
    <w:p w14:paraId="40EECBAC">
      <w:pPr>
        <w:pStyle w:val="11"/>
        <w:tabs>
          <w:tab w:val="right" w:leader="dot" w:pos="9070"/>
        </w:tabs>
        <w:rPr>
          <w:rFonts w:hint="eastAsia" w:eastAsia="宋体"/>
          <w:lang w:val="en-US" w:eastAsia="zh-CN"/>
        </w:rPr>
      </w:pPr>
      <w:r>
        <w:rPr>
          <w:rFonts w:ascii="宋体" w:hAnsi="宋体"/>
          <w:szCs w:val="28"/>
        </w:rPr>
        <w:fldChar w:fldCharType="begin"/>
      </w:r>
      <w:r>
        <w:rPr>
          <w:rFonts w:ascii="宋体" w:hAnsi="宋体"/>
          <w:szCs w:val="28"/>
        </w:rPr>
        <w:instrText xml:space="preserve"> HYPERLINK \l _Toc16711 </w:instrText>
      </w:r>
      <w:r>
        <w:rPr>
          <w:rFonts w:ascii="宋体" w:hAnsi="宋体"/>
          <w:szCs w:val="28"/>
        </w:rPr>
        <w:fldChar w:fldCharType="separate"/>
      </w:r>
      <w:r>
        <w:rPr>
          <w:rFonts w:hint="eastAsia" w:ascii="宋体" w:hAnsi="宋体" w:eastAsia="宋体"/>
          <w:szCs w:val="28"/>
          <w:lang w:val="en-US" w:eastAsia="zh-CN"/>
        </w:rPr>
        <w:t>运输要求</w:t>
      </w:r>
      <w:r>
        <w:tab/>
      </w:r>
      <w:r>
        <w:rPr>
          <w:rFonts w:hint="eastAsia" w:eastAsia="宋体"/>
          <w:lang w:val="en-US" w:eastAsia="zh-CN"/>
        </w:rPr>
        <w:t>1</w:t>
      </w:r>
      <w:r>
        <w:rPr>
          <w:rFonts w:ascii="宋体" w:hAnsi="宋体"/>
          <w:szCs w:val="28"/>
        </w:rPr>
        <w:fldChar w:fldCharType="end"/>
      </w:r>
      <w:r>
        <w:rPr>
          <w:rFonts w:hint="eastAsia" w:ascii="宋体" w:hAnsi="宋体" w:eastAsia="宋体"/>
          <w:szCs w:val="28"/>
          <w:lang w:val="en-US" w:eastAsia="zh-CN"/>
        </w:rPr>
        <w:t>1</w:t>
      </w:r>
    </w:p>
    <w:p w14:paraId="074119B7">
      <w:pPr>
        <w:pStyle w:val="3"/>
        <w:tabs>
          <w:tab w:val="right" w:leader="dot" w:pos="9070"/>
        </w:tabs>
        <w:ind w:left="0" w:leftChars="0" w:firstLine="0" w:firstLineChars="0"/>
        <w:rPr>
          <w:rFonts w:hint="eastAsia" w:ascii="宋体" w:hAnsi="宋体"/>
          <w:szCs w:val="28"/>
          <w:lang w:val="en-US" w:eastAsia="zh-CN"/>
        </w:rPr>
      </w:pPr>
      <w:r>
        <w:rPr>
          <w:rFonts w:ascii="宋体" w:hAnsi="宋体"/>
          <w:szCs w:val="28"/>
        </w:rPr>
        <w:fldChar w:fldCharType="begin"/>
      </w:r>
      <w:r>
        <w:rPr>
          <w:rFonts w:ascii="宋体" w:hAnsi="宋体"/>
          <w:szCs w:val="28"/>
        </w:rPr>
        <w:instrText xml:space="preserve"> HYPERLINK \l _Toc16249 </w:instrText>
      </w:r>
      <w:r>
        <w:rPr>
          <w:rFonts w:ascii="宋体" w:hAnsi="宋体"/>
          <w:szCs w:val="28"/>
        </w:rPr>
        <w:fldChar w:fldCharType="separate"/>
      </w:r>
      <w:r>
        <w:rPr>
          <w:rFonts w:hint="eastAsia" w:ascii="宋体" w:hAnsi="宋体"/>
          <w:szCs w:val="28"/>
          <w:lang w:val="en-US" w:eastAsia="zh-CN"/>
        </w:rPr>
        <w:t>技术服务与设计联络</w:t>
      </w:r>
      <w:r>
        <w:tab/>
      </w:r>
      <w:r>
        <w:rPr>
          <w:rFonts w:hint="eastAsia"/>
          <w:lang w:val="en-US" w:eastAsia="zh-CN"/>
        </w:rPr>
        <w:t>1</w:t>
      </w:r>
      <w:r>
        <w:rPr>
          <w:rFonts w:ascii="宋体" w:hAnsi="宋体"/>
          <w:szCs w:val="28"/>
        </w:rPr>
        <w:fldChar w:fldCharType="end"/>
      </w:r>
      <w:r>
        <w:rPr>
          <w:rFonts w:hint="eastAsia" w:ascii="宋体" w:hAnsi="宋体"/>
          <w:szCs w:val="28"/>
          <w:lang w:val="en-US" w:eastAsia="zh-CN"/>
        </w:rPr>
        <w:t>2</w:t>
      </w:r>
    </w:p>
    <w:p w14:paraId="0D6B678A">
      <w:pPr>
        <w:rPr>
          <w:rFonts w:hint="default"/>
          <w:lang w:val="en-US" w:eastAsia="zh-CN"/>
        </w:rPr>
      </w:pPr>
      <w:r>
        <w:rPr>
          <w:rFonts w:hint="eastAsia" w:ascii="宋体" w:hAnsi="宋体"/>
          <w:szCs w:val="28"/>
          <w:lang w:val="en-US" w:eastAsia="zh-CN"/>
        </w:rPr>
        <w:t>其他...............................................................16</w:t>
      </w:r>
    </w:p>
    <w:p w14:paraId="45B70560">
      <w:pPr>
        <w:pStyle w:val="11"/>
        <w:tabs>
          <w:tab w:val="right" w:leader="dot" w:pos="9070"/>
        </w:tabs>
        <w:rPr>
          <w:rFonts w:hint="eastAsia" w:asciiTheme="minorEastAsia" w:hAnsiTheme="minorEastAsia" w:eastAsiaTheme="minorEastAsia" w:cstheme="minorEastAsia"/>
          <w:b/>
          <w:bCs/>
          <w:sz w:val="28"/>
          <w:szCs w:val="28"/>
        </w:rPr>
      </w:pPr>
      <w:r>
        <w:rPr>
          <w:rFonts w:ascii="宋体" w:hAnsi="宋体"/>
          <w:szCs w:val="28"/>
        </w:rPr>
        <w:fldChar w:fldCharType="end"/>
      </w:r>
    </w:p>
    <w:p w14:paraId="72092091">
      <w:pPr>
        <w:pStyle w:val="19"/>
        <w:spacing w:after="0" w:line="500" w:lineRule="exact"/>
        <w:ind w:firstLine="0"/>
        <w:jc w:val="both"/>
        <w:rPr>
          <w:rFonts w:hint="eastAsia" w:asciiTheme="minorEastAsia" w:hAnsiTheme="minorEastAsia" w:eastAsiaTheme="minorEastAsia" w:cstheme="minorEastAsia"/>
          <w:b/>
          <w:bCs/>
          <w:sz w:val="28"/>
          <w:szCs w:val="28"/>
        </w:rPr>
      </w:pPr>
    </w:p>
    <w:p w14:paraId="1CFDE6E9">
      <w:pPr>
        <w:pStyle w:val="19"/>
        <w:spacing w:after="0" w:line="500" w:lineRule="exact"/>
        <w:ind w:firstLine="0"/>
        <w:jc w:val="both"/>
        <w:rPr>
          <w:rFonts w:hint="eastAsia" w:asciiTheme="minorEastAsia" w:hAnsiTheme="minorEastAsia" w:eastAsiaTheme="minorEastAsia" w:cstheme="minorEastAsia"/>
          <w:b/>
          <w:bCs/>
          <w:sz w:val="28"/>
          <w:szCs w:val="28"/>
        </w:rPr>
      </w:pPr>
    </w:p>
    <w:p w14:paraId="6D18B908">
      <w:pPr>
        <w:pStyle w:val="19"/>
        <w:spacing w:after="0" w:line="500" w:lineRule="exact"/>
        <w:ind w:firstLine="0"/>
        <w:jc w:val="both"/>
        <w:rPr>
          <w:rFonts w:hint="eastAsia" w:asciiTheme="minorEastAsia" w:hAnsiTheme="minorEastAsia" w:eastAsiaTheme="minorEastAsia" w:cstheme="minorEastAsia"/>
          <w:b/>
          <w:bCs/>
          <w:sz w:val="28"/>
          <w:szCs w:val="28"/>
        </w:rPr>
      </w:pPr>
    </w:p>
    <w:p w14:paraId="2577CBAD">
      <w:pPr>
        <w:pStyle w:val="19"/>
        <w:spacing w:after="0" w:line="500" w:lineRule="exact"/>
        <w:ind w:firstLine="0"/>
        <w:jc w:val="both"/>
        <w:rPr>
          <w:rFonts w:hint="eastAsia" w:asciiTheme="minorEastAsia" w:hAnsiTheme="minorEastAsia" w:eastAsiaTheme="minorEastAsia" w:cstheme="minorEastAsia"/>
          <w:b/>
          <w:bCs/>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365BACEF">
      <w:pPr>
        <w:pStyle w:val="4"/>
        <w:bidi w:val="0"/>
        <w:rPr>
          <w:rFonts w:hint="eastAsia"/>
        </w:rPr>
      </w:pPr>
      <w:r>
        <w:rPr>
          <w:rFonts w:hint="eastAsia"/>
          <w:lang w:val="en-US" w:eastAsia="zh-CN"/>
        </w:rPr>
        <w:t>1</w:t>
      </w:r>
      <w:r>
        <w:rPr>
          <w:rFonts w:hint="eastAsia"/>
        </w:rPr>
        <w:t>总则</w:t>
      </w:r>
      <w:bookmarkEnd w:id="0"/>
    </w:p>
    <w:p w14:paraId="75AECCF8">
      <w:pPr>
        <w:pStyle w:val="19"/>
        <w:spacing w:after="0"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val="en-US" w:eastAsia="zh-CN"/>
        </w:rPr>
        <w:t>协议</w:t>
      </w:r>
      <w:r>
        <w:rPr>
          <w:rFonts w:hint="eastAsia" w:asciiTheme="minorEastAsia" w:hAnsiTheme="minorEastAsia" w:eastAsiaTheme="minorEastAsia" w:cstheme="minorEastAsia"/>
          <w:sz w:val="24"/>
          <w:szCs w:val="24"/>
        </w:rPr>
        <w:t>适用于</w:t>
      </w:r>
      <w:r>
        <w:rPr>
          <w:rFonts w:hint="eastAsia" w:asciiTheme="minorEastAsia" w:hAnsiTheme="minorEastAsia" w:eastAsiaTheme="minorEastAsia" w:cstheme="minorEastAsia"/>
          <w:sz w:val="24"/>
          <w:szCs w:val="24"/>
          <w:lang w:val="en-US" w:eastAsia="zh-CN"/>
        </w:rPr>
        <w:t>本部25万吨库废钢堆存改造项目</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rPr>
        <w:t>10/0.4kV</w:t>
      </w:r>
      <w:r>
        <w:rPr>
          <w:rFonts w:hint="eastAsia" w:asciiTheme="minorEastAsia" w:hAnsiTheme="minorEastAsia" w:eastAsiaTheme="minorEastAsia" w:cstheme="minorEastAsia"/>
          <w:sz w:val="24"/>
          <w:szCs w:val="24"/>
          <w:lang w:val="en-US" w:eastAsia="zh-CN" w:bidi="en-US"/>
        </w:rPr>
        <w:t>箱式变电站</w:t>
      </w:r>
      <w:r>
        <w:rPr>
          <w:rFonts w:hint="eastAsia" w:asciiTheme="minorEastAsia" w:hAnsiTheme="minorEastAsia" w:eastAsiaTheme="minorEastAsia" w:cstheme="minorEastAsia"/>
          <w:sz w:val="24"/>
          <w:szCs w:val="24"/>
        </w:rPr>
        <w:t>，技术规范书提出了该产品的功能设计、结构、性能、和试验等方面的技术要求。</w:t>
      </w:r>
    </w:p>
    <w:p w14:paraId="6028508C">
      <w:pPr>
        <w:pStyle w:val="5"/>
        <w:bidi w:val="0"/>
        <w:rPr>
          <w:rFonts w:hint="eastAsia"/>
        </w:rPr>
      </w:pPr>
      <w:r>
        <w:rPr>
          <w:rFonts w:hint="eastAsia"/>
          <w:lang w:val="en-US" w:eastAsia="zh-CN"/>
        </w:rPr>
        <w:t>1.1</w:t>
      </w:r>
      <w:r>
        <w:rPr>
          <w:rFonts w:hint="eastAsia"/>
        </w:rPr>
        <w:t>规范</w:t>
      </w:r>
      <w:r>
        <w:rPr>
          <w:rFonts w:hint="eastAsia"/>
          <w:lang w:val="en-US" w:eastAsia="zh-CN"/>
        </w:rPr>
        <w:t>性引用文件</w:t>
      </w:r>
    </w:p>
    <w:p w14:paraId="6EE263FE">
      <w:pPr>
        <w:spacing w:line="600" w:lineRule="exact"/>
        <w:ind w:firstLine="480" w:firstLineChars="200"/>
        <w:rPr>
          <w:rFonts w:hint="eastAsia" w:ascii="宋体" w:hAnsi="宋体"/>
        </w:rPr>
      </w:pPr>
      <w:r>
        <w:rPr>
          <w:rFonts w:hint="eastAsia" w:ascii="宋体" w:hAnsi="宋体"/>
        </w:rPr>
        <w:t>10kV户外箱式变电站（以下简称箱变）各项技术指标满足下列有关标准：</w:t>
      </w:r>
    </w:p>
    <w:p w14:paraId="4CAE65F2">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GB/T17467-</w:t>
      </w:r>
      <w:r>
        <w:rPr>
          <w:rFonts w:hint="eastAsia" w:ascii="宋体" w:hAnsi="宋体" w:eastAsia="宋体"/>
          <w:color w:val="auto"/>
          <w:lang w:val="en-US" w:eastAsia="zh-CN"/>
        </w:rPr>
        <w:t>2020</w:t>
      </w:r>
      <w:r>
        <w:rPr>
          <w:rFonts w:hint="eastAsia" w:ascii="宋体" w:hAnsi="宋体"/>
          <w:color w:val="auto"/>
        </w:rPr>
        <w:t xml:space="preserve">     高压/低压预装式变电站</w:t>
      </w:r>
    </w:p>
    <w:p w14:paraId="715B04BF">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GB1094.1-</w:t>
      </w:r>
      <w:r>
        <w:rPr>
          <w:rFonts w:hint="eastAsia" w:ascii="宋体" w:hAnsi="宋体" w:eastAsia="宋体"/>
          <w:color w:val="auto"/>
          <w:lang w:val="en-US" w:eastAsia="zh-CN"/>
        </w:rPr>
        <w:t>2013</w:t>
      </w:r>
      <w:r>
        <w:rPr>
          <w:rFonts w:hint="eastAsia" w:ascii="宋体" w:hAnsi="宋体"/>
          <w:color w:val="auto"/>
        </w:rPr>
        <w:tab/>
      </w:r>
      <w:r>
        <w:rPr>
          <w:rFonts w:hint="eastAsia" w:ascii="宋体" w:hAnsi="宋体"/>
          <w:color w:val="auto"/>
        </w:rPr>
        <w:t xml:space="preserve">      电力变压器</w:t>
      </w:r>
      <w:r>
        <w:rPr>
          <w:rFonts w:hint="eastAsia" w:ascii="宋体" w:hAnsi="宋体"/>
          <w:color w:val="auto"/>
        </w:rPr>
        <w:tab/>
      </w:r>
      <w:r>
        <w:rPr>
          <w:rFonts w:hint="eastAsia" w:ascii="宋体" w:hAnsi="宋体"/>
          <w:color w:val="auto"/>
        </w:rPr>
        <w:t xml:space="preserve"> 第1部分</w:t>
      </w:r>
      <w:r>
        <w:rPr>
          <w:rFonts w:hint="eastAsia" w:ascii="宋体" w:hAnsi="宋体"/>
          <w:color w:val="auto"/>
        </w:rPr>
        <w:tab/>
      </w:r>
      <w:r>
        <w:rPr>
          <w:rFonts w:hint="eastAsia" w:ascii="宋体" w:hAnsi="宋体"/>
          <w:color w:val="auto"/>
        </w:rPr>
        <w:t>总则</w:t>
      </w:r>
    </w:p>
    <w:p w14:paraId="23999DF5">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GB1094.2-</w:t>
      </w:r>
      <w:r>
        <w:rPr>
          <w:rFonts w:hint="eastAsia" w:ascii="宋体" w:hAnsi="宋体" w:eastAsia="宋体"/>
          <w:color w:val="auto"/>
          <w:lang w:val="en-US" w:eastAsia="zh-CN"/>
        </w:rPr>
        <w:t>2013</w:t>
      </w:r>
      <w:r>
        <w:rPr>
          <w:rFonts w:hint="eastAsia" w:ascii="宋体" w:hAnsi="宋体"/>
          <w:color w:val="auto"/>
        </w:rPr>
        <w:tab/>
      </w:r>
      <w:r>
        <w:rPr>
          <w:rFonts w:hint="eastAsia" w:ascii="宋体" w:hAnsi="宋体"/>
          <w:color w:val="auto"/>
        </w:rPr>
        <w:t xml:space="preserve">      电力变压器</w:t>
      </w:r>
      <w:r>
        <w:rPr>
          <w:rFonts w:hint="eastAsia" w:ascii="宋体" w:hAnsi="宋体"/>
          <w:color w:val="auto"/>
        </w:rPr>
        <w:tab/>
      </w:r>
      <w:r>
        <w:rPr>
          <w:rFonts w:hint="eastAsia" w:ascii="宋体" w:hAnsi="宋体"/>
          <w:color w:val="auto"/>
        </w:rPr>
        <w:t xml:space="preserve"> 第2部分</w:t>
      </w:r>
      <w:r>
        <w:rPr>
          <w:rFonts w:hint="eastAsia" w:ascii="宋体" w:hAnsi="宋体"/>
          <w:color w:val="auto"/>
        </w:rPr>
        <w:tab/>
      </w:r>
      <w:r>
        <w:rPr>
          <w:rFonts w:hint="eastAsia" w:ascii="宋体" w:hAnsi="宋体"/>
          <w:color w:val="auto"/>
        </w:rPr>
        <w:t>温升</w:t>
      </w:r>
    </w:p>
    <w:p w14:paraId="3EBC778B">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GB1094.3-</w:t>
      </w:r>
      <w:r>
        <w:rPr>
          <w:rFonts w:hint="eastAsia" w:ascii="宋体" w:hAnsi="宋体" w:eastAsia="宋体"/>
          <w:color w:val="auto"/>
          <w:lang w:val="en-US" w:eastAsia="zh-CN"/>
        </w:rPr>
        <w:t>2013</w:t>
      </w:r>
      <w:r>
        <w:rPr>
          <w:rFonts w:hint="eastAsia" w:ascii="宋体" w:hAnsi="宋体"/>
          <w:color w:val="auto"/>
        </w:rPr>
        <w:tab/>
      </w:r>
      <w:r>
        <w:rPr>
          <w:rFonts w:hint="eastAsia" w:ascii="宋体" w:hAnsi="宋体"/>
          <w:color w:val="auto"/>
        </w:rPr>
        <w:t xml:space="preserve">      电力变压器</w:t>
      </w:r>
      <w:r>
        <w:rPr>
          <w:rFonts w:hint="eastAsia" w:ascii="宋体" w:hAnsi="宋体"/>
          <w:color w:val="auto"/>
        </w:rPr>
        <w:tab/>
      </w:r>
      <w:r>
        <w:rPr>
          <w:rFonts w:hint="eastAsia" w:ascii="宋体" w:hAnsi="宋体"/>
          <w:color w:val="auto"/>
        </w:rPr>
        <w:t xml:space="preserve"> 第3部分</w:t>
      </w:r>
      <w:r>
        <w:rPr>
          <w:rFonts w:hint="eastAsia" w:ascii="宋体" w:hAnsi="宋体"/>
          <w:color w:val="auto"/>
        </w:rPr>
        <w:tab/>
      </w:r>
      <w:r>
        <w:rPr>
          <w:rFonts w:hint="eastAsia" w:ascii="宋体" w:hAnsi="宋体"/>
          <w:color w:val="auto"/>
        </w:rPr>
        <w:t>绝缘水平和绝缘测试</w:t>
      </w:r>
    </w:p>
    <w:p w14:paraId="61D199B1">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GB1094.5-</w:t>
      </w:r>
      <w:r>
        <w:rPr>
          <w:rFonts w:hint="eastAsia" w:ascii="宋体" w:hAnsi="宋体" w:eastAsia="宋体"/>
          <w:color w:val="auto"/>
          <w:lang w:val="en-US" w:eastAsia="zh-CN"/>
        </w:rPr>
        <w:t>2013</w:t>
      </w:r>
      <w:r>
        <w:rPr>
          <w:rFonts w:hint="eastAsia" w:ascii="宋体" w:hAnsi="宋体"/>
          <w:color w:val="auto"/>
        </w:rPr>
        <w:t xml:space="preserve">      电力变压器</w:t>
      </w:r>
      <w:r>
        <w:rPr>
          <w:rFonts w:hint="eastAsia" w:ascii="宋体" w:hAnsi="宋体"/>
          <w:color w:val="auto"/>
        </w:rPr>
        <w:tab/>
      </w:r>
      <w:r>
        <w:rPr>
          <w:rFonts w:hint="eastAsia" w:ascii="宋体" w:hAnsi="宋体"/>
          <w:color w:val="auto"/>
        </w:rPr>
        <w:t xml:space="preserve"> 第5部分</w:t>
      </w:r>
      <w:r>
        <w:rPr>
          <w:rFonts w:hint="eastAsia" w:ascii="宋体" w:hAnsi="宋体"/>
          <w:color w:val="auto"/>
        </w:rPr>
        <w:tab/>
      </w:r>
      <w:r>
        <w:rPr>
          <w:rFonts w:hint="eastAsia" w:ascii="宋体" w:hAnsi="宋体"/>
          <w:color w:val="auto"/>
        </w:rPr>
        <w:t>承受短路的能力</w:t>
      </w:r>
    </w:p>
    <w:p w14:paraId="510B2AB7">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GB/T2900.</w:t>
      </w:r>
      <w:r>
        <w:rPr>
          <w:rFonts w:hint="eastAsia" w:ascii="宋体" w:hAnsi="宋体" w:eastAsia="宋体"/>
          <w:color w:val="auto"/>
          <w:lang w:val="en-US" w:eastAsia="zh-CN"/>
        </w:rPr>
        <w:t>9</w:t>
      </w:r>
      <w:r>
        <w:rPr>
          <w:rFonts w:hint="eastAsia" w:ascii="宋体" w:hAnsi="宋体"/>
          <w:color w:val="auto"/>
        </w:rPr>
        <w:t>5-</w:t>
      </w:r>
      <w:r>
        <w:rPr>
          <w:rFonts w:hint="eastAsia" w:ascii="宋体" w:hAnsi="宋体" w:eastAsia="宋体"/>
          <w:color w:val="auto"/>
          <w:lang w:val="en-US" w:eastAsia="zh-CN"/>
        </w:rPr>
        <w:t>2015</w:t>
      </w:r>
      <w:r>
        <w:rPr>
          <w:rFonts w:hint="eastAsia" w:ascii="宋体" w:hAnsi="宋体"/>
          <w:color w:val="auto"/>
        </w:rPr>
        <w:t xml:space="preserve">      电工术语     变压器 互感器 调压器和电抗器</w:t>
      </w:r>
    </w:p>
    <w:p w14:paraId="1430DF82">
      <w:pPr>
        <w:autoSpaceDE w:val="0"/>
        <w:autoSpaceDN w:val="0"/>
        <w:adjustRightInd w:val="0"/>
        <w:spacing w:line="600" w:lineRule="exact"/>
        <w:ind w:firstLine="480" w:firstLineChars="200"/>
        <w:rPr>
          <w:rFonts w:hint="eastAsia" w:ascii="宋体" w:hAnsi="宋体"/>
          <w:color w:val="auto"/>
        </w:rPr>
      </w:pPr>
      <w:r>
        <w:rPr>
          <w:rFonts w:hint="eastAsia" w:ascii="宋体" w:hAnsi="宋体"/>
          <w:color w:val="auto"/>
        </w:rPr>
        <w:t>GB/T2900.19-</w:t>
      </w:r>
      <w:r>
        <w:rPr>
          <w:rFonts w:hint="eastAsia" w:ascii="宋体" w:hAnsi="宋体" w:eastAsia="宋体"/>
          <w:color w:val="auto"/>
          <w:lang w:val="en-US" w:eastAsia="zh-CN"/>
        </w:rPr>
        <w:t>2022</w:t>
      </w:r>
      <w:r>
        <w:rPr>
          <w:rFonts w:hint="eastAsia" w:ascii="宋体" w:hAnsi="宋体"/>
          <w:color w:val="auto"/>
        </w:rPr>
        <w:t xml:space="preserve">    电工术语     高电压试验技术和绝缘配合</w:t>
      </w:r>
    </w:p>
    <w:p w14:paraId="7FBC14FB">
      <w:pPr>
        <w:spacing w:line="600" w:lineRule="exact"/>
        <w:ind w:firstLine="480" w:firstLineChars="200"/>
        <w:rPr>
          <w:rFonts w:hint="eastAsia" w:ascii="宋体" w:hAnsi="宋体"/>
          <w:color w:val="auto"/>
        </w:rPr>
      </w:pPr>
      <w:r>
        <w:rPr>
          <w:rFonts w:hint="eastAsia" w:ascii="宋体" w:hAnsi="宋体"/>
          <w:color w:val="auto"/>
        </w:rPr>
        <w:t>GB/T2900.20-</w:t>
      </w:r>
      <w:r>
        <w:rPr>
          <w:rFonts w:hint="eastAsia" w:ascii="宋体" w:hAnsi="宋体" w:eastAsia="宋体"/>
          <w:color w:val="auto"/>
          <w:lang w:val="en-US" w:eastAsia="zh-CN"/>
        </w:rPr>
        <w:t>2016</w:t>
      </w:r>
      <w:r>
        <w:rPr>
          <w:rFonts w:hint="eastAsia" w:ascii="宋体" w:hAnsi="宋体"/>
          <w:color w:val="auto"/>
        </w:rPr>
        <w:t xml:space="preserve">      电工术语     高电压开关设备</w:t>
      </w:r>
    </w:p>
    <w:p w14:paraId="05CB0C6C">
      <w:pPr>
        <w:pStyle w:val="5"/>
        <w:bidi w:val="0"/>
        <w:rPr>
          <w:lang w:val="en-US" w:eastAsia="en-US"/>
        </w:rPr>
      </w:pPr>
      <w:bookmarkStart w:id="1" w:name="_Toc22450"/>
      <w:r>
        <w:rPr>
          <w:rFonts w:hint="eastAsia"/>
          <w:lang w:val="en-US" w:eastAsia="zh-CN"/>
        </w:rPr>
        <w:t>1.2箱式变电站</w:t>
      </w:r>
      <w:r>
        <w:rPr>
          <w:rFonts w:hint="eastAsia"/>
        </w:rPr>
        <w:t>使用环境条件</w:t>
      </w:r>
      <w:bookmarkEnd w:id="1"/>
    </w:p>
    <w:p w14:paraId="1B4C34C6">
      <w:pPr>
        <w:pStyle w:val="19"/>
        <w:spacing w:after="0"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en-US"/>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en-US"/>
        </w:rPr>
        <w:t>1</w:t>
      </w:r>
      <w:r>
        <w:rPr>
          <w:rFonts w:hint="eastAsia" w:asciiTheme="minorEastAsia" w:hAnsiTheme="minorEastAsia" w:eastAsiaTheme="minorEastAsia" w:cstheme="minorEastAsia"/>
          <w:sz w:val="24"/>
          <w:szCs w:val="24"/>
        </w:rPr>
        <w:t>周围空气温度：</w:t>
      </w:r>
    </w:p>
    <w:p w14:paraId="250A9136">
      <w:pPr>
        <w:pStyle w:val="19"/>
        <w:spacing w:after="0"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eastAsia="zh-TW"/>
        </w:rPr>
        <w:t>最高气温：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38.4</w:t>
      </w:r>
      <w:r>
        <w:rPr>
          <w:rFonts w:hint="eastAsia" w:asciiTheme="minorEastAsia" w:hAnsiTheme="minorEastAsia" w:eastAsiaTheme="minorEastAsia" w:cstheme="minorEastAsia"/>
          <w:sz w:val="24"/>
          <w:szCs w:val="24"/>
          <w:lang w:eastAsia="zh-CN"/>
        </w:rPr>
        <w:t>℃</w:t>
      </w:r>
    </w:p>
    <w:p w14:paraId="4EB5071D">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en-US"/>
        </w:rPr>
        <w:t>最低气温：</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en-US"/>
        </w:rPr>
        <w:t>3</w:t>
      </w:r>
      <w:r>
        <w:rPr>
          <w:rFonts w:hint="eastAsia" w:asciiTheme="minorEastAsia" w:hAnsiTheme="minorEastAsia" w:eastAsiaTheme="minorEastAsia" w:cstheme="minorEastAsia"/>
          <w:sz w:val="24"/>
          <w:szCs w:val="24"/>
          <w:lang w:val="en-US" w:eastAsia="zh-CN"/>
        </w:rPr>
        <w:t>1.6℃</w:t>
      </w:r>
    </w:p>
    <w:p w14:paraId="70F205E8">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最高日平均气温：+</w:t>
      </w:r>
      <w:r>
        <w:rPr>
          <w:rFonts w:hint="eastAsia" w:asciiTheme="minorEastAsia" w:hAnsiTheme="minorEastAsia" w:eastAsiaTheme="minorEastAsia" w:cstheme="minorEastAsia"/>
          <w:sz w:val="24"/>
          <w:szCs w:val="24"/>
          <w:lang w:val="en-US" w:eastAsia="zh-CN"/>
        </w:rPr>
        <w:t>28.7℃</w:t>
      </w:r>
    </w:p>
    <w:p w14:paraId="699EAB35">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最高年平均气温：+2</w:t>
      </w:r>
      <w:r>
        <w:rPr>
          <w:rFonts w:hint="eastAsia" w:asciiTheme="minorEastAsia" w:hAnsiTheme="minorEastAsia" w:eastAsiaTheme="minorEastAsia" w:cstheme="minorEastAsia"/>
          <w:sz w:val="24"/>
          <w:szCs w:val="24"/>
          <w:lang w:val="en-US" w:eastAsia="zh-CN"/>
        </w:rPr>
        <w:t>8.7℃</w:t>
      </w:r>
    </w:p>
    <w:p w14:paraId="7314B106">
      <w:pPr>
        <w:pStyle w:val="19"/>
        <w:spacing w:after="0" w:line="500" w:lineRule="exact"/>
        <w:ind w:firstLine="480" w:firstLineChars="200"/>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en-US"/>
        </w:rPr>
        <w:t>最大日温差：</w:t>
      </w:r>
      <w:r>
        <w:rPr>
          <w:rFonts w:hint="eastAsia" w:asciiTheme="minorEastAsia" w:hAnsiTheme="minorEastAsia" w:eastAsiaTheme="minorEastAsia" w:cstheme="minorEastAsia"/>
          <w:sz w:val="24"/>
          <w:szCs w:val="24"/>
          <w:lang w:val="en-US" w:eastAsia="zh-CN"/>
        </w:rPr>
        <w:t>14℃</w:t>
      </w:r>
    </w:p>
    <w:p w14:paraId="13E2262E">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en-US"/>
        </w:rPr>
        <w:t>.2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海拔：不超过</w:t>
      </w:r>
      <w:r>
        <w:rPr>
          <w:rFonts w:hint="eastAsia" w:asciiTheme="minorEastAsia" w:hAnsiTheme="minorEastAsia" w:eastAsiaTheme="minorEastAsia" w:cstheme="minorEastAsia"/>
          <w:sz w:val="24"/>
          <w:szCs w:val="24"/>
          <w:lang w:val="en-US" w:eastAsia="en-US"/>
        </w:rPr>
        <w:t>2000m；</w:t>
      </w:r>
    </w:p>
    <w:p w14:paraId="48F3B1C2">
      <w:pPr>
        <w:pStyle w:val="19"/>
        <w:spacing w:after="0" w:line="500" w:lineRule="exact"/>
        <w:ind w:firstLine="480" w:firstLineChars="200"/>
        <w:jc w:val="both"/>
        <w:rPr>
          <w:rFonts w:hint="eastAsia" w:asciiTheme="minorEastAsia" w:hAnsiTheme="minorEastAsia" w:eastAsiaTheme="minorEastAsia" w:cstheme="minorEastAsia"/>
          <w:color w:val="auto"/>
          <w:sz w:val="24"/>
          <w:szCs w:val="24"/>
          <w:lang w:val="en-US" w:eastAsia="en-US"/>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en-US"/>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en-US"/>
        </w:rPr>
        <w:t>3</w:t>
      </w:r>
      <w:r>
        <w:rPr>
          <w:rFonts w:hint="eastAsia" w:asciiTheme="minorEastAsia" w:hAnsiTheme="minorEastAsia" w:eastAsiaTheme="minorEastAsia" w:cstheme="minorEastAsia"/>
          <w:color w:val="auto"/>
          <w:sz w:val="24"/>
          <w:szCs w:val="24"/>
        </w:rPr>
        <w:t>风速：不大于</w:t>
      </w:r>
      <w:r>
        <w:rPr>
          <w:rFonts w:hint="eastAsia" w:asciiTheme="minorEastAsia" w:hAnsiTheme="minorEastAsia" w:eastAsiaTheme="minorEastAsia" w:cstheme="minorEastAsia"/>
          <w:color w:val="auto"/>
          <w:sz w:val="24"/>
          <w:szCs w:val="24"/>
          <w:lang w:val="en-US" w:eastAsia="en-US"/>
        </w:rPr>
        <w:t>25m/s；</w:t>
      </w:r>
    </w:p>
    <w:p w14:paraId="5F9ED92D">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en-US"/>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en-US"/>
        </w:rPr>
        <w:t>4环境湿度：</w:t>
      </w:r>
    </w:p>
    <w:p w14:paraId="40D49197">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月平均值不大于90%；</w:t>
      </w:r>
    </w:p>
    <w:p w14:paraId="03222007">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日平均值不大于95%；</w:t>
      </w:r>
    </w:p>
    <w:p w14:paraId="1629911C">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en-US"/>
        </w:rPr>
        <w:t>.5耐地震能力</w:t>
      </w:r>
    </w:p>
    <w:p w14:paraId="55B9E2F2">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地震烈度：8级</w:t>
      </w:r>
    </w:p>
    <w:p w14:paraId="62316C97">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en-US"/>
        </w:rPr>
        <w:t>地面水平加速度：0.2g</w:t>
      </w:r>
      <w:r>
        <w:rPr>
          <w:rFonts w:hint="eastAsia" w:asciiTheme="minorEastAsia" w:hAnsiTheme="minorEastAsia" w:eastAsiaTheme="minorEastAsia" w:cstheme="minorEastAsia"/>
          <w:sz w:val="24"/>
          <w:szCs w:val="24"/>
          <w:lang w:val="en-US" w:eastAsia="zh-CN"/>
        </w:rPr>
        <w:t>；</w:t>
      </w:r>
    </w:p>
    <w:p w14:paraId="1E4189C1">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地面垂直加速度：0.lg；</w:t>
      </w:r>
    </w:p>
    <w:p w14:paraId="0B13FD2A">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1.6安装地点的倾斜度：不大于3°</w:t>
      </w:r>
    </w:p>
    <w:p w14:paraId="42269792">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zh-CN"/>
        </w:rPr>
      </w:pPr>
      <w:bookmarkStart w:id="2" w:name="bookmark4"/>
      <w:bookmarkEnd w:id="2"/>
      <w:r>
        <w:rPr>
          <w:rFonts w:hint="eastAsia" w:asciiTheme="minorEastAsia" w:hAnsiTheme="minorEastAsia" w:eastAsiaTheme="minorEastAsia" w:cstheme="minorEastAsia"/>
          <w:sz w:val="24"/>
          <w:szCs w:val="24"/>
          <w:lang w:val="en-US" w:eastAsia="zh-CN"/>
        </w:rPr>
        <w:t>1.7考虑日照、污秽、凝露及自然腐蚀的影响。</w:t>
      </w:r>
    </w:p>
    <w:p w14:paraId="452A7AE6">
      <w:pPr>
        <w:pStyle w:val="19"/>
        <w:spacing w:after="0" w:line="500" w:lineRule="exact"/>
        <w:ind w:firstLine="480" w:firstLineChars="200"/>
        <w:jc w:val="both"/>
        <w:rPr>
          <w:rFonts w:hint="eastAsia" w:asciiTheme="minorEastAsia" w:hAnsiTheme="minorEastAsia" w:eastAsiaTheme="minorEastAsia" w:cstheme="minorEastAsia"/>
          <w:sz w:val="24"/>
          <w:szCs w:val="24"/>
          <w:lang w:val="en-US" w:eastAsia="zh-CN"/>
        </w:rPr>
      </w:pPr>
      <w:bookmarkStart w:id="3" w:name="bookmark5"/>
      <w:bookmarkEnd w:id="3"/>
      <w:r>
        <w:rPr>
          <w:rFonts w:hint="eastAsia" w:asciiTheme="minorEastAsia" w:hAnsiTheme="minorEastAsia" w:eastAsiaTheme="minorEastAsia" w:cstheme="minorEastAsia"/>
          <w:sz w:val="24"/>
          <w:szCs w:val="24"/>
          <w:lang w:val="en-US" w:eastAsia="zh-CN"/>
        </w:rPr>
        <w:t>1.8周围空气不受腐蚀性或可燃性气体、水蒸气等明显污染，箱式变安装地点无剧烈振动。</w:t>
      </w:r>
    </w:p>
    <w:p w14:paraId="2594D49A">
      <w:pPr>
        <w:pStyle w:val="4"/>
        <w:bidi w:val="0"/>
        <w:rPr>
          <w:lang w:val="en-US" w:eastAsia="zh-CN"/>
        </w:rPr>
      </w:pPr>
      <w:r>
        <w:rPr>
          <w:rFonts w:hint="eastAsia"/>
          <w:lang w:val="en-US" w:eastAsia="zh-CN"/>
        </w:rPr>
        <w:t>2.箱式变电站技术要求</w:t>
      </w:r>
    </w:p>
    <w:p w14:paraId="47A4E92E">
      <w:pPr>
        <w:pStyle w:val="5"/>
        <w:bidi w:val="0"/>
      </w:pPr>
      <w:r>
        <w:rPr>
          <w:rFonts w:hint="eastAsia"/>
          <w:lang w:val="en-US" w:eastAsia="zh-CN"/>
        </w:rPr>
        <w:t>2.1</w:t>
      </w:r>
      <w:r>
        <w:rPr>
          <w:rFonts w:hint="eastAsia"/>
        </w:rPr>
        <w:t>结构</w:t>
      </w:r>
    </w:p>
    <w:p w14:paraId="13571E94">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该箱变</w:t>
      </w:r>
      <w:r>
        <w:rPr>
          <w:rFonts w:hint="eastAsia" w:asciiTheme="minorEastAsia" w:hAnsiTheme="minorEastAsia" w:eastAsiaTheme="minorEastAsia" w:cstheme="minorEastAsia"/>
          <w:sz w:val="24"/>
          <w:szCs w:val="24"/>
        </w:rPr>
        <w:t>是集低压开关设备和变压器于一体的成套装置。有独立的低压室和变压器室，低压室内的设备必须安装在可密封的金属间隔内。间隔须使用厚度</w:t>
      </w:r>
      <w:r>
        <w:rPr>
          <w:rFonts w:hint="eastAsia" w:asciiTheme="minorEastAsia" w:hAnsiTheme="minorEastAsia" w:eastAsiaTheme="minorEastAsia" w:cstheme="minorEastAsia"/>
          <w:sz w:val="24"/>
          <w:szCs w:val="24"/>
          <w:lang w:val="en-US" w:eastAsia="zh-CN" w:bidi="en-US"/>
        </w:rPr>
        <w:t>2.0mm（负偏差）</w:t>
      </w:r>
      <w:r>
        <w:rPr>
          <w:rFonts w:hint="eastAsia" w:asciiTheme="minorEastAsia" w:hAnsiTheme="minorEastAsia" w:eastAsiaTheme="minorEastAsia" w:cstheme="minorEastAsia"/>
          <w:sz w:val="24"/>
          <w:szCs w:val="24"/>
        </w:rPr>
        <w:t>及以上的铝锌板材或者不锈钢板材。防护等级不能低于</w:t>
      </w:r>
      <w:r>
        <w:rPr>
          <w:rFonts w:hint="eastAsia" w:asciiTheme="minorEastAsia" w:hAnsiTheme="minorEastAsia" w:eastAsiaTheme="minorEastAsia" w:cstheme="minorEastAsia"/>
          <w:sz w:val="24"/>
          <w:szCs w:val="24"/>
          <w:lang w:val="en-US" w:eastAsia="zh-CN" w:bidi="en-US"/>
        </w:rPr>
        <w:t>IP66。</w:t>
      </w:r>
    </w:p>
    <w:p w14:paraId="1EFAF7BE">
      <w:pPr>
        <w:pStyle w:val="17"/>
        <w:spacing w:line="500" w:lineRule="exact"/>
        <w:ind w:firstLine="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外壳的金属材料应经过防腐处理。</w:t>
      </w:r>
    </w:p>
    <w:p w14:paraId="572E384D">
      <w:pPr>
        <w:pStyle w:val="22"/>
        <w:spacing w:line="500" w:lineRule="exact"/>
        <w:ind w:firstLine="0"/>
        <w:rPr>
          <w:rFonts w:asciiTheme="minorEastAsia" w:hAnsiTheme="minorEastAsia" w:eastAsiaTheme="minorEastAsia" w:cstheme="minorEastAsia"/>
          <w:sz w:val="24"/>
          <w:szCs w:val="24"/>
          <w:lang w:val="en-US" w:eastAsia="zh-CN"/>
        </w:rPr>
      </w:pPr>
      <w:bookmarkStart w:id="4" w:name="bookmark14"/>
      <w:bookmarkEnd w:id="4"/>
      <w:r>
        <w:rPr>
          <w:rFonts w:hint="eastAsia" w:asciiTheme="minorEastAsia" w:hAnsiTheme="minorEastAsia" w:eastAsiaTheme="minorEastAsia" w:cstheme="minorEastAsia"/>
          <w:sz w:val="24"/>
          <w:szCs w:val="24"/>
          <w:lang w:val="en-US" w:eastAsia="zh-CN"/>
        </w:rPr>
        <w:t>2.2箱体</w:t>
      </w:r>
    </w:p>
    <w:p w14:paraId="154CAF00">
      <w:pPr>
        <w:pStyle w:val="8"/>
        <w:spacing w:line="360" w:lineRule="auto"/>
        <w:ind w:firstLine="480" w:firstLineChars="200"/>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color w:val="auto"/>
          <w:szCs w:val="24"/>
          <w:lang w:val="en-US" w:eastAsia="zh-CN" w:bidi="zh-TW"/>
        </w:rPr>
        <w:t>1.</w:t>
      </w:r>
      <w:r>
        <w:rPr>
          <w:rFonts w:hint="eastAsia" w:asciiTheme="minorEastAsia" w:hAnsiTheme="minorEastAsia" w:eastAsiaTheme="minorEastAsia" w:cstheme="minorEastAsia"/>
          <w:color w:val="auto"/>
          <w:szCs w:val="24"/>
          <w:lang w:val="zh-TW" w:eastAsia="zh-TW" w:bidi="zh-TW"/>
        </w:rPr>
        <w:t>箱体采用全组装式结构。箱体应符合GB</w:t>
      </w:r>
      <w:r>
        <w:rPr>
          <w:rFonts w:hint="eastAsia" w:asciiTheme="minorEastAsia" w:hAnsiTheme="minorEastAsia" w:eastAsiaTheme="minorEastAsia" w:cstheme="minorEastAsia"/>
          <w:color w:val="auto"/>
          <w:szCs w:val="24"/>
          <w:lang w:val="en-US" w:eastAsia="zh-CN" w:bidi="zh-TW"/>
        </w:rPr>
        <w:t>5001</w:t>
      </w:r>
      <w:r>
        <w:rPr>
          <w:rFonts w:hint="eastAsia" w:asciiTheme="minorEastAsia" w:hAnsiTheme="minorEastAsia" w:eastAsiaTheme="minorEastAsia" w:cstheme="minorEastAsia"/>
          <w:color w:val="auto"/>
          <w:szCs w:val="24"/>
          <w:lang w:val="zh-TW" w:eastAsia="zh-TW" w:bidi="zh-TW"/>
        </w:rPr>
        <w:t>7-</w:t>
      </w:r>
      <w:r>
        <w:rPr>
          <w:rFonts w:hint="eastAsia" w:asciiTheme="minorEastAsia" w:hAnsiTheme="minorEastAsia" w:eastAsiaTheme="minorEastAsia" w:cstheme="minorEastAsia"/>
          <w:color w:val="auto"/>
          <w:szCs w:val="24"/>
          <w:lang w:val="en-US" w:eastAsia="zh-CN" w:bidi="zh-TW"/>
        </w:rPr>
        <w:t>2017</w:t>
      </w:r>
      <w:r>
        <w:rPr>
          <w:rFonts w:hint="eastAsia" w:asciiTheme="minorEastAsia" w:hAnsiTheme="minorEastAsia" w:eastAsiaTheme="minorEastAsia" w:cstheme="minorEastAsia"/>
          <w:color w:val="auto"/>
          <w:szCs w:val="24"/>
          <w:lang w:val="zh-TW" w:eastAsia="zh-TW" w:bidi="zh-TW"/>
        </w:rPr>
        <w:t>《箱变结构设计规格》、GB/T17467-</w:t>
      </w:r>
      <w:r>
        <w:rPr>
          <w:rFonts w:hint="eastAsia" w:asciiTheme="minorEastAsia" w:hAnsiTheme="minorEastAsia" w:eastAsiaTheme="minorEastAsia" w:cstheme="minorEastAsia"/>
          <w:color w:val="auto"/>
          <w:szCs w:val="24"/>
          <w:lang w:val="en-US" w:eastAsia="zh-CN" w:bidi="zh-TW"/>
        </w:rPr>
        <w:t>2020</w:t>
      </w:r>
      <w:r>
        <w:rPr>
          <w:rFonts w:hint="eastAsia" w:asciiTheme="minorEastAsia" w:hAnsiTheme="minorEastAsia" w:eastAsiaTheme="minorEastAsia" w:cstheme="minorEastAsia"/>
          <w:color w:val="auto"/>
          <w:szCs w:val="24"/>
          <w:lang w:val="zh-TW" w:eastAsia="zh-TW" w:bidi="zh-TW"/>
        </w:rPr>
        <w:t>《高压/低压预装式变电站》、DL/T537-</w:t>
      </w:r>
      <w:r>
        <w:rPr>
          <w:rFonts w:hint="eastAsia" w:asciiTheme="minorEastAsia" w:hAnsiTheme="minorEastAsia" w:eastAsiaTheme="minorEastAsia" w:cstheme="minorEastAsia"/>
          <w:color w:val="auto"/>
          <w:szCs w:val="24"/>
          <w:lang w:val="en-US" w:eastAsia="zh-CN" w:bidi="zh-TW"/>
        </w:rPr>
        <w:t>2018</w:t>
      </w:r>
      <w:r>
        <w:rPr>
          <w:rFonts w:hint="eastAsia" w:asciiTheme="minorEastAsia" w:hAnsiTheme="minorEastAsia" w:eastAsiaTheme="minorEastAsia" w:cstheme="minorEastAsia"/>
          <w:color w:val="auto"/>
          <w:szCs w:val="24"/>
          <w:lang w:val="zh-TW" w:eastAsia="zh-TW" w:bidi="zh-TW"/>
        </w:rPr>
        <w:t>《高压/低压预装式变电站选用导则》等标准。户外型。防护等级：不低于IP</w:t>
      </w:r>
      <w:r>
        <w:rPr>
          <w:rFonts w:hint="eastAsia" w:asciiTheme="minorEastAsia" w:hAnsiTheme="minorEastAsia" w:eastAsiaTheme="minorEastAsia" w:cstheme="minorEastAsia"/>
          <w:color w:val="auto"/>
          <w:szCs w:val="24"/>
          <w:lang w:val="en-US" w:eastAsia="zh-CN" w:bidi="zh-TW"/>
        </w:rPr>
        <w:t>44</w:t>
      </w:r>
      <w:r>
        <w:rPr>
          <w:rFonts w:hint="eastAsia" w:asciiTheme="minorEastAsia" w:hAnsiTheme="minorEastAsia" w:eastAsiaTheme="minorEastAsia" w:cstheme="minorEastAsia"/>
          <w:color w:val="auto"/>
          <w:szCs w:val="24"/>
          <w:lang w:eastAsia="zh-CN"/>
        </w:rPr>
        <w:t>。箱体骨架为焊接式。箱体在起吊、运输和安装时不应变形或损坏。</w:t>
      </w:r>
    </w:p>
    <w:p w14:paraId="779AD84D">
      <w:pPr>
        <w:pStyle w:val="17"/>
        <w:spacing w:line="500" w:lineRule="exact"/>
        <w:ind w:firstLine="480" w:firstLineChars="200"/>
        <w:jc w:val="both"/>
        <w:rPr>
          <w:rFonts w:asciiTheme="minorEastAsia" w:hAnsiTheme="minorEastAsia" w:eastAsiaTheme="minorEastAsia" w:cstheme="minorEastAsia"/>
          <w:sz w:val="24"/>
          <w:szCs w:val="24"/>
          <w:lang w:val="en-US" w:eastAsia="zh-CN" w:bidi="en-US"/>
        </w:rPr>
      </w:pPr>
      <w:bookmarkStart w:id="5" w:name="bookmark15"/>
      <w:bookmarkEnd w:id="5"/>
      <w:r>
        <w:rPr>
          <w:rFonts w:hint="eastAsia" w:asciiTheme="minorEastAsia" w:hAnsiTheme="minorEastAsia" w:eastAsiaTheme="minorEastAsia" w:cstheme="minorEastAsia"/>
          <w:sz w:val="24"/>
          <w:szCs w:val="24"/>
          <w:lang w:val="en-US" w:eastAsia="zh-CN" w:bidi="en-US"/>
        </w:rPr>
        <w:t>2.所有的门应向外开，开启角度应大于90°,并设定位装置。门应有密封措施，并装有把手、暗闩和能防雨、防堵、防锈的暗锁，钗链应釆用内绞链。</w:t>
      </w:r>
    </w:p>
    <w:p w14:paraId="501DF292">
      <w:pPr>
        <w:pStyle w:val="17"/>
        <w:spacing w:line="500" w:lineRule="exact"/>
        <w:ind w:firstLine="480" w:firstLineChars="200"/>
        <w:jc w:val="both"/>
        <w:rPr>
          <w:rFonts w:asciiTheme="minorEastAsia" w:hAnsiTheme="minorEastAsia" w:eastAsiaTheme="minorEastAsia" w:cstheme="minorEastAsia"/>
          <w:sz w:val="24"/>
          <w:szCs w:val="24"/>
          <w:lang w:val="en-US" w:eastAsia="zh-CN" w:bidi="en-US"/>
        </w:rPr>
      </w:pPr>
      <w:bookmarkStart w:id="6" w:name="bookmark16"/>
      <w:bookmarkEnd w:id="6"/>
      <w:r>
        <w:rPr>
          <w:rFonts w:hint="eastAsia" w:asciiTheme="minorEastAsia" w:hAnsiTheme="minorEastAsia" w:eastAsiaTheme="minorEastAsia" w:cstheme="minorEastAsia"/>
          <w:sz w:val="24"/>
          <w:szCs w:val="24"/>
          <w:lang w:val="en-US" w:eastAsia="zh-CN" w:bidi="en-US"/>
        </w:rPr>
        <w:t>3.箱体顶盖的倾斜度不应小于3°,并应装设防雨檐。箱体低部要求釆用不锈钢或环氧树脂隔板，防电缆沟管潮气、腐蚀气体及小动物。</w:t>
      </w:r>
    </w:p>
    <w:p w14:paraId="58E05B92">
      <w:pPr>
        <w:pStyle w:val="17"/>
        <w:spacing w:line="500" w:lineRule="exact"/>
        <w:ind w:firstLine="480" w:firstLineChars="200"/>
        <w:jc w:val="both"/>
        <w:rPr>
          <w:rFonts w:asciiTheme="minorEastAsia" w:hAnsiTheme="minorEastAsia" w:eastAsiaTheme="minorEastAsia" w:cstheme="minorEastAsia"/>
          <w:sz w:val="24"/>
          <w:szCs w:val="24"/>
          <w:lang w:val="en-US" w:eastAsia="zh-CN" w:bidi="en-US"/>
        </w:rPr>
      </w:pPr>
      <w:bookmarkStart w:id="7" w:name="bookmark17"/>
      <w:bookmarkEnd w:id="7"/>
      <w:r>
        <w:rPr>
          <w:rFonts w:hint="eastAsia" w:asciiTheme="minorEastAsia" w:hAnsiTheme="minorEastAsia" w:eastAsiaTheme="minorEastAsia" w:cstheme="minorEastAsia"/>
          <w:sz w:val="24"/>
          <w:szCs w:val="24"/>
          <w:lang w:val="en-US" w:eastAsia="zh-CN" w:bidi="en-US"/>
        </w:rPr>
        <w:t>4.箱体基座和所有内外金属件均应进行防锈处理，并喷涂耐久的防护层。门、窗和通风口应设防尘、防小动物进入和防渗、漏雨水措施。箱体内应设自动控制驱潮装置，防止元件发生凝露。</w:t>
      </w:r>
    </w:p>
    <w:p w14:paraId="7CD3B047">
      <w:pPr>
        <w:pStyle w:val="8"/>
        <w:spacing w:line="360" w:lineRule="auto"/>
        <w:ind w:firstLine="480" w:firstLineChars="200"/>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szCs w:val="24"/>
          <w:lang w:val="en-US" w:eastAsia="zh-CN"/>
        </w:rPr>
        <w:t>5.</w:t>
      </w:r>
      <w:r>
        <w:rPr>
          <w:rFonts w:hint="eastAsia" w:asciiTheme="minorEastAsia" w:hAnsiTheme="minorEastAsia" w:eastAsiaTheme="minorEastAsia" w:cstheme="minorEastAsia"/>
          <w:color w:val="auto"/>
          <w:szCs w:val="24"/>
          <w:lang w:val="en-US" w:eastAsia="zh-CN"/>
        </w:rPr>
        <w:t>箱变单</w:t>
      </w:r>
      <w:r>
        <w:rPr>
          <w:rFonts w:hint="eastAsia" w:asciiTheme="minorEastAsia" w:hAnsiTheme="minorEastAsia" w:eastAsiaTheme="minorEastAsia" w:cstheme="minorEastAsia"/>
          <w:color w:val="auto"/>
          <w:lang w:eastAsia="zh-CN"/>
        </w:rPr>
        <w:t>层箱体采用2mm（</w:t>
      </w:r>
      <w:r>
        <w:rPr>
          <w:rFonts w:hint="eastAsia" w:asciiTheme="minorEastAsia" w:hAnsiTheme="minorEastAsia" w:eastAsiaTheme="minorEastAsia" w:cstheme="minorEastAsia"/>
          <w:color w:val="auto"/>
          <w:lang w:val="en-US" w:eastAsia="zh-CN"/>
        </w:rPr>
        <w:t>负偏差</w:t>
      </w:r>
      <w:r>
        <w:rPr>
          <w:rFonts w:hint="eastAsia" w:asciiTheme="minorEastAsia" w:hAnsiTheme="minorEastAsia" w:eastAsiaTheme="minorEastAsia" w:cstheme="minorEastAsia"/>
          <w:color w:val="auto"/>
          <w:lang w:eastAsia="zh-CN"/>
        </w:rPr>
        <w:t>）厚度以上的</w:t>
      </w:r>
      <w:r>
        <w:rPr>
          <w:rFonts w:hint="eastAsia" w:asciiTheme="minorEastAsia" w:hAnsiTheme="minorEastAsia" w:eastAsiaTheme="minorEastAsia" w:cstheme="minorEastAsia"/>
          <w:color w:val="auto"/>
          <w:sz w:val="24"/>
          <w:szCs w:val="24"/>
        </w:rPr>
        <w:t>铝锌板材或者不锈钢板材</w:t>
      </w:r>
      <w:r>
        <w:rPr>
          <w:rFonts w:hint="eastAsia" w:asciiTheme="minorEastAsia" w:hAnsiTheme="minorEastAsia" w:eastAsiaTheme="minorEastAsia" w:cstheme="minorEastAsia"/>
          <w:color w:val="auto"/>
          <w:lang w:eastAsia="zh-CN"/>
        </w:rPr>
        <w:t>制作，不允许采用低于1.5 mm厚度的彩钢板。装置内部采用</w:t>
      </w:r>
      <w:r>
        <w:rPr>
          <w:rFonts w:hint="eastAsia" w:asciiTheme="minorEastAsia" w:hAnsiTheme="minorEastAsia" w:eastAsiaTheme="minorEastAsia" w:cstheme="minorEastAsia"/>
          <w:color w:val="auto"/>
          <w:lang w:val="en-US" w:eastAsia="zh-CN"/>
        </w:rPr>
        <w:t>金属板材</w:t>
      </w:r>
      <w:r>
        <w:rPr>
          <w:rFonts w:hint="eastAsia" w:asciiTheme="minorEastAsia" w:hAnsiTheme="minorEastAsia" w:eastAsiaTheme="minorEastAsia" w:cstheme="minorEastAsia"/>
          <w:color w:val="auto"/>
          <w:lang w:eastAsia="zh-CN"/>
        </w:rPr>
        <w:t>分割成低压室、变压器室。</w:t>
      </w:r>
    </w:p>
    <w:p w14:paraId="43E78254">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lang w:eastAsia="zh-CN"/>
        </w:rPr>
        <w:t>箱体的防腐</w:t>
      </w:r>
      <w:r>
        <w:rPr>
          <w:rFonts w:hint="eastAsia" w:asciiTheme="minorEastAsia" w:hAnsiTheme="minorEastAsia" w:eastAsiaTheme="minorEastAsia" w:cstheme="minorEastAsia"/>
          <w:lang w:val="en-US" w:eastAsia="zh-CN"/>
        </w:rPr>
        <w:t>措施要具备</w:t>
      </w:r>
      <w:r>
        <w:rPr>
          <w:rFonts w:hint="eastAsia" w:asciiTheme="minorEastAsia" w:hAnsiTheme="minorEastAsia" w:eastAsiaTheme="minorEastAsia" w:cstheme="minorEastAsia"/>
          <w:lang w:eastAsia="zh-CN"/>
        </w:rPr>
        <w:t>，应确</w:t>
      </w:r>
      <w:r>
        <w:rPr>
          <w:rFonts w:hint="eastAsia" w:asciiTheme="minorEastAsia" w:hAnsiTheme="minorEastAsia" w:eastAsiaTheme="minorEastAsia" w:cstheme="minorEastAsia"/>
          <w:lang w:val="en-US" w:eastAsia="zh-CN"/>
        </w:rPr>
        <w:t>保箱体</w:t>
      </w:r>
      <w:r>
        <w:rPr>
          <w:rFonts w:hint="eastAsia" w:asciiTheme="minorEastAsia" w:hAnsiTheme="minorEastAsia" w:eastAsiaTheme="minorEastAsia" w:cstheme="minorEastAsia"/>
          <w:lang w:eastAsia="zh-CN"/>
        </w:rPr>
        <w:t>不</w:t>
      </w:r>
      <w:r>
        <w:rPr>
          <w:rFonts w:hint="eastAsia" w:asciiTheme="minorEastAsia" w:hAnsiTheme="minorEastAsia" w:eastAsiaTheme="minorEastAsia" w:cstheme="minorEastAsia"/>
          <w:lang w:val="en-US" w:eastAsia="zh-CN"/>
        </w:rPr>
        <w:t>易</w:t>
      </w:r>
      <w:r>
        <w:rPr>
          <w:rFonts w:hint="eastAsia" w:asciiTheme="minorEastAsia" w:hAnsiTheme="minorEastAsia" w:eastAsiaTheme="minorEastAsia" w:cstheme="minorEastAsia"/>
          <w:lang w:eastAsia="zh-CN"/>
        </w:rPr>
        <w:t>生锈。</w:t>
      </w:r>
    </w:p>
    <w:p w14:paraId="1EF32CEC">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lang w:eastAsia="zh-CN"/>
        </w:rPr>
        <w:t>箱体的高压室必须密封处理，所采用的密封条必须是长寿命、高弹性产品，以确保箱体的防尘、防潮、防凝露。高压的进出线电缆孔采用敲落孔，并方便于密封。高压室和变压器室还应具有高温排风装置，在环境温度高于45℃时自动启动排风装置，排风口应具有防尘措施。</w:t>
      </w:r>
    </w:p>
    <w:p w14:paraId="2B255B91">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lang w:eastAsia="zh-CN"/>
        </w:rPr>
        <w:t>箱变所有门轴采用不锈钢材料制作，箱变所有锁盒采用户外铝合金锁盒。箱体金属构件应进行不锈蚀的防腐处理，金属材料经防腐处理后表面覆盖层应有牢固的附着力，并均匀一致。箱体外壳应有足够的机械强度，在起吊、运输和安装时不会变形或损伤；设计的外壳形状应不易积尘、积水；尽量少用外露紧固件，以免螺钉穿通外壳使水导入壳内；对穿通外壳的孔，均应采取相应的密封措施；外壳的盖和座若采用铰链联结，应将铰链设计在外壳的内侧，制成暗铰链。外壳应防水、防震、防腐、防尘、防电燃。</w:t>
      </w:r>
    </w:p>
    <w:p w14:paraId="10721D4D">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lang w:eastAsia="zh-CN"/>
        </w:rPr>
        <w:t>箱体骨架为焊接式，骨架应有足够的机械强度和刚度，在起吊、运输和安装时不会变形或损伤。</w:t>
      </w:r>
    </w:p>
    <w:p w14:paraId="3954987B">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10.</w:t>
      </w:r>
      <w:r>
        <w:rPr>
          <w:rFonts w:hint="eastAsia" w:asciiTheme="minorEastAsia" w:hAnsiTheme="minorEastAsia" w:eastAsiaTheme="minorEastAsia" w:cstheme="minorEastAsia"/>
          <w:lang w:eastAsia="zh-CN"/>
        </w:rPr>
        <w:t>所有门应向外开，开启角度大于100°，并设置定位装置，定位装置抗风级数满足</w:t>
      </w: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lang w:eastAsia="zh-CN"/>
        </w:rPr>
        <w:t>级要求。门有密封措施，并装有把手和暗锁，门的设计尺寸与所装设备的尺寸相配合。设门控自动开闭的照明设施。箱体顶盖应有明显散水坡度，不应小于5°，顶盖边沿应设有滴水沿，防止雨水回流进入箱体。</w:t>
      </w:r>
    </w:p>
    <w:p w14:paraId="5196FA23">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szCs w:val="24"/>
          <w:lang w:val="en-US" w:eastAsia="zh-CN"/>
        </w:rPr>
        <w:t>11.</w:t>
      </w:r>
      <w:r>
        <w:rPr>
          <w:rFonts w:hint="eastAsia" w:asciiTheme="minorEastAsia" w:hAnsiTheme="minorEastAsia" w:eastAsiaTheme="minorEastAsia" w:cstheme="minorEastAsia"/>
          <w:lang w:eastAsia="zh-CN"/>
        </w:rPr>
        <w:t>变压器室采用通风结构，门板为防尘通风百叶窗门。</w:t>
      </w:r>
    </w:p>
    <w:p w14:paraId="141FA7EE">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szCs w:val="24"/>
          <w:lang w:val="en-US" w:eastAsia="zh-CN"/>
        </w:rPr>
        <w:t xml:space="preserve">12. </w:t>
      </w:r>
      <w:r>
        <w:rPr>
          <w:rFonts w:hint="eastAsia" w:asciiTheme="minorEastAsia" w:hAnsiTheme="minorEastAsia" w:eastAsiaTheme="minorEastAsia" w:cstheme="minorEastAsia"/>
          <w:lang w:eastAsia="zh-CN"/>
        </w:rPr>
        <w:t>箱体外壳上应有明显的带电警示标志。</w:t>
      </w:r>
    </w:p>
    <w:p w14:paraId="148EF861">
      <w:pPr>
        <w:pStyle w:val="4"/>
        <w:bidi w:val="0"/>
        <w:rPr>
          <w:rFonts w:hint="default"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 xml:space="preserve">3. </w:t>
      </w:r>
      <w:r>
        <w:rPr>
          <w:rFonts w:hint="eastAsia" w:asciiTheme="minorEastAsia" w:hAnsiTheme="minorEastAsia" w:eastAsiaTheme="minorEastAsia" w:cstheme="minorEastAsia"/>
          <w:b/>
          <w:bCs/>
          <w:sz w:val="28"/>
          <w:szCs w:val="28"/>
        </w:rPr>
        <w:t>低压配电装置</w:t>
      </w:r>
      <w:r>
        <w:rPr>
          <w:rFonts w:hint="eastAsia" w:asciiTheme="minorEastAsia" w:hAnsiTheme="minorEastAsia" w:eastAsiaTheme="minorEastAsia" w:cstheme="minorEastAsia"/>
          <w:b/>
          <w:bCs/>
          <w:sz w:val="28"/>
          <w:szCs w:val="28"/>
          <w:lang w:val="en-US" w:eastAsia="zh-CN"/>
        </w:rPr>
        <w:t>技术要求</w:t>
      </w:r>
    </w:p>
    <w:p w14:paraId="55F35E1E">
      <w:pPr>
        <w:pStyle w:val="5"/>
        <w:bidi w:val="0"/>
        <w:rPr>
          <w:lang w:eastAsia="zh-CN"/>
        </w:rPr>
      </w:pPr>
      <w:r>
        <w:rPr>
          <w:rFonts w:hint="eastAsia"/>
          <w:lang w:eastAsia="zh-CN"/>
        </w:rPr>
        <w:t>3.</w:t>
      </w:r>
      <w:r>
        <w:rPr>
          <w:rFonts w:hint="eastAsia"/>
          <w:lang w:val="en-US" w:eastAsia="zh-CN"/>
        </w:rPr>
        <w:t>1</w:t>
      </w:r>
      <w:r>
        <w:rPr>
          <w:rFonts w:hint="eastAsia"/>
          <w:lang w:eastAsia="zh-CN"/>
        </w:rPr>
        <w:t>技术参数：</w:t>
      </w:r>
    </w:p>
    <w:p w14:paraId="15E07648">
      <w:pPr>
        <w:spacing w:line="500" w:lineRule="exact"/>
        <w:ind w:firstLine="480" w:firstLineChars="200"/>
        <w:rPr>
          <w:rFonts w:asciiTheme="minorEastAsia" w:hAnsiTheme="minorEastAsia" w:eastAsiaTheme="minorEastAsia" w:cstheme="minorEastAsia"/>
          <w:b/>
          <w:lang w:eastAsia="zh-CN"/>
        </w:rPr>
      </w:pPr>
      <w:r>
        <w:rPr>
          <w:rFonts w:hint="eastAsia" w:asciiTheme="minorEastAsia" w:hAnsiTheme="minorEastAsia" w:eastAsiaTheme="minorEastAsia" w:cstheme="minorEastAsia"/>
          <w:lang w:val="en-US" w:eastAsia="zh-CN"/>
        </w:rPr>
        <w:t>1.低压配电装置配置</w:t>
      </w:r>
      <w:r>
        <w:rPr>
          <w:rFonts w:hint="eastAsia" w:asciiTheme="minorEastAsia" w:hAnsiTheme="minorEastAsia" w:eastAsiaTheme="minorEastAsia" w:cstheme="minorEastAsia"/>
          <w:lang w:eastAsia="zh-CN"/>
        </w:rPr>
        <w:t>详见</w:t>
      </w:r>
      <w:r>
        <w:rPr>
          <w:rFonts w:hint="eastAsia" w:asciiTheme="minorEastAsia" w:hAnsiTheme="minorEastAsia" w:eastAsiaTheme="minorEastAsia" w:cstheme="minorEastAsia"/>
          <w:lang w:val="en-US" w:eastAsia="zh-CN"/>
        </w:rPr>
        <w:t>一次系统图</w:t>
      </w:r>
      <w:r>
        <w:rPr>
          <w:rFonts w:hint="eastAsia" w:asciiTheme="minorEastAsia" w:hAnsiTheme="minorEastAsia" w:eastAsiaTheme="minorEastAsia" w:cstheme="minorEastAsia"/>
          <w:lang w:eastAsia="zh-CN"/>
        </w:rPr>
        <w:t>。</w:t>
      </w:r>
    </w:p>
    <w:p w14:paraId="30B30C67">
      <w:pPr>
        <w:spacing w:line="500" w:lineRule="exact"/>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eastAsia="zh-CN"/>
        </w:rPr>
        <w:t>型号规格：柜体型号：GGD；防护等级：IP</w:t>
      </w:r>
      <w:r>
        <w:rPr>
          <w:rFonts w:hint="eastAsia" w:asciiTheme="minorEastAsia" w:hAnsiTheme="minorEastAsia" w:eastAsiaTheme="minorEastAsia" w:cstheme="minorEastAsia"/>
          <w:lang w:val="en-US" w:eastAsia="zh-CN"/>
        </w:rPr>
        <w:t>44</w:t>
      </w:r>
      <w:r>
        <w:rPr>
          <w:rFonts w:hint="eastAsia" w:asciiTheme="minorEastAsia" w:hAnsiTheme="minorEastAsia" w:eastAsiaTheme="minorEastAsia" w:cstheme="minorEastAsia"/>
          <w:lang w:eastAsia="zh-CN"/>
        </w:rPr>
        <w:t>。</w:t>
      </w:r>
    </w:p>
    <w:p w14:paraId="2E5A7712">
      <w:pPr>
        <w:tabs>
          <w:tab w:val="left" w:pos="1232"/>
        </w:tabs>
        <w:spacing w:line="500" w:lineRule="exact"/>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系统额定工作电压：0.4kV</w:t>
      </w:r>
    </w:p>
    <w:p w14:paraId="238AF7B2">
      <w:pPr>
        <w:tabs>
          <w:tab w:val="left" w:pos="1232"/>
        </w:tabs>
        <w:spacing w:line="500" w:lineRule="exact"/>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lang w:eastAsia="zh-CN"/>
        </w:rPr>
        <w:t>额定短路开断电流：不小于</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lang w:eastAsia="zh-CN"/>
        </w:rPr>
        <w:t>0kA</w:t>
      </w:r>
    </w:p>
    <w:p w14:paraId="643E7407">
      <w:pPr>
        <w:tabs>
          <w:tab w:val="left" w:pos="1232"/>
        </w:tabs>
        <w:spacing w:line="500" w:lineRule="exact"/>
        <w:ind w:firstLine="480" w:firstLineChars="200"/>
        <w:rPr>
          <w:rFonts w:asciiTheme="minorEastAsia" w:hAnsiTheme="minorEastAsia" w:eastAsiaTheme="minorEastAsia" w:cstheme="minorEastAsia"/>
          <w:b/>
          <w:lang w:eastAsia="zh-CN"/>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lang w:eastAsia="zh-CN"/>
        </w:rPr>
        <w:t>额定电流：断路器额定电流详</w:t>
      </w:r>
      <w:r>
        <w:rPr>
          <w:rFonts w:hint="eastAsia" w:asciiTheme="minorEastAsia" w:hAnsiTheme="minorEastAsia" w:eastAsiaTheme="minorEastAsia" w:cstheme="minorEastAsia"/>
          <w:lang w:val="en-US" w:eastAsia="zh-CN"/>
        </w:rPr>
        <w:t>见一次图</w:t>
      </w:r>
      <w:r>
        <w:rPr>
          <w:rFonts w:hint="eastAsia" w:asciiTheme="minorEastAsia" w:hAnsiTheme="minorEastAsia" w:eastAsiaTheme="minorEastAsia" w:cstheme="minorEastAsia"/>
          <w:lang w:eastAsia="zh-CN"/>
        </w:rPr>
        <w:t>。</w:t>
      </w:r>
    </w:p>
    <w:p w14:paraId="08E8D558">
      <w:pPr>
        <w:tabs>
          <w:tab w:val="left" w:pos="1232"/>
        </w:tabs>
        <w:spacing w:line="500" w:lineRule="exact"/>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lang w:eastAsia="zh-CN"/>
        </w:rPr>
        <w:t>柜内主要设备选型：详见详</w:t>
      </w:r>
      <w:r>
        <w:rPr>
          <w:rFonts w:hint="eastAsia" w:asciiTheme="minorEastAsia" w:hAnsiTheme="minorEastAsia" w:eastAsiaTheme="minorEastAsia" w:cstheme="minorEastAsia"/>
          <w:lang w:val="en-US" w:eastAsia="zh-CN"/>
        </w:rPr>
        <w:t>见一次图</w:t>
      </w:r>
      <w:r>
        <w:rPr>
          <w:rFonts w:hint="eastAsia" w:asciiTheme="minorEastAsia" w:hAnsiTheme="minorEastAsia" w:eastAsiaTheme="minorEastAsia" w:cstheme="minorEastAsia"/>
          <w:lang w:eastAsia="zh-CN"/>
        </w:rPr>
        <w:t>。</w:t>
      </w:r>
    </w:p>
    <w:p w14:paraId="63530FCC">
      <w:pPr>
        <w:tabs>
          <w:tab w:val="left" w:pos="1232"/>
        </w:tabs>
        <w:spacing w:line="500" w:lineRule="exact"/>
        <w:ind w:firstLine="480" w:firstLineChars="200"/>
        <w:rPr>
          <w:rFonts w:asciiTheme="minorEastAsia" w:hAnsiTheme="minorEastAsia" w:eastAsiaTheme="minorEastAsia" w:cstheme="minorEastAsia"/>
          <w:b/>
          <w:lang w:eastAsia="zh-CN"/>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lang w:eastAsia="zh-CN"/>
        </w:rPr>
        <w:t>柜内母线：柜内母线由制造厂家配带</w:t>
      </w:r>
      <w:r>
        <w:rPr>
          <w:rFonts w:hint="eastAsia" w:asciiTheme="minorEastAsia" w:hAnsiTheme="minorEastAsia" w:eastAsiaTheme="minorEastAsia" w:cstheme="minorEastAsia"/>
          <w:b/>
          <w:lang w:eastAsia="zh-CN"/>
        </w:rPr>
        <w:t>。</w:t>
      </w:r>
    </w:p>
    <w:p w14:paraId="53807284">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8.</w:t>
      </w:r>
      <w:r>
        <w:rPr>
          <w:rFonts w:hint="eastAsia" w:asciiTheme="minorEastAsia" w:hAnsiTheme="minorEastAsia" w:eastAsiaTheme="minorEastAsia" w:cstheme="minorEastAsia"/>
          <w:sz w:val="24"/>
          <w:szCs w:val="24"/>
        </w:rPr>
        <w:t>低压固定面板式结构的配电装置应有金属板制成的间隔和门，其位置设置应便于电器元件的安装、试验、操作、检修或交换。</w:t>
      </w:r>
    </w:p>
    <w:p w14:paraId="39D02609">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9.</w:t>
      </w:r>
      <w:r>
        <w:rPr>
          <w:rFonts w:hint="eastAsia" w:asciiTheme="minorEastAsia" w:hAnsiTheme="minorEastAsia" w:eastAsiaTheme="minorEastAsia" w:cstheme="minorEastAsia"/>
          <w:sz w:val="24"/>
          <w:szCs w:val="24"/>
        </w:rPr>
        <w:t>低压配电装置的连线均应有明显的相别标记。低压主母线和分支线必须包热缩绝缘套管，尽量减少低压裸露带电部分。</w:t>
      </w:r>
    </w:p>
    <w:p w14:paraId="22CF69DA">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低压室门的内侧应标出主回路的线路图，信号灯及仪表的装设位置应易于观察和安全地更换。</w:t>
      </w:r>
    </w:p>
    <w:p w14:paraId="292AF42B">
      <w:pPr>
        <w:pStyle w:val="17"/>
        <w:spacing w:line="500" w:lineRule="exact"/>
        <w:ind w:firstLine="42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4"/>
          <w:szCs w:val="24"/>
        </w:rPr>
        <w:t>低压总进线柜须装设</w:t>
      </w:r>
      <w:r>
        <w:rPr>
          <w:rFonts w:hint="eastAsia" w:asciiTheme="minorEastAsia" w:hAnsiTheme="minorEastAsia" w:eastAsiaTheme="minorEastAsia" w:cstheme="minorEastAsia"/>
          <w:sz w:val="24"/>
          <w:szCs w:val="24"/>
          <w:lang w:val="en-US" w:eastAsia="zh-CN"/>
        </w:rPr>
        <w:t>多功能仪表</w:t>
      </w:r>
      <w:r>
        <w:rPr>
          <w:rFonts w:hint="eastAsia" w:asciiTheme="minorEastAsia" w:hAnsiTheme="minorEastAsia" w:eastAsiaTheme="minorEastAsia" w:cstheme="minorEastAsia"/>
          <w:sz w:val="24"/>
          <w:szCs w:val="24"/>
        </w:rPr>
        <w:t>。</w:t>
      </w:r>
    </w:p>
    <w:p w14:paraId="5949C207">
      <w:pPr>
        <w:pStyle w:val="5"/>
        <w:bidi w:val="0"/>
        <w:rPr>
          <w:rFonts w:hint="default"/>
          <w:lang w:val="en-US" w:eastAsia="zh-CN"/>
        </w:rPr>
      </w:pPr>
      <w:r>
        <w:rPr>
          <w:rFonts w:hint="eastAsia"/>
          <w:lang w:val="en-US" w:eastAsia="zh-CN"/>
        </w:rPr>
        <w:t>3.2开关柜总体结构</w:t>
      </w:r>
    </w:p>
    <w:p w14:paraId="1F24D0D1">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GGD 全金属封闭，固定式开关柜总体结构 </w:t>
      </w:r>
    </w:p>
    <w:p w14:paraId="47810F17">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 xml:space="preserve"> 柜体外形尺寸： </w:t>
      </w:r>
    </w:p>
    <w:p w14:paraId="6AF3FCA4">
      <w:pPr>
        <w:pStyle w:val="17"/>
        <w:spacing w:line="500" w:lineRule="exact"/>
        <w:ind w:firstLine="480" w:firstLineChars="200"/>
        <w:jc w:val="both"/>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柜体高度：2200mm </w:t>
      </w:r>
    </w:p>
    <w:p w14:paraId="06153B74">
      <w:pPr>
        <w:pStyle w:val="17"/>
        <w:spacing w:line="500" w:lineRule="exact"/>
        <w:ind w:firstLine="480" w:firstLineChars="200"/>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柜体宽度：</w:t>
      </w:r>
      <w:r>
        <w:rPr>
          <w:rFonts w:hint="eastAsia" w:asciiTheme="minorEastAsia" w:hAnsiTheme="minorEastAsia" w:eastAsiaTheme="minorEastAsia" w:cstheme="minorEastAsia"/>
          <w:sz w:val="24"/>
          <w:szCs w:val="24"/>
          <w:lang w:val="en-US" w:eastAsia="zh-CN"/>
        </w:rPr>
        <w:t>见一次系统图</w:t>
      </w:r>
    </w:p>
    <w:p w14:paraId="750CF8F6">
      <w:pPr>
        <w:pStyle w:val="17"/>
        <w:spacing w:line="500" w:lineRule="exact"/>
        <w:ind w:left="0" w:leftChars="0"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 xml:space="preserve">柜体顶部设有吊环，易于吊装。产品出厂时柜体的底部配有木质托盘，易于叉车铲入底部运输。 </w:t>
      </w:r>
    </w:p>
    <w:p w14:paraId="2EC1AB8E">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4. </w:t>
      </w:r>
      <w:r>
        <w:rPr>
          <w:rFonts w:hint="eastAsia" w:asciiTheme="minorEastAsia" w:hAnsiTheme="minorEastAsia" w:eastAsiaTheme="minorEastAsia" w:cstheme="minorEastAsia"/>
          <w:sz w:val="24"/>
          <w:szCs w:val="24"/>
        </w:rPr>
        <w:t>GGD低压开关柜按系统电压</w:t>
      </w:r>
      <w:r>
        <w:rPr>
          <w:rFonts w:hint="eastAsia" w:asciiTheme="minorEastAsia" w:hAnsiTheme="minorEastAsia" w:eastAsiaTheme="minorEastAsia" w:cstheme="minorEastAsia"/>
          <w:sz w:val="24"/>
          <w:szCs w:val="24"/>
          <w:lang w:val="en-US" w:eastAsia="zh-CN"/>
        </w:rPr>
        <w:t>380</w:t>
      </w:r>
      <w:r>
        <w:rPr>
          <w:rFonts w:hint="eastAsia" w:asciiTheme="minorEastAsia" w:hAnsiTheme="minorEastAsia" w:eastAsiaTheme="minorEastAsia" w:cstheme="minorEastAsia"/>
          <w:sz w:val="24"/>
          <w:szCs w:val="24"/>
        </w:rPr>
        <w:t>V设计，设计和结构应符合IEC</w:t>
      </w:r>
      <w:r>
        <w:rPr>
          <w:rFonts w:hint="eastAsia" w:asciiTheme="minorEastAsia" w:hAnsiTheme="minorEastAsia" w:eastAsiaTheme="minorEastAsia" w:cstheme="minorEastAsia"/>
          <w:sz w:val="24"/>
          <w:szCs w:val="24"/>
          <w:lang w:val="en-US" w:eastAsia="zh-CN"/>
        </w:rPr>
        <w:t>61</w:t>
      </w:r>
      <w:r>
        <w:rPr>
          <w:rFonts w:hint="eastAsia" w:asciiTheme="minorEastAsia" w:hAnsiTheme="minorEastAsia" w:eastAsiaTheme="minorEastAsia" w:cstheme="minorEastAsia"/>
          <w:sz w:val="24"/>
          <w:szCs w:val="24"/>
        </w:rPr>
        <w:t>439及</w:t>
      </w:r>
      <w:r>
        <w:rPr>
          <w:rFonts w:hint="eastAsia" w:asciiTheme="minorEastAsia" w:hAnsiTheme="minorEastAsia" w:eastAsiaTheme="minorEastAsia" w:cstheme="minorEastAsia"/>
          <w:sz w:val="24"/>
          <w:szCs w:val="24"/>
          <w:lang w:val="en-US" w:eastAsia="zh-CN"/>
        </w:rPr>
        <w:t>GB7251.1-2013</w:t>
      </w:r>
      <w:r>
        <w:rPr>
          <w:rFonts w:hint="eastAsia" w:asciiTheme="minorEastAsia" w:hAnsiTheme="minorEastAsia" w:eastAsiaTheme="minorEastAsia" w:cstheme="minorEastAsia"/>
          <w:sz w:val="24"/>
          <w:szCs w:val="24"/>
        </w:rPr>
        <w:t>。柜体框应采用2</w:t>
      </w:r>
      <w:r>
        <w:rPr>
          <w:rFonts w:hint="eastAsia" w:asciiTheme="minorEastAsia" w:hAnsiTheme="minorEastAsia" w:eastAsiaTheme="minorEastAsia" w:cstheme="minorEastAsia"/>
          <w:sz w:val="24"/>
          <w:szCs w:val="24"/>
          <w:lang w:val="en-US" w:eastAsia="zh-CN"/>
        </w:rPr>
        <w:t>.0</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负偏差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附铝锌板材由数控机床加工组合而成，避免了毛边，裂缝和断裂现象。柜架的基本零件均带有25mm间隔的模数孔所有框架、零件均为免绣型，防护等级IP</w:t>
      </w:r>
      <w:r>
        <w:rPr>
          <w:rFonts w:hint="eastAsia" w:asciiTheme="minorEastAsia" w:hAnsiTheme="minorEastAsia" w:eastAsiaTheme="minorEastAsia" w:cstheme="minorEastAsia"/>
          <w:sz w:val="24"/>
          <w:szCs w:val="24"/>
          <w:lang w:val="en-US" w:eastAsia="zh-CN"/>
        </w:rPr>
        <w:t>44</w:t>
      </w:r>
      <w:r>
        <w:rPr>
          <w:rFonts w:hint="eastAsia" w:asciiTheme="minorEastAsia" w:hAnsiTheme="minorEastAsia" w:eastAsiaTheme="minorEastAsia" w:cstheme="minorEastAsia"/>
          <w:sz w:val="24"/>
          <w:szCs w:val="24"/>
        </w:rPr>
        <w:t>。开关柜工频耐压2.5KV，冲击耐受电压8KV（峰值）。</w:t>
      </w:r>
    </w:p>
    <w:p w14:paraId="08BA80BC">
      <w:pPr>
        <w:pStyle w:val="17"/>
        <w:spacing w:line="500" w:lineRule="exact"/>
        <w:ind w:firstLine="0"/>
        <w:jc w:val="both"/>
        <w:rPr>
          <w:rFonts w:hint="eastAsia" w:asciiTheme="minorEastAsia" w:hAnsiTheme="minorEastAsia" w:eastAsiaTheme="minorEastAsia" w:cstheme="minorEastAsia"/>
          <w:sz w:val="24"/>
          <w:szCs w:val="24"/>
        </w:rPr>
      </w:pPr>
      <w:r>
        <w:rPr>
          <w:rStyle w:val="31"/>
          <w:rFonts w:hint="eastAsia"/>
          <w:lang w:val="en-US" w:eastAsia="zh-CN"/>
        </w:rPr>
        <w:t xml:space="preserve">3.3 </w:t>
      </w:r>
      <w:r>
        <w:rPr>
          <w:rStyle w:val="31"/>
          <w:rFonts w:hint="eastAsia"/>
        </w:rPr>
        <w:t>金属部分接地保护：</w:t>
      </w:r>
      <w:r>
        <w:rPr>
          <w:rFonts w:hint="eastAsia" w:asciiTheme="minorEastAsia" w:hAnsiTheme="minorEastAsia" w:eastAsiaTheme="minorEastAsia" w:cstheme="minorEastAsia"/>
          <w:sz w:val="24"/>
          <w:szCs w:val="24"/>
        </w:rPr>
        <w:t xml:space="preserve"> </w:t>
      </w:r>
    </w:p>
    <w:p w14:paraId="62593276">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GGD开关柜中，有贯穿于整个柜体排列长度的保护（PE）线，金属柜体的各部分与PE线有良好的导电性能，PE线放在柜底部，也可接至柜的上部，接地保护型式为TN-S系统。 </w:t>
      </w:r>
    </w:p>
    <w:p w14:paraId="6B12EF2C">
      <w:pPr>
        <w:pStyle w:val="17"/>
        <w:spacing w:line="500" w:lineRule="exact"/>
        <w:ind w:firstLine="0"/>
        <w:jc w:val="both"/>
        <w:rPr>
          <w:rFonts w:hint="eastAsia" w:asciiTheme="minorEastAsia" w:hAnsiTheme="minorEastAsia" w:eastAsiaTheme="minorEastAsia" w:cstheme="minorEastAsia"/>
          <w:sz w:val="24"/>
          <w:szCs w:val="24"/>
        </w:rPr>
      </w:pPr>
      <w:r>
        <w:rPr>
          <w:rStyle w:val="31"/>
          <w:rFonts w:hint="eastAsia"/>
          <w:lang w:val="en-US" w:eastAsia="zh-CN"/>
        </w:rPr>
        <w:t>3.4</w:t>
      </w:r>
      <w:r>
        <w:rPr>
          <w:rStyle w:val="31"/>
          <w:rFonts w:hint="eastAsia"/>
        </w:rPr>
        <w:t>开关柜的动力线：</w:t>
      </w:r>
      <w:r>
        <w:rPr>
          <w:rFonts w:hint="eastAsia" w:asciiTheme="minorEastAsia" w:hAnsiTheme="minorEastAsia" w:eastAsiaTheme="minorEastAsia" w:cstheme="minorEastAsia"/>
          <w:sz w:val="24"/>
          <w:szCs w:val="24"/>
        </w:rPr>
        <w:t xml:space="preserve"> </w:t>
      </w:r>
    </w:p>
    <w:p w14:paraId="0B5F3642">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柜的进出线：可满足封闭母线上进线式下进线母排或电缆上出式下出线，可保证柜顶母线桥与变压器的对接。 </w:t>
      </w:r>
    </w:p>
    <w:p w14:paraId="04D49BA8">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 xml:space="preserve">母线系统：母线采用刚性，硬拉高导电的电解铜，符合IEC431，其加工工艺完全满足相关标准的要求。 </w:t>
      </w:r>
    </w:p>
    <w:p w14:paraId="1A029764">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中性和接地母线：所有母排出厂前均开有模数孔，便于电缆连接。</w:t>
      </w:r>
    </w:p>
    <w:p w14:paraId="2DB2D7CC">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 xml:space="preserve">电缆：柜内电缆采用硬拉的交联乙烯绝缘聚氯乙烯护套高导电多股铜芯线，能耐高温并符合IEC60502和GB12706有关标准，电缆采用接线端子和专用导轨固定，使其整齐美观并且牢固，可承受指定的故障条件。 </w:t>
      </w:r>
    </w:p>
    <w:p w14:paraId="16637382">
      <w:pPr>
        <w:pStyle w:val="5"/>
        <w:bidi w:val="0"/>
        <w:rPr>
          <w:rFonts w:hint="eastAsia"/>
          <w:lang w:val="en-US" w:eastAsia="zh-CN"/>
        </w:rPr>
      </w:pPr>
      <w:r>
        <w:rPr>
          <w:rFonts w:hint="eastAsia"/>
          <w:lang w:val="en-US" w:eastAsia="zh-CN"/>
        </w:rPr>
        <w:t>3.5柜内主要元器件技术参数：</w:t>
      </w:r>
    </w:p>
    <w:p w14:paraId="6F28329B">
      <w:pPr>
        <w:pStyle w:val="17"/>
        <w:spacing w:line="500" w:lineRule="exact"/>
        <w:ind w:firstLine="480" w:firstLineChars="200"/>
        <w:jc w:val="both"/>
        <w:rPr>
          <w:rFonts w:hint="eastAsia" w:ascii="新宋体" w:hAnsi="新宋体" w:eastAsia="新宋体"/>
          <w:kern w:val="0"/>
          <w:sz w:val="24"/>
        </w:rPr>
      </w:pPr>
      <w:r>
        <w:rPr>
          <w:rFonts w:hint="eastAsia" w:asciiTheme="minorEastAsia" w:hAnsiTheme="minorEastAsia" w:eastAsiaTheme="minorEastAsia" w:cstheme="minorEastAsia"/>
          <w:sz w:val="24"/>
          <w:szCs w:val="24"/>
          <w:lang w:val="en-US" w:eastAsia="zh-CN"/>
        </w:rPr>
        <w:t>1.智能框架断路器</w:t>
      </w:r>
    </w:p>
    <w:p w14:paraId="0D63D1FB">
      <w:pPr>
        <w:spacing w:line="360" w:lineRule="auto"/>
        <w:ind w:firstLine="480" w:firstLineChars="200"/>
        <w:rPr>
          <w:rFonts w:hint="eastAsia" w:ascii="新宋体" w:hAnsi="新宋体" w:eastAsia="新宋体"/>
          <w:kern w:val="0"/>
          <w:sz w:val="24"/>
          <w:lang w:val="en-US" w:eastAsia="zh-CN"/>
        </w:rPr>
      </w:pPr>
      <w:r>
        <w:rPr>
          <w:rFonts w:hint="eastAsia" w:ascii="新宋体" w:hAnsi="新宋体" w:eastAsia="新宋体"/>
          <w:kern w:val="0"/>
          <w:sz w:val="24"/>
        </w:rPr>
        <w:t>智能</w:t>
      </w:r>
      <w:r>
        <w:rPr>
          <w:rFonts w:hint="eastAsia" w:ascii="新宋体" w:hAnsi="新宋体" w:eastAsia="新宋体"/>
          <w:kern w:val="0"/>
          <w:sz w:val="24"/>
          <w:lang w:val="en-US" w:eastAsia="zh-CN"/>
        </w:rPr>
        <w:t>框架断路器</w:t>
      </w:r>
      <w:r>
        <w:rPr>
          <w:rFonts w:hint="eastAsia" w:ascii="新宋体" w:hAnsi="新宋体" w:eastAsia="新宋体"/>
          <w:kern w:val="0"/>
          <w:sz w:val="24"/>
        </w:rPr>
        <w:t>选用</w:t>
      </w:r>
      <w:r>
        <w:rPr>
          <w:rFonts w:hint="eastAsia" w:ascii="新宋体" w:hAnsi="新宋体" w:eastAsia="新宋体"/>
          <w:kern w:val="0"/>
          <w:sz w:val="24"/>
          <w:lang w:val="en-US" w:eastAsia="zh-CN"/>
        </w:rPr>
        <w:t>CW3</w:t>
      </w:r>
      <w:r>
        <w:rPr>
          <w:rFonts w:hint="eastAsia" w:ascii="新宋体" w:hAnsi="新宋体" w:eastAsia="新宋体"/>
          <w:kern w:val="0"/>
          <w:sz w:val="24"/>
        </w:rPr>
        <w:t>系列</w:t>
      </w:r>
      <w:r>
        <w:rPr>
          <w:rFonts w:hint="eastAsia" w:ascii="新宋体" w:hAnsi="新宋体" w:eastAsia="新宋体"/>
          <w:kern w:val="0"/>
          <w:sz w:val="24"/>
          <w:lang w:eastAsia="zh-CN"/>
        </w:rPr>
        <w:t>。</w:t>
      </w:r>
      <w:r>
        <w:rPr>
          <w:rFonts w:hint="eastAsia" w:ascii="新宋体" w:hAnsi="新宋体" w:eastAsia="新宋体"/>
          <w:kern w:val="0"/>
          <w:sz w:val="24"/>
          <w:lang w:val="en-US" w:eastAsia="zh-CN"/>
        </w:rPr>
        <w:t>CW3万能式断路器适用于交流50Hz，额定电流200A至7400A，额定工作电压400V、690V；具备分配电能及保护线路及电源设备免受过载、欠电压、短路、单相接地等故障，同时也可作为隔离开关使用，具有多种保护功能及高精度的选择性保护，提高供电可靠性。</w:t>
      </w:r>
    </w:p>
    <w:p w14:paraId="4EF4B35F">
      <w:pPr>
        <w:numPr>
          <w:ilvl w:val="0"/>
          <w:numId w:val="0"/>
        </w:numPr>
        <w:spacing w:line="360" w:lineRule="auto"/>
        <w:ind w:firstLine="480" w:firstLineChars="2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2.塑料外壳式断路器</w:t>
      </w:r>
    </w:p>
    <w:p w14:paraId="5896A7C9">
      <w:pPr>
        <w:numPr>
          <w:ilvl w:val="0"/>
          <w:numId w:val="0"/>
        </w:numPr>
        <w:spacing w:line="360" w:lineRule="auto"/>
        <w:ind w:firstLine="480" w:firstLineChars="2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塑料外壳式断路器选用CM3系列。CM3塑料外壳式断路器额定电压690V及以下，额定绝缘电压器为1000V，额定工作电流800A，具备分配电能和保护线路的过载和短路及欠电压保护功能，能有效的保护线路和电源设备不受损坏</w:t>
      </w:r>
    </w:p>
    <w:p w14:paraId="5D73C478">
      <w:pPr>
        <w:numPr>
          <w:ilvl w:val="0"/>
          <w:numId w:val="0"/>
        </w:numPr>
        <w:spacing w:line="360" w:lineRule="auto"/>
        <w:ind w:firstLine="480" w:firstLineChars="2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3.智能电力仪表</w:t>
      </w:r>
    </w:p>
    <w:p w14:paraId="1D22BEFE">
      <w:pPr>
        <w:numPr>
          <w:ilvl w:val="0"/>
          <w:numId w:val="0"/>
        </w:num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新宋体" w:hAnsi="新宋体" w:eastAsia="新宋体"/>
          <w:kern w:val="0"/>
          <w:sz w:val="24"/>
          <w:lang w:val="en-US" w:eastAsia="zh-CN"/>
        </w:rPr>
        <w:t>智能电力仪表选用ZKQ系列。仪表需具备电力参数测量、谐波测量、复费率电能、通讯功能；且需配置输入输出接口，可用于现场设备工作状态的监测和控制，同时还集成</w:t>
      </w:r>
      <w:r>
        <w:rPr>
          <w:rFonts w:hint="default" w:ascii="新宋体" w:hAnsi="新宋体" w:eastAsia="新宋体"/>
          <w:kern w:val="0"/>
          <w:sz w:val="24"/>
          <w:lang w:val="en-US" w:eastAsia="zh-CN"/>
        </w:rPr>
        <w:t>RS-485</w:t>
      </w:r>
      <w:r>
        <w:rPr>
          <w:rFonts w:hint="eastAsia" w:ascii="新宋体" w:hAnsi="新宋体" w:eastAsia="新宋体"/>
          <w:kern w:val="0"/>
          <w:sz w:val="24"/>
          <w:lang w:val="en-US" w:eastAsia="zh-CN"/>
        </w:rPr>
        <w:t>通讯接口，可与各种智能配电系统和能量管理系统集成，共享丰富的监测数据和电能质量数据；</w:t>
      </w:r>
      <w:r>
        <w:rPr>
          <w:rFonts w:hint="eastAsia" w:ascii="新宋体" w:hAnsi="新宋体" w:eastAsia="新宋体"/>
          <w:kern w:val="0"/>
          <w:sz w:val="24"/>
        </w:rPr>
        <w:t>在交、直流电源</w:t>
      </w:r>
      <w:r>
        <w:rPr>
          <w:rFonts w:hint="eastAsia" w:ascii="新宋体" w:hAnsi="新宋体" w:eastAsia="新宋体"/>
          <w:kern w:val="0"/>
          <w:sz w:val="24"/>
          <w:lang w:val="en-US" w:eastAsia="zh-CN"/>
        </w:rPr>
        <w:t>8</w:t>
      </w:r>
      <w:r>
        <w:rPr>
          <w:rFonts w:hint="eastAsia" w:ascii="新宋体" w:hAnsi="新宋体" w:eastAsia="新宋体"/>
          <w:kern w:val="0"/>
          <w:sz w:val="24"/>
        </w:rPr>
        <w:t>5V~</w:t>
      </w:r>
      <w:r>
        <w:rPr>
          <w:rFonts w:hint="eastAsia" w:ascii="新宋体" w:hAnsi="新宋体" w:eastAsia="新宋体"/>
          <w:kern w:val="0"/>
          <w:sz w:val="24"/>
          <w:lang w:val="en-US" w:eastAsia="zh-CN"/>
        </w:rPr>
        <w:t>265</w:t>
      </w:r>
      <w:r>
        <w:rPr>
          <w:rFonts w:hint="eastAsia" w:ascii="新宋体" w:hAnsi="新宋体" w:eastAsia="新宋体"/>
          <w:kern w:val="0"/>
          <w:sz w:val="24"/>
        </w:rPr>
        <w:t>V范围内可靠工作。仪表精度：</w:t>
      </w:r>
      <w:r>
        <w:rPr>
          <w:rFonts w:ascii="新宋体" w:hAnsi="新宋体" w:eastAsia="新宋体"/>
          <w:kern w:val="0"/>
          <w:sz w:val="24"/>
        </w:rPr>
        <w:t>0.5</w:t>
      </w:r>
      <w:r>
        <w:rPr>
          <w:rFonts w:hint="eastAsia" w:ascii="新宋体" w:hAnsi="新宋体" w:eastAsia="新宋体"/>
          <w:kern w:val="0"/>
          <w:sz w:val="24"/>
          <w:lang w:val="en-US" w:eastAsia="zh-CN"/>
        </w:rPr>
        <w:t>级，绝缘等级：≥100MΩ。</w:t>
      </w:r>
    </w:p>
    <w:p w14:paraId="6B43B600">
      <w:pPr>
        <w:pStyle w:val="4"/>
        <w:bidi w:val="0"/>
        <w:rPr>
          <w:rFonts w:hint="eastAsia"/>
          <w:lang w:val="en-US" w:eastAsia="zh-CN"/>
        </w:rPr>
      </w:pPr>
      <w:bookmarkStart w:id="8" w:name="_Toc112747693"/>
      <w:r>
        <w:rPr>
          <w:rFonts w:hint="eastAsia"/>
          <w:lang w:val="en-US" w:eastAsia="zh-CN"/>
        </w:rPr>
        <w:t>4、固体开关柜</w:t>
      </w:r>
      <w:bookmarkEnd w:id="8"/>
    </w:p>
    <w:p w14:paraId="7F3C98A6">
      <w:pPr>
        <w:pStyle w:val="5"/>
        <w:bidi w:val="0"/>
        <w:rPr>
          <w:lang w:eastAsia="zh-CN"/>
        </w:rPr>
      </w:pPr>
      <w:r>
        <w:rPr>
          <w:rFonts w:hint="eastAsia"/>
          <w:lang w:val="en-US" w:eastAsia="zh-CN"/>
        </w:rPr>
        <w:t>4.1规范性引用文件</w:t>
      </w:r>
    </w:p>
    <w:p w14:paraId="1576EA8C">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下列文件对于本文件的应用是必不可少的。凡是注日期的引用文件，仅所注日期的版本适用于本文件。凡是不注日期的引用文件，其最新版本（包括所有的修改单）适用于本文件。</w:t>
      </w:r>
    </w:p>
    <w:p w14:paraId="6091D07E">
      <w:pPr>
        <w:numPr>
          <w:ilvl w:val="0"/>
          <w:numId w:val="0"/>
        </w:numPr>
        <w:spacing w:line="360" w:lineRule="auto"/>
        <w:ind w:leftChars="0" w:firstLine="720" w:firstLineChars="300"/>
        <w:rPr>
          <w:rFonts w:hint="eastAsia" w:ascii="新宋体" w:hAnsi="新宋体" w:eastAsia="新宋体"/>
          <w:kern w:val="0"/>
          <w:sz w:val="24"/>
          <w:lang w:val="en-US" w:eastAsia="zh-CN"/>
        </w:rPr>
      </w:pPr>
      <w:bookmarkStart w:id="9" w:name="_Toc357152502"/>
      <w:r>
        <w:rPr>
          <w:rFonts w:hint="eastAsia" w:ascii="新宋体" w:hAnsi="新宋体" w:eastAsia="新宋体"/>
          <w:kern w:val="0"/>
          <w:sz w:val="24"/>
          <w:lang w:val="en-US" w:eastAsia="zh-CN"/>
        </w:rPr>
        <w:t>GB/T 191  包装储运图示标志(ISO 780-2015,MOD )</w:t>
      </w:r>
    </w:p>
    <w:p w14:paraId="510669F1">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1094.11  电力变压器第11部分干式变压器(IEC 60076-11：2023)</w:t>
      </w:r>
    </w:p>
    <w:p w14:paraId="0E892AE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1207  电磁式电压互感器(IEC 60044-2: 2003, MOD )</w:t>
      </w:r>
    </w:p>
    <w:p w14:paraId="663BE327">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1208  电流互感器 (IEC 60044-1.2001. MOD）</w:t>
      </w:r>
    </w:p>
    <w:p w14:paraId="0F821ED6">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1984  高压交流断路器(IEC 62271-100: 2001, MOD)</w:t>
      </w:r>
    </w:p>
    <w:p w14:paraId="7E410780">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1985  高压交流隔离开关和接地开关(IEC 62271-102: 2002, MOD)</w:t>
      </w:r>
    </w:p>
    <w:p w14:paraId="4C3E6620">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11022  高压开关设备和控制设备标准的共用技术要求</w:t>
      </w:r>
    </w:p>
    <w:p w14:paraId="2A6F057E">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3804  3.6kV～40.5kV  高压交流负荷开关(IEC 62271-103:2011 )</w:t>
      </w:r>
    </w:p>
    <w:p w14:paraId="6E409BA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3906  3.6kV～40.5kV  交流金属封闭开关设备和控制设备(IEC 62271-200-2003,MOD )</w:t>
      </w:r>
    </w:p>
    <w:p w14:paraId="0D06B1C3">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4208  外壳防护等级（IP代码）(IEC 60529-2001,IDT)</w:t>
      </w:r>
    </w:p>
    <w:p w14:paraId="4ECAE8F2">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5465.2  电气设备用图形符号第2部分：图形符号(IDT IEC 60417 DB:2007)</w:t>
      </w:r>
    </w:p>
    <w:p w14:paraId="4245B358">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7354  局部放电测量(IEC 60270-2000,IDT)</w:t>
      </w:r>
    </w:p>
    <w:p w14:paraId="62D78F2B">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10228  干式电力变压器技术参数和要求</w:t>
      </w:r>
    </w:p>
    <w:p w14:paraId="2558A1FE">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11022  高压开关设备和控制设备标准的共用技术要求</w:t>
      </w:r>
    </w:p>
    <w:p w14:paraId="71C6319E">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11032  交流无间隙金属氧化物避雷器(IEC 60099-4-2006,MOD)</w:t>
      </w:r>
    </w:p>
    <w:p w14:paraId="4FE5B0A5">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12022  工业六氟化硫(IEC 376,376A,376B.MOD)</w:t>
      </w:r>
    </w:p>
    <w:p w14:paraId="067F5B8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GB/T 12706.4  挤包绝缘电力电缆及附件试验要求(IEC 60502-4-2005,MOD)</w:t>
      </w:r>
    </w:p>
    <w:p w14:paraId="5FE596B1">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15166.2  交流高压熔断器：限流式熔断器(IEC 60282-1-2005 ,MOD)</w:t>
      </w:r>
    </w:p>
    <w:p w14:paraId="1A91D8D2">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16926  高压交流负荷开关熔断器组合电器(IEC 6227-105-2002 ,MOD)</w:t>
      </w:r>
    </w:p>
    <w:p w14:paraId="62B2905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GB 50150  电气装置安装工程电气设备交接试验标准</w:t>
      </w:r>
    </w:p>
    <w:p w14:paraId="2E3D107F">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402  高压交流断路器订货技术条件(IEC 62271-100-2001,MOD)</w:t>
      </w:r>
    </w:p>
    <w:p w14:paraId="3B02FAEA">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403  12-40.5kV高压真空断路器订货技术条件</w:t>
      </w:r>
    </w:p>
    <w:p w14:paraId="0B51C982">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404  3.6kV～40.5kV交流金属封闭开关设备和控制设备（IEC 62271一200-2003,MOD）</w:t>
      </w:r>
    </w:p>
    <w:p w14:paraId="32057BD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486  高压交流隔离开关和接地开关(IEC 62271-102-2002,MOD)</w:t>
      </w:r>
    </w:p>
    <w:p w14:paraId="1343D72C">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 538  高压带电显示装置(IEC 61958- 2000-11,MOD )</w:t>
      </w:r>
    </w:p>
    <w:p w14:paraId="185A1C10">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593  高压开关设备和控制设备标准的共用技术要求(IEC 60694-2002,MOD)</w:t>
      </w:r>
    </w:p>
    <w:p w14:paraId="7DF244C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621  交流电气装置的接地</w:t>
      </w:r>
    </w:p>
    <w:p w14:paraId="367483F8">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728  气体绝缘金属封闭开关设备订货技术导则(IEC 60815-2008)</w:t>
      </w:r>
    </w:p>
    <w:p w14:paraId="396CE20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791  户内交流充气式开关柜选用导则</w:t>
      </w:r>
    </w:p>
    <w:p w14:paraId="103AD73B">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JB/T 8144.1  额定电压26/35kV及以下电力电缆附件基本技术要求</w:t>
      </w:r>
    </w:p>
    <w:p w14:paraId="3878486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SD 318  高压开关柜闭锁装置技术条件</w:t>
      </w:r>
    </w:p>
    <w:p w14:paraId="38B9D616">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Q/GDW 741  配电网技术改造设备选型和配置原则</w:t>
      </w:r>
    </w:p>
    <w:p w14:paraId="3D08604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Q/GDW 742  配电网施工检修工艺规范</w:t>
      </w:r>
    </w:p>
    <w:p w14:paraId="7518FB5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2423 （所有部分） 电工电子产品环境试验 </w:t>
      </w:r>
    </w:p>
    <w:p w14:paraId="2FA9E945">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7261 继电保护和安全自动装置基本试验方法 </w:t>
      </w:r>
    </w:p>
    <w:p w14:paraId="20774CD7">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11287 电气继电器 第 21 部分：量度继电器和保护装置的振动、 冲击、 碰撞和地震试验 第 1 篇：振动试验（正弦） </w:t>
      </w:r>
    </w:p>
    <w:p w14:paraId="69DDCFD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14285 继电保护和安全自动装置技术规程 </w:t>
      </w:r>
    </w:p>
    <w:p w14:paraId="57FE7BF7">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14537 量度继电器和保护装置的冲击与碰撞试验 </w:t>
      </w:r>
    </w:p>
    <w:p w14:paraId="33D27B25">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14598.3 电气继电器 第 5 部分：量度继电器和保护装置的绝缘配合要求和试验 </w:t>
      </w:r>
    </w:p>
    <w:p w14:paraId="60B4E55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14598.9 量度继电器和保护装置第 22-3 部分：电气骚扰试验 辐射电磁场抗扰度 </w:t>
      </w:r>
    </w:p>
    <w:p w14:paraId="151111F0">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14598.10 量度继电器和保护装置第 22-4 部分：电气骚扰试验 电快速瞬变 / 脉冲群抗扰度试验 </w:t>
      </w:r>
    </w:p>
    <w:p w14:paraId="0EC746A6">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14598.13 电气继电器 第 22-1 部分：量度继电器和保护装置的电气骚扰试验 1MHz 脉冲群抗扰度试验 </w:t>
      </w:r>
    </w:p>
    <w:p w14:paraId="52953B34">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14598.14 量度继电器和保护装置 第 22-2 部分：电气骚扰试验 静电放电试验 </w:t>
      </w:r>
    </w:p>
    <w:p w14:paraId="01EDED33">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14598.17 电气继电器 第 22-6 部分：量度继电器和保护装置的电气骚扰试验——射频场感应的传导骚扰的抗扰度 </w:t>
      </w:r>
    </w:p>
    <w:p w14:paraId="34DD9255">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14598.18 量度继电器和保护装置 第 22-5 部分：电气骚扰试验 浪涌抗扰度试验 </w:t>
      </w:r>
    </w:p>
    <w:p w14:paraId="0B47092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14598.19 电气继电器 第 22-7 部分：量度继电器和保护装置的电气骚扰试验——工频抗扰度试验 </w:t>
      </w:r>
    </w:p>
    <w:p w14:paraId="6463287D">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15145 输电线路保护装置通用技术条件 </w:t>
      </w:r>
    </w:p>
    <w:p w14:paraId="74A6C397">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17626.8 电磁兼容 试验和测量技术 工频磁场抗扰度试验 </w:t>
      </w:r>
    </w:p>
    <w:p w14:paraId="205A200B">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17626.9 电磁兼容 试验和测量技术 脉冲磁场抗扰度试验 </w:t>
      </w:r>
    </w:p>
    <w:p w14:paraId="72D100BF">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GB/T 17626.10 电磁兼容 试验和测量技术 阻尼振荡磁场抗扰度试验 </w:t>
      </w:r>
    </w:p>
    <w:p w14:paraId="2CC7F99E">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478 继电保护和安全自动装置通用技术条件 </w:t>
      </w:r>
    </w:p>
    <w:p w14:paraId="22423964">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479 静态距离保护装置技术条件 </w:t>
      </w:r>
    </w:p>
    <w:p w14:paraId="45389EBF">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483 静态重合闸装置技术条件 </w:t>
      </w:r>
    </w:p>
    <w:p w14:paraId="649C99D6">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667 远动设备及系统 第 5 部分：传输规约 第 103 篇：继电保护设备信息接口配套标准 </w:t>
      </w:r>
    </w:p>
    <w:p w14:paraId="7E5265A9">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DL/T 720 电力系统继电保护柜、屏通用技术条件</w:t>
      </w:r>
    </w:p>
    <w:p w14:paraId="4B811573">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769 电力系统微机继电保护技术导则 </w:t>
      </w:r>
    </w:p>
    <w:p w14:paraId="189E8C68">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823 微机型反时限电流保护通用技术条件 </w:t>
      </w:r>
    </w:p>
    <w:p w14:paraId="5B0B21A4">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860 （所有部分） 变电站通信网络和系统 </w:t>
      </w:r>
    </w:p>
    <w:p w14:paraId="49C47972">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5136 火力发电厂、变电所二次接线设计技术规程 </w:t>
      </w:r>
    </w:p>
    <w:p w14:paraId="70626C0A">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DL/T 995 继电保护和电网安全自动装置检验规程 </w:t>
      </w:r>
    </w:p>
    <w:p w14:paraId="152AE8D1">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Q/GDW 161 线路保护及辅助装置标准化设计规范 </w:t>
      </w:r>
    </w:p>
    <w:p w14:paraId="1F5CA602">
      <w:pPr>
        <w:numPr>
          <w:ilvl w:val="0"/>
          <w:numId w:val="0"/>
        </w:numPr>
        <w:spacing w:line="360" w:lineRule="auto"/>
        <w:ind w:leftChars="0" w:firstLine="720" w:firstLineChars="300"/>
        <w:rPr>
          <w:rFonts w:hint="eastAsia" w:ascii="新宋体" w:hAnsi="新宋体" w:eastAsia="新宋体"/>
          <w:kern w:val="0"/>
          <w:sz w:val="24"/>
          <w:lang w:val="en-US" w:eastAsia="zh-CN"/>
        </w:rPr>
      </w:pPr>
      <w:r>
        <w:rPr>
          <w:rFonts w:hint="eastAsia" w:ascii="新宋体" w:hAnsi="新宋体" w:eastAsia="新宋体"/>
          <w:kern w:val="0"/>
          <w:sz w:val="24"/>
          <w:lang w:val="en-US" w:eastAsia="zh-CN"/>
        </w:rPr>
        <w:t xml:space="preserve">Q/GDW 273 继电保护故障信息处理系统技术规范 </w:t>
      </w:r>
      <w:bookmarkEnd w:id="9"/>
    </w:p>
    <w:p w14:paraId="79DDF1B6">
      <w:pPr>
        <w:pStyle w:val="5"/>
        <w:bidi w:val="0"/>
        <w:rPr>
          <w:rFonts w:hint="eastAsia"/>
        </w:rPr>
      </w:pPr>
      <w:bookmarkStart w:id="10" w:name="_Toc524029462"/>
      <w:bookmarkStart w:id="11" w:name="_Toc522734217"/>
      <w:bookmarkStart w:id="12" w:name="_Toc112747695"/>
      <w:r>
        <w:rPr>
          <w:rFonts w:hint="eastAsia"/>
          <w:lang w:val="en-US" w:eastAsia="zh-CN"/>
        </w:rPr>
        <w:t>4.2</w:t>
      </w:r>
      <w:r>
        <w:rPr>
          <w:rFonts w:hint="eastAsia"/>
        </w:rPr>
        <w:t>主要部件</w:t>
      </w:r>
      <w:bookmarkEnd w:id="10"/>
      <w:bookmarkEnd w:id="11"/>
      <w:bookmarkEnd w:id="12"/>
      <w:r>
        <w:rPr>
          <w:rFonts w:hint="eastAsia"/>
          <w:lang w:eastAsia="zh-CN"/>
        </w:rPr>
        <w:t>：</w:t>
      </w:r>
      <w:r>
        <w:rPr>
          <w:rFonts w:hint="eastAsia"/>
        </w:rPr>
        <w:t>开关柜柜体</w:t>
      </w:r>
    </w:p>
    <w:p w14:paraId="5D44CA0D">
      <w:pPr>
        <w:pStyle w:val="17"/>
        <w:spacing w:line="500" w:lineRule="exact"/>
        <w:ind w:left="0" w:leftChars="0" w:firstLine="0" w:firstLineChars="0"/>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4.2.1 柜体要求</w:t>
      </w:r>
    </w:p>
    <w:p w14:paraId="79FAADAA">
      <w:pPr>
        <w:pStyle w:val="17"/>
        <w:spacing w:line="500" w:lineRule="exact"/>
        <w:ind w:firstLine="480" w:firstLineChars="200"/>
        <w:jc w:val="both"/>
        <w:rPr>
          <w:rFonts w:hint="eastAsia" w:eastAsia="宋体"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1.高压开关柜型号为：</w:t>
      </w:r>
      <w:r>
        <w:rPr>
          <w:rFonts w:hint="eastAsia" w:eastAsiaTheme="minorEastAsia"/>
          <w:sz w:val="24"/>
          <w:lang w:val="en-US" w:eastAsia="zh-CN"/>
        </w:rPr>
        <w:t>HXGN15-12</w:t>
      </w:r>
      <w:r>
        <w:rPr>
          <w:rFonts w:hint="eastAsia" w:ascii="宋体" w:hAnsi="宋体"/>
          <w:sz w:val="24"/>
          <w:lang w:val="en-US" w:eastAsia="zh-CN"/>
        </w:rPr>
        <w:t>系列</w:t>
      </w:r>
    </w:p>
    <w:p w14:paraId="0F586956">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主要组成部分为：</w:t>
      </w:r>
      <w:r>
        <w:rPr>
          <w:rFonts w:hint="eastAsia" w:asciiTheme="minorEastAsia" w:hAnsiTheme="minorEastAsia" w:eastAsiaTheme="minorEastAsia" w:cstheme="minorEastAsia"/>
          <w:sz w:val="24"/>
          <w:szCs w:val="24"/>
          <w:lang w:val="en-US" w:eastAsia="zh-CN"/>
        </w:rPr>
        <w:t>进线室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计量</w:t>
      </w:r>
      <w:r>
        <w:rPr>
          <w:rFonts w:hint="eastAsia" w:asciiTheme="minorEastAsia" w:hAnsiTheme="minorEastAsia" w:eastAsiaTheme="minorEastAsia" w:cstheme="minorEastAsia"/>
          <w:sz w:val="24"/>
          <w:szCs w:val="24"/>
        </w:rPr>
        <w:t>室，</w:t>
      </w:r>
      <w:r>
        <w:rPr>
          <w:rFonts w:hint="eastAsia" w:asciiTheme="minorEastAsia" w:hAnsiTheme="minorEastAsia" w:eastAsiaTheme="minorEastAsia" w:cstheme="minorEastAsia"/>
          <w:sz w:val="24"/>
          <w:szCs w:val="24"/>
          <w:lang w:val="en-US" w:eastAsia="zh-CN"/>
        </w:rPr>
        <w:t>出线</w:t>
      </w:r>
      <w:r>
        <w:rPr>
          <w:rFonts w:hint="eastAsia" w:asciiTheme="minorEastAsia" w:hAnsiTheme="minorEastAsia" w:eastAsiaTheme="minorEastAsia" w:cstheme="minorEastAsia"/>
          <w:sz w:val="24"/>
          <w:szCs w:val="24"/>
        </w:rPr>
        <w:t>室</w:t>
      </w:r>
    </w:p>
    <w:p w14:paraId="748EC952">
      <w:pPr>
        <w:pStyle w:val="17"/>
        <w:spacing w:line="500" w:lineRule="exact"/>
        <w:ind w:firstLine="480" w:firstLineChars="20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开关柜的柜体防护等级应达到IP</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X及以上，隔室防护等级达到IP</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X及以上</w:t>
      </w:r>
      <w:r>
        <w:rPr>
          <w:rFonts w:hint="eastAsia" w:asciiTheme="minorEastAsia" w:hAnsiTheme="minorEastAsia" w:eastAsiaTheme="minorEastAsia" w:cstheme="minorEastAsia"/>
          <w:sz w:val="24"/>
          <w:szCs w:val="24"/>
          <w:lang w:eastAsia="zh-CN"/>
        </w:rPr>
        <w:t>。</w:t>
      </w:r>
    </w:p>
    <w:p w14:paraId="180BA0CB">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进、出线柜应装有能反映进出线侧有无电压，并具有联锁信号输出功能的带电显示装置。当线路侧带电时，应有闭锁操作接地开关及电缆室门的装置。</w:t>
      </w:r>
    </w:p>
    <w:p w14:paraId="32ACAFA3">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电缆室门与接地开关应具备机械闭锁。</w:t>
      </w:r>
    </w:p>
    <w:p w14:paraId="4D8FEE55">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采用两工位隔离开关时，隔离开关与负荷开关间应有可靠的机械防误联锁。</w:t>
      </w:r>
    </w:p>
    <w:p w14:paraId="51477032">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不允许合环操作的场所，进线柜与分段柜应采取电气闭锁措施，条件具备时应同时采用机械闭锁；另接至配电变压器回路的负荷开关+熔断器组合电器或断路器柜应与变压器门闭锁，实现当变压器门被误打开，对应配变柜开关应跳闸的功能。</w:t>
      </w:r>
    </w:p>
    <w:p w14:paraId="3AF8D3F4">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4.2.2</w:t>
      </w:r>
      <w:r>
        <w:rPr>
          <w:rFonts w:hint="eastAsia" w:asciiTheme="minorEastAsia" w:hAnsiTheme="minorEastAsia" w:eastAsiaTheme="minorEastAsia" w:cstheme="minorEastAsia"/>
          <w:sz w:val="24"/>
          <w:szCs w:val="24"/>
        </w:rPr>
        <w:t>连接器</w:t>
      </w:r>
    </w:p>
    <w:p w14:paraId="2406FF4C">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母线连接器应设计合理，选用组合电场结构，包括套管、硅橡胶套、铜导体、触子、接地线、堵头。</w:t>
      </w:r>
    </w:p>
    <w:p w14:paraId="100EF45E">
      <w:pPr>
        <w:pStyle w:val="17"/>
        <w:spacing w:line="500" w:lineRule="exact"/>
        <w:ind w:firstLine="480" w:firstLineChars="200"/>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2. </w:t>
      </w:r>
      <w:r>
        <w:rPr>
          <w:rFonts w:hint="eastAsia" w:asciiTheme="minorEastAsia" w:hAnsiTheme="minorEastAsia" w:eastAsiaTheme="minorEastAsia" w:cstheme="minorEastAsia"/>
          <w:sz w:val="24"/>
          <w:szCs w:val="24"/>
        </w:rPr>
        <w:t>母线连接器拼柜时应保证硅橡胶半导体接地层及接地线与外壳同电位并可靠接地，端柜母线套管应用堵头封闭。</w:t>
      </w:r>
      <w:r>
        <w:rPr>
          <w:rFonts w:hint="eastAsia" w:asciiTheme="minorEastAsia" w:hAnsiTheme="minorEastAsia" w:eastAsiaTheme="minorEastAsia" w:cstheme="minorEastAsia"/>
          <w:sz w:val="24"/>
          <w:szCs w:val="24"/>
          <w:lang w:val="en-US" w:eastAsia="zh-CN"/>
        </w:rPr>
        <w:t>高压出线柜与变压器高压侧采用母排连接。</w:t>
      </w:r>
    </w:p>
    <w:p w14:paraId="7E5F366F">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母线连接器、电缆、避雷器、电压互感器插接式部件接入时，硅橡胶表面应均匀涂抹润滑脂。所有母线连接器、堵头、电缆终端及各种插接式连接器所用的主体橡胶件内外表面应光滑，无肉眼可见的斑痕、凹坑和裂纹，结构尺寸应符合图纸要求。</w:t>
      </w:r>
    </w:p>
    <w:p w14:paraId="0C23A838">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插接式部件紧固时应采用力矩扳手，力矩按GB50149-2010标准执行，紧固后进行标记，交接验收时应进行紧固力矩的复核。</w:t>
      </w:r>
    </w:p>
    <w:p w14:paraId="6A851959">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进行耐压试验前，母线连接器、电缆头等插接式部件安装后应静置8h以上，保证安装时套管内的空气和沿硅橡胶表面带入的空气能够充分排出。</w:t>
      </w:r>
    </w:p>
    <w:p w14:paraId="6CCCABF0">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4.2.3</w:t>
      </w:r>
      <w:r>
        <w:rPr>
          <w:rFonts w:hint="eastAsia" w:asciiTheme="minorEastAsia" w:hAnsiTheme="minorEastAsia" w:eastAsiaTheme="minorEastAsia" w:cstheme="minorEastAsia"/>
          <w:sz w:val="24"/>
          <w:szCs w:val="24"/>
        </w:rPr>
        <w:t>电流互感器</w:t>
      </w:r>
    </w:p>
    <w:p w14:paraId="502B76BB">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统一采用干式电磁式环氧浇注结构。</w:t>
      </w:r>
    </w:p>
    <w:p w14:paraId="70E62197">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电流互感器出厂报告应包含励磁特性曲线、拐点电压、75℃时最大二次电阻值等。</w:t>
      </w:r>
    </w:p>
    <w:p w14:paraId="3D2A9F62">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4.2.4</w:t>
      </w:r>
      <w:r>
        <w:rPr>
          <w:rFonts w:hint="eastAsia" w:asciiTheme="minorEastAsia" w:hAnsiTheme="minorEastAsia" w:eastAsiaTheme="minorEastAsia" w:cstheme="minorEastAsia"/>
          <w:sz w:val="24"/>
          <w:szCs w:val="24"/>
        </w:rPr>
        <w:t>电压互感器</w:t>
      </w:r>
    </w:p>
    <w:p w14:paraId="215D170C">
      <w:pPr>
        <w:pStyle w:val="17"/>
        <w:spacing w:line="500" w:lineRule="exact"/>
        <w:ind w:left="480" w:leftChars="200" w:firstLine="0" w:firstLineChars="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电压互感器励磁特性曲线的拐点电压大于1.9Um/√3，拐点电压下的励磁</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电流小于1A，三相励磁电流差小于等于30%。</w:t>
      </w:r>
    </w:p>
    <w:p w14:paraId="362D988C">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电压互感器在1.1Um电压下局放量不应大于10pC。</w:t>
      </w:r>
    </w:p>
    <w:p w14:paraId="1E7B6A63">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电压互感器三相不平衡度为1V，低压绕组1min工频耐压2kV。</w:t>
      </w:r>
    </w:p>
    <w:p w14:paraId="2307AF3B">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电压互感器应配置保护熔断器。</w:t>
      </w:r>
    </w:p>
    <w:p w14:paraId="26AC70CF">
      <w:pPr>
        <w:pStyle w:val="17"/>
        <w:spacing w:line="500" w:lineRule="exact"/>
        <w:ind w:firstLine="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4.2.5</w:t>
      </w:r>
      <w:r>
        <w:rPr>
          <w:rFonts w:hint="eastAsia" w:asciiTheme="minorEastAsia" w:hAnsiTheme="minorEastAsia" w:eastAsiaTheme="minorEastAsia" w:cstheme="minorEastAsia"/>
          <w:sz w:val="24"/>
          <w:szCs w:val="24"/>
        </w:rPr>
        <w:t>避雷器</w:t>
      </w:r>
    </w:p>
    <w:p w14:paraId="179C5C06">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避雷器应采用全屏蔽T型外锥式结构后插式氧化锌避雷器（后插式），并通过符合EN50181-2010的专用插拔头与隔室的套管进行连接。</w:t>
      </w:r>
    </w:p>
    <w:p w14:paraId="62AD52C3">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后插式避雷器外壳接地线应独立引出后经接地螺栓集中接地。</w:t>
      </w:r>
    </w:p>
    <w:p w14:paraId="2BC043A4">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避雷器主接地线线径应不小于16mm2，且与外壳绝缘。</w:t>
      </w:r>
    </w:p>
    <w:p w14:paraId="576A6C69">
      <w:pPr>
        <w:pStyle w:val="17"/>
        <w:spacing w:line="500" w:lineRule="exact"/>
        <w:ind w:firstLine="0"/>
        <w:jc w:val="both"/>
        <w:rPr>
          <w:rFonts w:hint="eastAsia" w:asciiTheme="minorEastAsia" w:hAnsiTheme="minorEastAsia" w:eastAsiaTheme="minorEastAsia" w:cstheme="minorEastAsia"/>
          <w:sz w:val="24"/>
          <w:szCs w:val="24"/>
        </w:rPr>
      </w:pPr>
      <w:bookmarkStart w:id="13" w:name="_Toc524029475"/>
      <w:bookmarkStart w:id="14" w:name="_Toc112747702"/>
      <w:r>
        <w:rPr>
          <w:rFonts w:hint="eastAsia" w:asciiTheme="minorEastAsia" w:hAnsiTheme="minorEastAsia" w:eastAsiaTheme="minorEastAsia" w:cstheme="minorEastAsia"/>
          <w:sz w:val="24"/>
          <w:szCs w:val="24"/>
          <w:lang w:val="en-US" w:eastAsia="zh-CN"/>
        </w:rPr>
        <w:t>4.2.6</w:t>
      </w:r>
      <w:r>
        <w:rPr>
          <w:rFonts w:hint="eastAsia" w:asciiTheme="minorEastAsia" w:hAnsiTheme="minorEastAsia" w:eastAsiaTheme="minorEastAsia" w:cstheme="minorEastAsia"/>
          <w:sz w:val="24"/>
          <w:szCs w:val="24"/>
        </w:rPr>
        <w:t>电缆附件</w:t>
      </w:r>
      <w:bookmarkEnd w:id="13"/>
      <w:bookmarkEnd w:id="14"/>
    </w:p>
    <w:p w14:paraId="0D2488D8">
      <w:pPr>
        <w:pStyle w:val="17"/>
        <w:spacing w:line="50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进出线电缆三相水平排列。采用10kV全屏蔽、全绝缘可触摸电缆终端，电缆应可靠固定，保证终端不受除重力以外的其它外力作用。</w:t>
      </w:r>
    </w:p>
    <w:p w14:paraId="2830E3C1">
      <w:pPr>
        <w:pStyle w:val="17"/>
        <w:spacing w:line="500" w:lineRule="exact"/>
        <w:ind w:firstLine="480" w:firstLineChars="200"/>
        <w:jc w:val="both"/>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电缆终端应采用硅橡胶、三元乙丙橡胶或其它性能更优的绝缘材料，电缆终端应采用内外层屏蔽、可触摸、预制式、可插拔、全绝缘及全密封结构。</w:t>
      </w:r>
      <w:r>
        <w:rPr>
          <w:rFonts w:hint="eastAsia" w:asciiTheme="minorEastAsia" w:hAnsiTheme="minorEastAsia" w:eastAsiaTheme="minorEastAsia" w:cstheme="minorEastAsia"/>
          <w:sz w:val="24"/>
          <w:szCs w:val="24"/>
          <w:lang w:val="en-US" w:eastAsia="zh-CN"/>
        </w:rPr>
        <w:t>电缆中间头、电缆终端头均采用冷缩头。</w:t>
      </w:r>
      <w:r>
        <w:rPr>
          <w:rFonts w:hint="eastAsia" w:asciiTheme="minorEastAsia" w:hAnsiTheme="minorEastAsia" w:eastAsiaTheme="minorEastAsia" w:cstheme="minorEastAsia"/>
          <w:sz w:val="24"/>
          <w:szCs w:val="24"/>
        </w:rPr>
        <w:t xml:space="preserve">电缆附件应满足标称电压8.7/15kV(Um=17.5kV)电缆的配合使用要求，每一只电缆头外壳应可靠接地。 </w:t>
      </w:r>
    </w:p>
    <w:p w14:paraId="410ED19A">
      <w:pPr>
        <w:pStyle w:val="4"/>
        <w:numPr>
          <w:ilvl w:val="0"/>
          <w:numId w:val="3"/>
        </w:numPr>
        <w:bidi w:val="0"/>
        <w:rPr>
          <w:rFonts w:hint="eastAsia"/>
          <w:lang w:val="en-US" w:eastAsia="zh-CN"/>
        </w:rPr>
      </w:pPr>
      <w:r>
        <w:rPr>
          <w:rFonts w:hint="eastAsia"/>
          <w:lang w:val="en-US" w:eastAsia="zh-CN"/>
        </w:rPr>
        <w:t>变压器技术参数</w:t>
      </w:r>
    </w:p>
    <w:p w14:paraId="00606B7C">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bookmarkStart w:id="15" w:name="_Toc2126"/>
      <w:r>
        <w:rPr>
          <w:rFonts w:hint="eastAsia" w:asciiTheme="minorEastAsia" w:hAnsiTheme="minorEastAsia" w:eastAsiaTheme="minorEastAsia" w:cstheme="minorEastAsia"/>
          <w:color w:val="000000"/>
          <w:sz w:val="24"/>
          <w:szCs w:val="24"/>
          <w:lang w:val="en-US" w:eastAsia="zh-CN" w:bidi="zh-TW"/>
        </w:rPr>
        <w:t>箱式</w:t>
      </w:r>
      <w:r>
        <w:rPr>
          <w:rFonts w:hint="eastAsia" w:asciiTheme="minorEastAsia" w:hAnsiTheme="minorEastAsia" w:eastAsiaTheme="minorEastAsia" w:cstheme="minorEastAsia"/>
          <w:color w:val="000000"/>
          <w:sz w:val="24"/>
          <w:szCs w:val="24"/>
          <w:lang w:val="zh-TW" w:eastAsia="zh-TW" w:bidi="zh-TW"/>
        </w:rPr>
        <w:t>变压器选用 S</w:t>
      </w:r>
      <w:r>
        <w:rPr>
          <w:rFonts w:hint="eastAsia" w:asciiTheme="minorEastAsia" w:hAnsiTheme="minorEastAsia" w:eastAsiaTheme="minorEastAsia" w:cstheme="minorEastAsia"/>
          <w:color w:val="000000"/>
          <w:sz w:val="24"/>
          <w:szCs w:val="24"/>
          <w:lang w:val="en-US" w:eastAsia="zh-CN" w:bidi="zh-TW"/>
        </w:rPr>
        <w:t>22</w:t>
      </w:r>
      <w:r>
        <w:rPr>
          <w:rFonts w:hint="eastAsia" w:asciiTheme="minorEastAsia" w:hAnsiTheme="minorEastAsia" w:eastAsiaTheme="minorEastAsia" w:cstheme="minorEastAsia"/>
          <w:color w:val="000000"/>
          <w:sz w:val="24"/>
          <w:szCs w:val="24"/>
          <w:lang w:val="zh-TW" w:eastAsia="zh-TW" w:bidi="zh-TW"/>
        </w:rPr>
        <w:t>型变压器（</w:t>
      </w:r>
      <w:r>
        <w:rPr>
          <w:rFonts w:hint="eastAsia" w:asciiTheme="minorEastAsia" w:hAnsiTheme="minorEastAsia" w:eastAsiaTheme="minorEastAsia" w:cstheme="minorEastAsia"/>
          <w:color w:val="000000"/>
          <w:sz w:val="24"/>
          <w:szCs w:val="24"/>
          <w:lang w:val="en-US" w:eastAsia="zh-CN" w:bidi="zh-TW"/>
        </w:rPr>
        <w:t>一级能效</w:t>
      </w:r>
      <w:r>
        <w:rPr>
          <w:rFonts w:hint="eastAsia" w:asciiTheme="minorEastAsia" w:hAnsiTheme="minorEastAsia" w:eastAsiaTheme="minorEastAsia" w:cstheme="minorEastAsia"/>
          <w:color w:val="000000"/>
          <w:sz w:val="24"/>
          <w:szCs w:val="24"/>
          <w:lang w:val="zh-TW" w:eastAsia="zh-TW" w:bidi="zh-TW"/>
        </w:rPr>
        <w:t>）</w:t>
      </w:r>
      <w:r>
        <w:rPr>
          <w:rFonts w:hint="eastAsia" w:asciiTheme="minorEastAsia" w:hAnsiTheme="minorEastAsia" w:eastAsiaTheme="minorEastAsia" w:cstheme="minorEastAsia"/>
          <w:color w:val="000000"/>
          <w:sz w:val="24"/>
          <w:szCs w:val="24"/>
          <w:lang w:val="zh-TW" w:eastAsia="zh-CN" w:bidi="zh-TW"/>
        </w:rPr>
        <w:t>，</w:t>
      </w:r>
      <w:r>
        <w:rPr>
          <w:rFonts w:hint="eastAsia" w:asciiTheme="minorEastAsia" w:hAnsiTheme="minorEastAsia" w:eastAsiaTheme="minorEastAsia" w:cstheme="minorEastAsia"/>
          <w:color w:val="000000"/>
          <w:sz w:val="24"/>
          <w:szCs w:val="24"/>
          <w:lang w:val="en-US" w:eastAsia="zh-CN" w:bidi="zh-TW"/>
        </w:rPr>
        <w:t>接线组别D,Yn11</w:t>
      </w:r>
      <w:r>
        <w:rPr>
          <w:rFonts w:hint="eastAsia" w:asciiTheme="minorEastAsia" w:hAnsiTheme="minorEastAsia" w:eastAsiaTheme="minorEastAsia" w:cstheme="minorEastAsia"/>
          <w:color w:val="000000"/>
          <w:sz w:val="24"/>
          <w:szCs w:val="24"/>
          <w:lang w:val="zh-TW" w:eastAsia="zh-TW" w:bidi="zh-TW"/>
        </w:rPr>
        <w:t>；在额定负载，功率因数为1时，变压器的总效率不低于99％。</w:t>
      </w:r>
    </w:p>
    <w:p w14:paraId="6E725AFF">
      <w:pPr>
        <w:pStyle w:val="5"/>
        <w:bidi w:val="0"/>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w:t>
      </w:r>
      <w:r>
        <w:rPr>
          <w:rFonts w:hint="eastAsia" w:asciiTheme="minorEastAsia" w:hAnsiTheme="minorEastAsia" w:eastAsiaTheme="minorEastAsia" w:cstheme="minorEastAsia"/>
          <w:color w:val="000000"/>
          <w:sz w:val="24"/>
          <w:szCs w:val="24"/>
          <w:lang w:val="zh-TW" w:eastAsia="zh-TW" w:bidi="zh-TW"/>
        </w:rPr>
        <w:t>.1 材质</w:t>
      </w:r>
    </w:p>
    <w:p w14:paraId="1DF90F7A">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1.</w:t>
      </w:r>
      <w:r>
        <w:rPr>
          <w:rFonts w:hint="eastAsia" w:asciiTheme="minorEastAsia" w:hAnsiTheme="minorEastAsia" w:eastAsiaTheme="minorEastAsia" w:cstheme="minorEastAsia"/>
          <w:color w:val="000000"/>
          <w:sz w:val="24"/>
          <w:szCs w:val="24"/>
          <w:lang w:val="zh-TW" w:eastAsia="zh-TW" w:bidi="zh-TW"/>
        </w:rPr>
        <w:t>变压器硅钢片选用武钢30Q130型高导磁优质晶粒取向冷轧钢片，铜导线采用上海宝山杨行生产的TB/TX型优质一级无氧铜杆。变压器低压绕组要求抗短路能力强；变压器矽钢片剪切、加工机器和绕线机等主要加工设备必须使用进口设备以保证加工精度。</w:t>
      </w:r>
    </w:p>
    <w:p w14:paraId="119AF09B">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2.</w:t>
      </w:r>
      <w:r>
        <w:rPr>
          <w:rFonts w:hint="eastAsia" w:asciiTheme="minorEastAsia" w:hAnsiTheme="minorEastAsia" w:eastAsiaTheme="minorEastAsia" w:cstheme="minorEastAsia"/>
          <w:color w:val="000000"/>
          <w:sz w:val="24"/>
          <w:szCs w:val="24"/>
          <w:lang w:val="zh-TW" w:eastAsia="zh-TW" w:bidi="zh-TW"/>
        </w:rPr>
        <w:t>所有暴露在大气中的金属部件应有可靠的防锈层或采用不锈钢材料制成。变压器用橡胶密封件应选用以丙烯酸酯橡胶为主体材料的密封件。</w:t>
      </w:r>
    </w:p>
    <w:p w14:paraId="758DBC4A">
      <w:pPr>
        <w:pStyle w:val="5"/>
        <w:bidi w:val="0"/>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5.2</w:t>
      </w:r>
      <w:r>
        <w:rPr>
          <w:rFonts w:hint="eastAsia" w:asciiTheme="minorEastAsia" w:hAnsiTheme="minorEastAsia" w:eastAsiaTheme="minorEastAsia" w:cstheme="minorEastAsia"/>
          <w:color w:val="000000"/>
          <w:sz w:val="24"/>
          <w:szCs w:val="24"/>
          <w:lang w:val="zh-TW" w:eastAsia="zh-TW" w:bidi="zh-TW"/>
        </w:rPr>
        <w:t>安全、保护装置</w:t>
      </w:r>
    </w:p>
    <w:p w14:paraId="39A7C9DE">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 xml:space="preserve">（1）变压器装有瓦斯继电器、信号温度计。继电器壳体、玻璃窗、出线端子、探针和波纹管等应完好。继电器内部零件应完好，各螺丝应有弹簧垫并拧紧，固定支架牢固可靠，各焊缝处应焊接良好无漏焊。 </w:t>
      </w:r>
    </w:p>
    <w:p w14:paraId="2293E2DC">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（2）变压器装有压力保护装置，当内部的压力达到35kPa时，可靠释放压力。</w:t>
      </w:r>
    </w:p>
    <w:p w14:paraId="2E852180">
      <w:pPr>
        <w:pStyle w:val="5"/>
        <w:bidi w:val="0"/>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5.3</w:t>
      </w:r>
      <w:r>
        <w:rPr>
          <w:rFonts w:hint="eastAsia" w:asciiTheme="minorEastAsia" w:hAnsiTheme="minorEastAsia" w:eastAsiaTheme="minorEastAsia" w:cstheme="minorEastAsia"/>
          <w:color w:val="auto"/>
          <w:sz w:val="24"/>
          <w:szCs w:val="24"/>
          <w:lang w:val="zh-TW" w:eastAsia="zh-TW" w:bidi="zh-TW"/>
        </w:rPr>
        <w:t>油箱</w:t>
      </w:r>
    </w:p>
    <w:p w14:paraId="17D5CA4C">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1.</w:t>
      </w:r>
      <w:r>
        <w:rPr>
          <w:rFonts w:hint="eastAsia" w:asciiTheme="minorEastAsia" w:hAnsiTheme="minorEastAsia" w:eastAsiaTheme="minorEastAsia" w:cstheme="minorEastAsia"/>
          <w:color w:val="auto"/>
          <w:sz w:val="24"/>
          <w:szCs w:val="24"/>
          <w:lang w:val="zh-TW" w:eastAsia="zh-TW" w:bidi="zh-TW"/>
        </w:rPr>
        <w:t xml:space="preserve">采用片式散热器油箱，有储油柜 ；变压器铁芯应通过油箱一点可靠接地。 </w:t>
      </w:r>
    </w:p>
    <w:p w14:paraId="570FA5BC">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2.</w:t>
      </w:r>
      <w:r>
        <w:rPr>
          <w:rFonts w:hint="eastAsia" w:asciiTheme="minorEastAsia" w:hAnsiTheme="minorEastAsia" w:eastAsiaTheme="minorEastAsia" w:cstheme="minorEastAsia"/>
          <w:color w:val="auto"/>
          <w:sz w:val="24"/>
          <w:szCs w:val="24"/>
          <w:lang w:val="zh-TW" w:eastAsia="zh-TW" w:bidi="zh-TW"/>
        </w:rPr>
        <w:t>变压器油箱的机械强度 ：应能承受《油浸式电力变压器技术参数和要求》GB/T6451-2015 规定的机械强度试验，在正常起吊和运输状态下不得有损伤和不允许的永久变形。</w:t>
      </w:r>
    </w:p>
    <w:p w14:paraId="171C7FB7">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3.</w:t>
      </w:r>
      <w:r>
        <w:rPr>
          <w:rFonts w:hint="eastAsia" w:asciiTheme="minorEastAsia" w:hAnsiTheme="minorEastAsia" w:eastAsiaTheme="minorEastAsia" w:cstheme="minorEastAsia"/>
          <w:color w:val="auto"/>
          <w:sz w:val="24"/>
          <w:szCs w:val="24"/>
          <w:lang w:val="zh-TW" w:eastAsia="zh-TW" w:bidi="zh-TW"/>
        </w:rPr>
        <w:t>油箱装有油样活门，箱底有排油污的装置，并设事故放油阀。</w:t>
      </w:r>
    </w:p>
    <w:p w14:paraId="46310DE6">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4.</w:t>
      </w:r>
      <w:r>
        <w:rPr>
          <w:rFonts w:hint="eastAsia" w:asciiTheme="minorEastAsia" w:hAnsiTheme="minorEastAsia" w:eastAsiaTheme="minorEastAsia" w:cstheme="minorEastAsia"/>
          <w:color w:val="auto"/>
          <w:sz w:val="24"/>
          <w:szCs w:val="24"/>
          <w:lang w:val="zh-TW" w:eastAsia="zh-TW" w:bidi="zh-TW"/>
        </w:rPr>
        <w:t>变压器油箱及金属结构件外表面颜色为浅灰色。</w:t>
      </w:r>
    </w:p>
    <w:p w14:paraId="7728388D">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5.</w:t>
      </w:r>
      <w:r>
        <w:rPr>
          <w:rFonts w:hint="eastAsia" w:asciiTheme="minorEastAsia" w:hAnsiTheme="minorEastAsia" w:eastAsiaTheme="minorEastAsia" w:cstheme="minorEastAsia"/>
          <w:color w:val="auto"/>
          <w:sz w:val="24"/>
          <w:szCs w:val="24"/>
          <w:lang w:val="zh-TW" w:eastAsia="zh-TW" w:bidi="zh-TW"/>
        </w:rPr>
        <w:t>变压器加带油枕、吸湿器、油位指示器（油标）。</w:t>
      </w:r>
    </w:p>
    <w:p w14:paraId="4BBEE010">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6.</w:t>
      </w:r>
      <w:r>
        <w:rPr>
          <w:rFonts w:hint="eastAsia" w:asciiTheme="minorEastAsia" w:hAnsiTheme="minorEastAsia" w:eastAsiaTheme="minorEastAsia" w:cstheme="minorEastAsia"/>
          <w:color w:val="auto"/>
          <w:sz w:val="24"/>
          <w:szCs w:val="24"/>
          <w:lang w:val="zh-TW" w:eastAsia="zh-TW" w:bidi="zh-TW"/>
        </w:rPr>
        <w:t xml:space="preserve">变压器油采用新疆克拉玛依45#变压器油，油的质量应符合有关标准规定，制造厂应提供注入变压器前的油质指标。 </w:t>
      </w:r>
    </w:p>
    <w:p w14:paraId="2588FBC2">
      <w:pPr>
        <w:pStyle w:val="5"/>
        <w:bidi w:val="0"/>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5.4</w:t>
      </w:r>
      <w:r>
        <w:rPr>
          <w:rFonts w:hint="eastAsia" w:asciiTheme="minorEastAsia" w:hAnsiTheme="minorEastAsia" w:eastAsiaTheme="minorEastAsia" w:cstheme="minorEastAsia"/>
          <w:color w:val="000000"/>
          <w:sz w:val="24"/>
          <w:szCs w:val="24"/>
          <w:lang w:val="zh-TW" w:eastAsia="zh-TW" w:bidi="zh-TW"/>
        </w:rPr>
        <w:t>套管</w:t>
      </w:r>
    </w:p>
    <w:p w14:paraId="18B803A2">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1.</w:t>
      </w:r>
      <w:r>
        <w:rPr>
          <w:rFonts w:hint="eastAsia" w:asciiTheme="minorEastAsia" w:hAnsiTheme="minorEastAsia" w:eastAsiaTheme="minorEastAsia" w:cstheme="minorEastAsia"/>
          <w:color w:val="000000"/>
          <w:sz w:val="24"/>
          <w:szCs w:val="24"/>
          <w:lang w:val="zh-TW" w:eastAsia="zh-TW" w:bidi="zh-TW"/>
        </w:rPr>
        <w:t>安装位置和相互位置距离应便于接线，而且其带电部分相对地、相间之空气间隙必须符合以下要求： 10kV 套管间隙不小于 20cm 。</w:t>
      </w:r>
    </w:p>
    <w:p w14:paraId="01C7CD46">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2.</w:t>
      </w:r>
      <w:r>
        <w:rPr>
          <w:rFonts w:hint="eastAsia" w:asciiTheme="minorEastAsia" w:hAnsiTheme="minorEastAsia" w:eastAsiaTheme="minorEastAsia" w:cstheme="minorEastAsia"/>
          <w:color w:val="000000"/>
          <w:sz w:val="24"/>
          <w:szCs w:val="24"/>
          <w:lang w:val="zh-TW" w:eastAsia="zh-TW" w:bidi="zh-TW"/>
        </w:rPr>
        <w:t>套管绝缘水平和机械强度符合GB/T4109—2008的要求。</w:t>
      </w:r>
    </w:p>
    <w:p w14:paraId="74074C2F">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3.</w:t>
      </w:r>
      <w:r>
        <w:rPr>
          <w:rFonts w:hint="eastAsia" w:asciiTheme="minorEastAsia" w:hAnsiTheme="minorEastAsia" w:eastAsiaTheme="minorEastAsia" w:cstheme="minorEastAsia"/>
          <w:color w:val="000000"/>
          <w:sz w:val="24"/>
          <w:szCs w:val="24"/>
          <w:lang w:val="zh-TW" w:eastAsia="zh-TW" w:bidi="zh-TW"/>
        </w:rPr>
        <w:t>变压器套管带电部分空气间隙应符合GB1094.3—2017的要求，并按海拔1600m修正。</w:t>
      </w:r>
    </w:p>
    <w:p w14:paraId="201A70C2">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4.</w:t>
      </w:r>
      <w:r>
        <w:rPr>
          <w:rFonts w:hint="eastAsia" w:asciiTheme="minorEastAsia" w:hAnsiTheme="minorEastAsia" w:eastAsiaTheme="minorEastAsia" w:cstheme="minorEastAsia"/>
          <w:color w:val="000000"/>
          <w:sz w:val="24"/>
          <w:szCs w:val="24"/>
          <w:lang w:val="zh-TW" w:eastAsia="zh-TW" w:bidi="zh-TW"/>
        </w:rPr>
        <w:t xml:space="preserve">套管的泄漏比距：25mm/kV（最高运行线电压）；套管爬电比距：不小于 0.25m /kV （除特别说明外）。 </w:t>
      </w:r>
    </w:p>
    <w:p w14:paraId="763CDFA3">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w:t>
      </w:r>
      <w:r>
        <w:rPr>
          <w:rFonts w:hint="eastAsia" w:asciiTheme="minorEastAsia" w:hAnsiTheme="minorEastAsia" w:eastAsiaTheme="minorEastAsia" w:cstheme="minorEastAsia"/>
          <w:color w:val="000000"/>
          <w:sz w:val="24"/>
          <w:szCs w:val="24"/>
          <w:lang w:val="zh-TW" w:eastAsia="zh-TW" w:bidi="zh-TW"/>
        </w:rPr>
        <w:t>变压器应装有玻璃温度计的管座，管座应设在油箱顶部，并伸入油内为 120 ± 10mm 。变压器应安装温控仪，以便信号进入DCS系统和信号远传报警等。</w:t>
      </w:r>
    </w:p>
    <w:p w14:paraId="4F2386B0">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6.</w:t>
      </w:r>
      <w:r>
        <w:rPr>
          <w:rFonts w:hint="eastAsia" w:asciiTheme="minorEastAsia" w:hAnsiTheme="minorEastAsia" w:eastAsiaTheme="minorEastAsia" w:cstheme="minorEastAsia"/>
          <w:color w:val="000000"/>
          <w:sz w:val="24"/>
          <w:szCs w:val="24"/>
          <w:lang w:val="zh-TW" w:eastAsia="zh-TW" w:bidi="zh-TW"/>
        </w:rPr>
        <w:t>放气阀、探针操作应灵活，探针头与挡板挡舌间保持1.5～2.5mm的间隙。</w:t>
      </w:r>
    </w:p>
    <w:p w14:paraId="6CDA90BF">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7.</w:t>
      </w:r>
      <w:r>
        <w:rPr>
          <w:rFonts w:hint="eastAsia" w:asciiTheme="minorEastAsia" w:hAnsiTheme="minorEastAsia" w:eastAsiaTheme="minorEastAsia" w:cstheme="minorEastAsia"/>
          <w:color w:val="000000"/>
          <w:sz w:val="24"/>
          <w:szCs w:val="24"/>
          <w:lang w:val="zh-TW" w:eastAsia="zh-TW" w:bidi="zh-TW"/>
        </w:rPr>
        <w:t>变压器分接头在任何位置时都应能承受三相对称短路电流（最小值为额定电流的 25 倍） 2s ，各部位无损坏和明显变形，短路后线圈的平均温度最高不超过 250 ℃；无载分接开关选用三门腾龙生产型号为WSPII-10型号产品</w:t>
      </w:r>
      <w:r>
        <w:rPr>
          <w:rFonts w:hint="eastAsia" w:asciiTheme="minorEastAsia" w:hAnsiTheme="minorEastAsia" w:eastAsiaTheme="minorEastAsia" w:cstheme="minorEastAsia"/>
          <w:color w:val="000000"/>
          <w:sz w:val="24"/>
          <w:szCs w:val="24"/>
          <w:lang w:val="en-US" w:eastAsia="zh-CN" w:bidi="zh-TW"/>
        </w:rPr>
        <w:t>或同等档次国内优质品牌产品</w:t>
      </w:r>
      <w:r>
        <w:rPr>
          <w:rFonts w:hint="eastAsia" w:asciiTheme="minorEastAsia" w:hAnsiTheme="minorEastAsia" w:eastAsiaTheme="minorEastAsia" w:cstheme="minorEastAsia"/>
          <w:color w:val="000000"/>
          <w:sz w:val="24"/>
          <w:szCs w:val="24"/>
          <w:lang w:val="zh-TW" w:eastAsia="zh-TW" w:bidi="zh-TW"/>
        </w:rPr>
        <w:t>。</w:t>
      </w:r>
    </w:p>
    <w:p w14:paraId="12CB52EE">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8.</w:t>
      </w:r>
      <w:r>
        <w:rPr>
          <w:rFonts w:hint="eastAsia" w:asciiTheme="minorEastAsia" w:hAnsiTheme="minorEastAsia" w:eastAsiaTheme="minorEastAsia" w:cstheme="minorEastAsia"/>
          <w:color w:val="000000"/>
          <w:sz w:val="24"/>
          <w:szCs w:val="24"/>
          <w:lang w:val="zh-TW" w:eastAsia="zh-TW" w:bidi="zh-TW"/>
        </w:rPr>
        <w:t>固定：</w:t>
      </w:r>
    </w:p>
    <w:p w14:paraId="4905F6E7">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 xml:space="preserve">（1）干簧触点固定牢固，玻璃管应完好，根部引出线焊接可靠，引出硬柱不能弯曲并套软塑料管排列固定，永久磁铁在框架内固定牢固；与调节螺杆连接平稳可靠，并与挡板静止位置垂直。 </w:t>
      </w:r>
    </w:p>
    <w:p w14:paraId="18A7D895">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（2）干簧触点可动片面向永久磁铁并保持平行，尽可能调整两个触点同时断合；</w:t>
      </w:r>
    </w:p>
    <w:p w14:paraId="5A22A911">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 xml:space="preserve">（3）开口杯转动应灵活，轴向活动范围为0.3～0.5mm，开口杯转动过程中与出线端子最近距离不小于3mm；开口杯的干簧触点应接在动作于“信号”的出线端子上，挡板的两个干簧触点应串接在动作于“跳闸”的回路中。检查接线盒漏水孔是否畅通。 </w:t>
      </w:r>
    </w:p>
    <w:p w14:paraId="13B814B0">
      <w:pPr>
        <w:pStyle w:val="5"/>
        <w:bidi w:val="0"/>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5.5变压器</w:t>
      </w:r>
      <w:r>
        <w:rPr>
          <w:rFonts w:hint="eastAsia" w:asciiTheme="minorEastAsia" w:hAnsiTheme="minorEastAsia" w:eastAsiaTheme="minorEastAsia" w:cstheme="minorEastAsia"/>
          <w:color w:val="000000"/>
          <w:sz w:val="24"/>
          <w:szCs w:val="24"/>
          <w:lang w:val="zh-TW" w:eastAsia="zh-TW" w:bidi="zh-TW"/>
        </w:rPr>
        <w:t>性能</w:t>
      </w:r>
    </w:p>
    <w:p w14:paraId="48DC4B40">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1.</w:t>
      </w:r>
      <w:r>
        <w:rPr>
          <w:rFonts w:hint="eastAsia" w:asciiTheme="minorEastAsia" w:hAnsiTheme="minorEastAsia" w:eastAsiaTheme="minorEastAsia" w:cstheme="minorEastAsia"/>
          <w:color w:val="000000"/>
          <w:sz w:val="24"/>
          <w:szCs w:val="24"/>
          <w:lang w:val="zh-TW" w:eastAsia="zh-TW" w:bidi="zh-TW"/>
        </w:rPr>
        <w:t>变压器绕组的绝缘性能参数见下表：</w:t>
      </w:r>
    </w:p>
    <w:tbl>
      <w:tblPr>
        <w:tblStyle w:val="12"/>
        <w:tblW w:w="8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386"/>
        <w:gridCol w:w="1638"/>
        <w:gridCol w:w="1847"/>
        <w:gridCol w:w="2401"/>
      </w:tblGrid>
      <w:tr w14:paraId="3E2A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266" w:type="dxa"/>
            <w:vMerge w:val="restart"/>
            <w:noWrap w:val="0"/>
            <w:vAlign w:val="center"/>
          </w:tcPr>
          <w:p w14:paraId="46C855FB">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系统标称电压kV</w:t>
            </w:r>
          </w:p>
        </w:tc>
        <w:tc>
          <w:tcPr>
            <w:tcW w:w="1386" w:type="dxa"/>
            <w:vMerge w:val="restart"/>
            <w:noWrap w:val="0"/>
            <w:vAlign w:val="center"/>
          </w:tcPr>
          <w:p w14:paraId="74688BBE">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设备最高电压kV</w:t>
            </w:r>
          </w:p>
        </w:tc>
        <w:tc>
          <w:tcPr>
            <w:tcW w:w="3485" w:type="dxa"/>
            <w:gridSpan w:val="2"/>
            <w:noWrap w:val="0"/>
            <w:vAlign w:val="center"/>
          </w:tcPr>
          <w:p w14:paraId="5F96442D">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额定雷电冲击耐受电压（峰值） kV</w:t>
            </w:r>
          </w:p>
        </w:tc>
        <w:tc>
          <w:tcPr>
            <w:tcW w:w="2401" w:type="dxa"/>
            <w:vMerge w:val="restart"/>
            <w:noWrap w:val="0"/>
            <w:vAlign w:val="center"/>
          </w:tcPr>
          <w:p w14:paraId="388FC53A">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额定短时感应或工频耐受电压</w:t>
            </w:r>
          </w:p>
          <w:p w14:paraId="74E199DD">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（有效值）kV</w:t>
            </w:r>
          </w:p>
        </w:tc>
      </w:tr>
      <w:tr w14:paraId="2EAF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66" w:type="dxa"/>
            <w:vMerge w:val="continue"/>
            <w:noWrap w:val="0"/>
            <w:vAlign w:val="center"/>
          </w:tcPr>
          <w:p w14:paraId="45B9C548">
            <w:pPr>
              <w:rPr>
                <w:rFonts w:hint="eastAsia" w:asciiTheme="minorEastAsia" w:hAnsiTheme="minorEastAsia" w:eastAsiaTheme="minorEastAsia" w:cstheme="minorEastAsia"/>
                <w:color w:val="000000"/>
                <w:sz w:val="24"/>
                <w:szCs w:val="24"/>
                <w:lang w:val="zh-TW" w:eastAsia="zh-TW" w:bidi="zh-TW"/>
              </w:rPr>
            </w:pPr>
          </w:p>
        </w:tc>
        <w:tc>
          <w:tcPr>
            <w:tcW w:w="1386" w:type="dxa"/>
            <w:vMerge w:val="continue"/>
            <w:noWrap w:val="0"/>
            <w:vAlign w:val="center"/>
          </w:tcPr>
          <w:p w14:paraId="306FE282">
            <w:pPr>
              <w:rPr>
                <w:rFonts w:hint="eastAsia" w:asciiTheme="minorEastAsia" w:hAnsiTheme="minorEastAsia" w:eastAsiaTheme="minorEastAsia" w:cstheme="minorEastAsia"/>
                <w:color w:val="000000"/>
                <w:sz w:val="24"/>
                <w:szCs w:val="24"/>
                <w:lang w:val="zh-TW" w:eastAsia="zh-TW" w:bidi="zh-TW"/>
              </w:rPr>
            </w:pPr>
          </w:p>
        </w:tc>
        <w:tc>
          <w:tcPr>
            <w:tcW w:w="1638" w:type="dxa"/>
            <w:noWrap w:val="0"/>
            <w:vAlign w:val="center"/>
          </w:tcPr>
          <w:p w14:paraId="7BF6F0EF">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全波</w:t>
            </w:r>
          </w:p>
        </w:tc>
        <w:tc>
          <w:tcPr>
            <w:tcW w:w="1847" w:type="dxa"/>
            <w:noWrap w:val="0"/>
            <w:vAlign w:val="center"/>
          </w:tcPr>
          <w:p w14:paraId="512FF976">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截波</w:t>
            </w:r>
          </w:p>
        </w:tc>
        <w:tc>
          <w:tcPr>
            <w:tcW w:w="2401" w:type="dxa"/>
            <w:vMerge w:val="continue"/>
            <w:noWrap w:val="0"/>
            <w:vAlign w:val="center"/>
          </w:tcPr>
          <w:p w14:paraId="21B10D1B">
            <w:pPr>
              <w:rPr>
                <w:rFonts w:hint="eastAsia" w:asciiTheme="minorEastAsia" w:hAnsiTheme="minorEastAsia" w:eastAsiaTheme="minorEastAsia" w:cstheme="minorEastAsia"/>
                <w:color w:val="000000"/>
                <w:sz w:val="24"/>
                <w:szCs w:val="24"/>
                <w:lang w:val="zh-TW" w:eastAsia="zh-TW" w:bidi="zh-TW"/>
              </w:rPr>
            </w:pPr>
          </w:p>
        </w:tc>
      </w:tr>
      <w:tr w14:paraId="09EE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66" w:type="dxa"/>
            <w:noWrap w:val="0"/>
            <w:vAlign w:val="center"/>
          </w:tcPr>
          <w:p w14:paraId="26A76B53">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10</w:t>
            </w:r>
          </w:p>
        </w:tc>
        <w:tc>
          <w:tcPr>
            <w:tcW w:w="1386" w:type="dxa"/>
            <w:noWrap w:val="0"/>
            <w:vAlign w:val="center"/>
          </w:tcPr>
          <w:p w14:paraId="54274EAA">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12</w:t>
            </w:r>
          </w:p>
        </w:tc>
        <w:tc>
          <w:tcPr>
            <w:tcW w:w="1638" w:type="dxa"/>
            <w:noWrap w:val="0"/>
            <w:vAlign w:val="center"/>
          </w:tcPr>
          <w:p w14:paraId="505ED512">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65</w:t>
            </w:r>
          </w:p>
        </w:tc>
        <w:tc>
          <w:tcPr>
            <w:tcW w:w="1847" w:type="dxa"/>
            <w:noWrap w:val="0"/>
            <w:vAlign w:val="center"/>
          </w:tcPr>
          <w:p w14:paraId="484BAD0C">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75</w:t>
            </w:r>
          </w:p>
        </w:tc>
        <w:tc>
          <w:tcPr>
            <w:tcW w:w="2401" w:type="dxa"/>
            <w:noWrap w:val="0"/>
            <w:vAlign w:val="center"/>
          </w:tcPr>
          <w:p w14:paraId="6A6E03FC">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35</w:t>
            </w:r>
          </w:p>
        </w:tc>
      </w:tr>
      <w:tr w14:paraId="5C72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266" w:type="dxa"/>
            <w:noWrap w:val="0"/>
            <w:vAlign w:val="center"/>
          </w:tcPr>
          <w:p w14:paraId="0CD5540B">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0.4</w:t>
            </w:r>
          </w:p>
        </w:tc>
        <w:tc>
          <w:tcPr>
            <w:tcW w:w="1386" w:type="dxa"/>
            <w:noWrap w:val="0"/>
            <w:vAlign w:val="center"/>
          </w:tcPr>
          <w:p w14:paraId="482AB80C">
            <w:pPr>
              <w:rPr>
                <w:rFonts w:hint="eastAsia" w:asciiTheme="minorEastAsia" w:hAnsiTheme="minorEastAsia" w:eastAsiaTheme="minorEastAsia" w:cstheme="minorEastAsia"/>
                <w:color w:val="000000"/>
                <w:sz w:val="24"/>
                <w:szCs w:val="24"/>
                <w:lang w:val="zh-TW" w:eastAsia="zh-TW" w:bidi="zh-TW"/>
              </w:rPr>
            </w:pPr>
          </w:p>
        </w:tc>
        <w:tc>
          <w:tcPr>
            <w:tcW w:w="1638" w:type="dxa"/>
            <w:noWrap w:val="0"/>
            <w:vAlign w:val="center"/>
          </w:tcPr>
          <w:p w14:paraId="287EE4EC">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w:t>
            </w:r>
          </w:p>
        </w:tc>
        <w:tc>
          <w:tcPr>
            <w:tcW w:w="1847" w:type="dxa"/>
            <w:noWrap w:val="0"/>
            <w:vAlign w:val="center"/>
          </w:tcPr>
          <w:p w14:paraId="2254D389">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w:t>
            </w:r>
          </w:p>
        </w:tc>
        <w:tc>
          <w:tcPr>
            <w:tcW w:w="2401" w:type="dxa"/>
            <w:noWrap w:val="0"/>
            <w:vAlign w:val="center"/>
          </w:tcPr>
          <w:p w14:paraId="2C900DC7">
            <w:pPr>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5</w:t>
            </w:r>
          </w:p>
        </w:tc>
      </w:tr>
    </w:tbl>
    <w:p w14:paraId="02B19646">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2.</w:t>
      </w:r>
      <w:r>
        <w:rPr>
          <w:rFonts w:hint="eastAsia" w:asciiTheme="minorEastAsia" w:hAnsiTheme="minorEastAsia" w:eastAsiaTheme="minorEastAsia" w:cstheme="minorEastAsia"/>
          <w:color w:val="000000"/>
          <w:sz w:val="24"/>
          <w:szCs w:val="24"/>
          <w:lang w:val="zh-TW" w:eastAsia="zh-TW" w:bidi="zh-TW"/>
        </w:rPr>
        <w:t>变压器绝缘水平应符合GB1094.3—2017的要求，并按海拔2000m修正。</w:t>
      </w:r>
    </w:p>
    <w:p w14:paraId="38E9D5A9">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3.</w:t>
      </w:r>
      <w:r>
        <w:rPr>
          <w:rFonts w:hint="eastAsia" w:asciiTheme="minorEastAsia" w:hAnsiTheme="minorEastAsia" w:eastAsiaTheme="minorEastAsia" w:cstheme="minorEastAsia"/>
          <w:color w:val="000000"/>
          <w:sz w:val="24"/>
          <w:szCs w:val="24"/>
          <w:lang w:val="zh-TW" w:eastAsia="zh-TW" w:bidi="zh-TW"/>
        </w:rPr>
        <w:t xml:space="preserve">温升限值  </w:t>
      </w:r>
    </w:p>
    <w:p w14:paraId="5E6F9D9D">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 温升限值符合GB1094.2—2013的有关规定。</w:t>
      </w:r>
    </w:p>
    <w:p w14:paraId="1C892C1B">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 xml:space="preserve">（2） 顶层油温升：&lt;55K（用温度计测量）   </w:t>
      </w:r>
    </w:p>
    <w:p w14:paraId="01A058F9">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（3） 绕组平均温升：&lt;65K（用电阻法测量）</w:t>
      </w:r>
    </w:p>
    <w:p w14:paraId="57E52174">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（4）铁心、绕组外部的电气连接线或油箱中的结构件：&lt;80K，并保证不使其相邻的部件受到热损坏或使油过渡老化。</w:t>
      </w:r>
    </w:p>
    <w:p w14:paraId="7701FAC0">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en-US" w:eastAsia="zh-CN" w:bidi="zh-TW"/>
        </w:rPr>
        <w:t>4.</w:t>
      </w:r>
      <w:r>
        <w:rPr>
          <w:rFonts w:hint="eastAsia" w:asciiTheme="minorEastAsia" w:hAnsiTheme="minorEastAsia" w:eastAsiaTheme="minorEastAsia" w:cstheme="minorEastAsia"/>
          <w:color w:val="auto"/>
          <w:sz w:val="24"/>
          <w:szCs w:val="24"/>
          <w:lang w:val="zh-TW" w:eastAsia="zh-TW" w:bidi="zh-TW"/>
        </w:rPr>
        <w:t>负载能力：变压器负载能力应符合GB／T</w:t>
      </w:r>
      <w:r>
        <w:rPr>
          <w:rFonts w:hint="eastAsia" w:asciiTheme="minorEastAsia" w:hAnsiTheme="minorEastAsia" w:eastAsiaTheme="minorEastAsia" w:cstheme="minorEastAsia"/>
          <w:color w:val="auto"/>
          <w:sz w:val="24"/>
          <w:szCs w:val="24"/>
          <w:lang w:val="en-US" w:eastAsia="zh-CN" w:bidi="zh-TW"/>
        </w:rPr>
        <w:t>1094.7-2024</w:t>
      </w:r>
      <w:r>
        <w:rPr>
          <w:rFonts w:hint="eastAsia" w:asciiTheme="minorEastAsia" w:hAnsiTheme="minorEastAsia" w:eastAsiaTheme="minorEastAsia" w:cstheme="minorEastAsia"/>
          <w:color w:val="auto"/>
          <w:sz w:val="24"/>
          <w:szCs w:val="24"/>
          <w:lang w:val="zh-TW" w:eastAsia="zh-TW" w:bidi="zh-TW"/>
        </w:rPr>
        <w:t>《油浸式电力变压器负载导则》的有关规定。</w:t>
      </w:r>
    </w:p>
    <w:p w14:paraId="18FF3D5E">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5.</w:t>
      </w:r>
      <w:r>
        <w:rPr>
          <w:rFonts w:hint="eastAsia" w:asciiTheme="minorEastAsia" w:hAnsiTheme="minorEastAsia" w:eastAsiaTheme="minorEastAsia" w:cstheme="minorEastAsia"/>
          <w:color w:val="000000"/>
          <w:sz w:val="24"/>
          <w:szCs w:val="24"/>
          <w:lang w:val="zh-TW" w:eastAsia="zh-TW" w:bidi="zh-TW"/>
        </w:rPr>
        <w:t>过电压能力：当变压器的电流为额定电流的K（0≤K≤1）倍时，变压器能在下式要求的电压U下连续运行：U（%）=110－5K2</w:t>
      </w:r>
    </w:p>
    <w:p w14:paraId="19B15F84">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6.</w:t>
      </w:r>
      <w:r>
        <w:rPr>
          <w:rFonts w:hint="eastAsia" w:asciiTheme="minorEastAsia" w:hAnsiTheme="minorEastAsia" w:eastAsiaTheme="minorEastAsia" w:cstheme="minorEastAsia"/>
          <w:color w:val="000000"/>
          <w:sz w:val="24"/>
          <w:szCs w:val="24"/>
          <w:lang w:val="zh-TW" w:eastAsia="zh-TW" w:bidi="zh-TW"/>
        </w:rPr>
        <w:t>过负荷的能力：允许在负荷为 120 ％额定容量下持续运行 4 小时</w:t>
      </w:r>
    </w:p>
    <w:p w14:paraId="521FC042">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7.</w:t>
      </w:r>
      <w:r>
        <w:rPr>
          <w:rFonts w:hint="eastAsia" w:asciiTheme="minorEastAsia" w:hAnsiTheme="minorEastAsia" w:eastAsiaTheme="minorEastAsia" w:cstheme="minorEastAsia"/>
          <w:color w:val="000000"/>
          <w:sz w:val="24"/>
          <w:szCs w:val="24"/>
          <w:lang w:val="zh-TW" w:eastAsia="zh-TW" w:bidi="zh-TW"/>
        </w:rPr>
        <w:t>承受短路能力</w:t>
      </w:r>
    </w:p>
    <w:p w14:paraId="137A6A9F">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（1）承受短路的动稳定能力：变压器在任何分接时都应能承受国家标准规定的短路试验电流值，持续时间0.5S，各部位无损坏和明显变形。</w:t>
      </w:r>
    </w:p>
    <w:p w14:paraId="350DA6F8">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 xml:space="preserve">（2）承受短路的热稳定能力：变压器在任何分接时都应能承受三相对称短路电流，持续时间2S。短路后线圈的平均温度最高不超过250℃，各侧短路容量满足国标要求。 </w:t>
      </w:r>
    </w:p>
    <w:p w14:paraId="249718D6">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8.</w:t>
      </w:r>
      <w:r>
        <w:rPr>
          <w:rFonts w:hint="eastAsia" w:asciiTheme="minorEastAsia" w:hAnsiTheme="minorEastAsia" w:eastAsiaTheme="minorEastAsia" w:cstheme="minorEastAsia"/>
          <w:color w:val="000000"/>
          <w:sz w:val="24"/>
          <w:szCs w:val="24"/>
          <w:lang w:val="zh-TW" w:eastAsia="zh-TW" w:bidi="zh-TW"/>
        </w:rPr>
        <w:t xml:space="preserve"> 声级水平≤62dB（630KVA）；≤62dB（500KVA）。</w:t>
      </w:r>
    </w:p>
    <w:p w14:paraId="07FC85E8">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en-US" w:eastAsia="zh-CN" w:bidi="zh-TW"/>
        </w:rPr>
        <w:t>9.</w:t>
      </w:r>
      <w:r>
        <w:rPr>
          <w:rFonts w:hint="eastAsia" w:asciiTheme="minorEastAsia" w:hAnsiTheme="minorEastAsia" w:eastAsiaTheme="minorEastAsia" w:cstheme="minorEastAsia"/>
          <w:color w:val="000000"/>
          <w:sz w:val="24"/>
          <w:szCs w:val="24"/>
          <w:lang w:val="zh-TW" w:eastAsia="zh-TW" w:bidi="zh-TW"/>
        </w:rPr>
        <w:t>试验：</w:t>
      </w:r>
    </w:p>
    <w:p w14:paraId="33F7DA11">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 实验要求：应按照国家标准和行业标准规定的项目、方法进行试验，并且各项试验结果应符合本技术标准条件的要求；具体要求：① 型式试验项目（提供型式试验鉴定报告），按照国家标准要求。② 出厂试验项目，按照国家标准要求。③ 特殊试验项目：按照国家标准要求 ④变压器试验按GB1094.1-2—2013，GB1094. 3、5—2017，GB/T6451—2015及本技术协议的有关规定进行。</w:t>
      </w:r>
    </w:p>
    <w:p w14:paraId="77734458">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（2）电压比测量：应在每一分接位置上测量，允许偏差在额定分接时为±0.5%。</w:t>
      </w:r>
    </w:p>
    <w:p w14:paraId="023701A4">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（3）绕组电阻测量：应在所有分接位置上测量，直流电阻不平衡率相为2%，线为1%。</w:t>
      </w:r>
    </w:p>
    <w:p w14:paraId="4DB9F130">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（4）工频和感应耐压试验：高、低压各侧进行试验。</w:t>
      </w:r>
    </w:p>
    <w:p w14:paraId="5B580678">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（5）空载损耗和空载电流测量：测量值允许偏差符合国标。</w:t>
      </w:r>
    </w:p>
    <w:p w14:paraId="2A612FB4">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（6）短路阻抗和负载损耗测量：短路阻抗在主分接测量，测量值允许偏差符合国标。负载损耗和总损耗测量值允许偏差符合国标。</w:t>
      </w:r>
    </w:p>
    <w:p w14:paraId="33363469">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（7） 变压器油试验：变压器油试验按GB2536—2011和GB7595—2017的规定执行。质量指标应符合GB2536—2011标准，提供注入变压器的油质试验报告。</w:t>
      </w:r>
    </w:p>
    <w:p w14:paraId="52AEEC27">
      <w:pPr>
        <w:spacing w:line="500" w:lineRule="exact"/>
        <w:ind w:firstLine="480" w:firstLineChars="200"/>
        <w:jc w:val="left"/>
        <w:rPr>
          <w:rFonts w:hint="eastAsia" w:asciiTheme="minorEastAsia" w:hAnsiTheme="minorEastAsia" w:eastAsiaTheme="minorEastAsia" w:cstheme="minorEastAsia"/>
          <w:color w:val="auto"/>
          <w:sz w:val="24"/>
          <w:szCs w:val="24"/>
          <w:lang w:val="zh-TW" w:eastAsia="zh-TW" w:bidi="zh-TW"/>
        </w:rPr>
      </w:pPr>
      <w:r>
        <w:rPr>
          <w:rFonts w:hint="eastAsia" w:asciiTheme="minorEastAsia" w:hAnsiTheme="minorEastAsia" w:eastAsiaTheme="minorEastAsia" w:cstheme="minorEastAsia"/>
          <w:color w:val="auto"/>
          <w:sz w:val="24"/>
          <w:szCs w:val="24"/>
          <w:lang w:val="zh-TW" w:eastAsia="zh-TW" w:bidi="zh-TW"/>
        </w:rPr>
        <w:t>（8）密封试验：变压器油箱、散热器应承受30kPa压力的密封试验，其试验时间为12h, 不得有渗漏和损伤。</w:t>
      </w:r>
    </w:p>
    <w:p w14:paraId="73985125">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（9）变压器结构应便于拆卸和更换套管或瓷件；整体设计应满足运行、检修、维护的要求。</w:t>
      </w:r>
    </w:p>
    <w:p w14:paraId="7B72FAE0">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（10）铭牌标志符合标准规定，标志内容清晰耐久，具体要求：①设备铭牌采用耐腐蚀的金属板制造。②铭牌安放在人员容易看到的地方。③铭牌上刻有下列内容，但不限于此：</w:t>
      </w:r>
    </w:p>
    <w:p w14:paraId="29058902">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制造厂名称:</w:t>
      </w:r>
    </w:p>
    <w:p w14:paraId="11551CB9">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设备名称:</w:t>
      </w:r>
    </w:p>
    <w:p w14:paraId="1EA39A88">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设备型号:</w:t>
      </w:r>
    </w:p>
    <w:p w14:paraId="5DFA0B37">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出厂日期:</w:t>
      </w:r>
    </w:p>
    <w:p w14:paraId="170A835F">
      <w:pPr>
        <w:spacing w:line="500" w:lineRule="exact"/>
        <w:ind w:firstLine="480" w:firstLineChars="200"/>
        <w:jc w:val="left"/>
        <w:rPr>
          <w:rFonts w:hint="eastAsia" w:asciiTheme="minorEastAsia" w:hAnsiTheme="minorEastAsia" w:eastAsiaTheme="minorEastAsia" w:cstheme="minorEastAsia"/>
          <w:color w:val="000000"/>
          <w:sz w:val="24"/>
          <w:szCs w:val="24"/>
          <w:lang w:val="zh-TW" w:eastAsia="zh-TW" w:bidi="zh-TW"/>
        </w:rPr>
      </w:pPr>
      <w:r>
        <w:rPr>
          <w:rFonts w:hint="eastAsia" w:asciiTheme="minorEastAsia" w:hAnsiTheme="minorEastAsia" w:eastAsiaTheme="minorEastAsia" w:cstheme="minorEastAsia"/>
          <w:color w:val="000000"/>
          <w:sz w:val="24"/>
          <w:szCs w:val="24"/>
          <w:lang w:val="zh-TW" w:eastAsia="zh-TW" w:bidi="zh-TW"/>
        </w:rPr>
        <w:t>出厂检验编码:</w:t>
      </w:r>
    </w:p>
    <w:p w14:paraId="0D25D767">
      <w:pPr>
        <w:pStyle w:val="19"/>
        <w:numPr>
          <w:ilvl w:val="0"/>
          <w:numId w:val="0"/>
        </w:numPr>
        <w:spacing w:line="500" w:lineRule="exact"/>
        <w:ind w:leftChars="0"/>
        <w:outlineLvl w:val="0"/>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6.技术资料和图纸交付</w:t>
      </w:r>
      <w:bookmarkEnd w:id="15"/>
    </w:p>
    <w:p w14:paraId="3BA0914D">
      <w:pPr>
        <w:pStyle w:val="5"/>
        <w:bidi w:val="0"/>
      </w:pPr>
      <w:r>
        <w:rPr>
          <w:rFonts w:hint="eastAsia"/>
          <w:lang w:val="en-US" w:eastAsia="en-US"/>
        </w:rPr>
        <w:t xml:space="preserve">6.1 </w:t>
      </w:r>
      <w:r>
        <w:rPr>
          <w:rFonts w:hint="eastAsia"/>
        </w:rPr>
        <w:t>一般要求</w:t>
      </w:r>
    </w:p>
    <w:p w14:paraId="01F0B305">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供方提供的资料应使用国家法定单位制即国际单位制，语言为中文。</w:t>
      </w:r>
    </w:p>
    <w:p w14:paraId="640BAD27">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2.</w:t>
      </w:r>
      <w:r>
        <w:rPr>
          <w:rFonts w:hint="eastAsia" w:asciiTheme="minorEastAsia" w:hAnsiTheme="minorEastAsia" w:eastAsiaTheme="minorEastAsia" w:cstheme="minorEastAsia"/>
          <w:sz w:val="24"/>
          <w:szCs w:val="24"/>
        </w:rPr>
        <w:t>资料的组织结构清晰、逻辑内容要正确、准确、一致、清晰、完整，满足工程要求。</w:t>
      </w:r>
    </w:p>
    <w:p w14:paraId="22B62715">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3.</w:t>
      </w:r>
      <w:r>
        <w:rPr>
          <w:rFonts w:hint="eastAsia" w:asciiTheme="minorEastAsia" w:hAnsiTheme="minorEastAsia" w:eastAsiaTheme="minorEastAsia" w:cstheme="minorEastAsia"/>
          <w:sz w:val="24"/>
          <w:szCs w:val="24"/>
        </w:rPr>
        <w:t>供方资料的提交及时充分，满足工程进度要求。</w:t>
      </w:r>
    </w:p>
    <w:p w14:paraId="2C1F9EFC">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4.</w:t>
      </w:r>
      <w:r>
        <w:rPr>
          <w:rFonts w:hint="eastAsia" w:asciiTheme="minorEastAsia" w:hAnsiTheme="minorEastAsia" w:eastAsiaTheme="minorEastAsia" w:cstheme="minorEastAsia"/>
          <w:sz w:val="24"/>
          <w:szCs w:val="24"/>
        </w:rPr>
        <w:t>对于其它没有列入合同技术资料清单，却是工程所必须的文件和资料，一经发现，供方也应及时免费提供。</w:t>
      </w:r>
    </w:p>
    <w:p w14:paraId="52AAA42F">
      <w:pPr>
        <w:pStyle w:val="5"/>
        <w:bidi w:val="0"/>
      </w:pPr>
      <w:r>
        <w:rPr>
          <w:rFonts w:hint="eastAsia"/>
          <w:lang w:val="en-US" w:eastAsia="zh-CN"/>
        </w:rPr>
        <w:t>6.</w:t>
      </w:r>
      <w:r>
        <w:rPr>
          <w:rFonts w:hint="eastAsia"/>
        </w:rPr>
        <w:t>2具体要求</w:t>
      </w:r>
    </w:p>
    <w:p w14:paraId="3CEC14D0">
      <w:pPr>
        <w:pStyle w:val="8"/>
        <w:spacing w:line="360" w:lineRule="auto"/>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val="en-US" w:eastAsia="zh-CN"/>
        </w:rPr>
        <w:t>1.</w:t>
      </w:r>
      <w:r>
        <w:rPr>
          <w:rFonts w:hint="eastAsia" w:asciiTheme="minorEastAsia" w:hAnsiTheme="minorEastAsia" w:eastAsiaTheme="minorEastAsia" w:cstheme="minorEastAsia"/>
          <w:szCs w:val="24"/>
          <w:lang w:eastAsia="zh-CN"/>
        </w:rPr>
        <w:t>供方提供给设计单位的图纸和技术资料中，1份是纸质资料，另1份要求是计算机用的CAD图，该CAD图必须可以用</w:t>
      </w:r>
      <w:r>
        <w:rPr>
          <w:rFonts w:hint="eastAsia" w:asciiTheme="minorEastAsia" w:hAnsiTheme="minorEastAsia" w:eastAsiaTheme="minorEastAsia" w:cstheme="minorEastAsia"/>
          <w:szCs w:val="24"/>
          <w:u w:val="single"/>
          <w:lang w:eastAsia="zh-CN"/>
        </w:rPr>
        <w:t>AutoCAD2000或AutoCAD R14软件打开和编辑</w:t>
      </w:r>
      <w:r>
        <w:rPr>
          <w:rFonts w:hint="eastAsia" w:asciiTheme="minorEastAsia" w:hAnsiTheme="minorEastAsia" w:eastAsiaTheme="minorEastAsia" w:cstheme="minorEastAsia"/>
          <w:szCs w:val="24"/>
          <w:lang w:eastAsia="zh-CN"/>
        </w:rPr>
        <w:t>。</w:t>
      </w:r>
    </w:p>
    <w:p w14:paraId="5EB3AAFD">
      <w:pPr>
        <w:pStyle w:val="8"/>
        <w:spacing w:line="360" w:lineRule="auto"/>
        <w:ind w:firstLine="480" w:firstLineChars="200"/>
        <w:rPr>
          <w:rFonts w:asciiTheme="minorEastAsia" w:hAnsiTheme="minorEastAsia" w:eastAsiaTheme="minorEastAsia" w:cstheme="minorEastAsia"/>
          <w:lang w:eastAsia="zh-CN"/>
        </w:rPr>
      </w:pPr>
      <w:r>
        <w:rPr>
          <w:rFonts w:hint="eastAsia" w:asciiTheme="minorEastAsia" w:hAnsiTheme="minorEastAsia" w:eastAsiaTheme="minorEastAsia" w:cstheme="minorEastAsia"/>
          <w:szCs w:val="24"/>
          <w:lang w:val="en-US" w:eastAsia="zh-CN"/>
        </w:rPr>
        <w:t>2.</w:t>
      </w:r>
      <w:r>
        <w:rPr>
          <w:rFonts w:hint="eastAsia" w:asciiTheme="minorEastAsia" w:hAnsiTheme="minorEastAsia" w:eastAsiaTheme="minorEastAsia" w:cstheme="minorEastAsia"/>
          <w:lang w:eastAsia="zh-CN"/>
        </w:rPr>
        <w:t>设计院提供电气主接线图作为投标方设计依据，投标方将设计完成后的电气主接线图、设计配置技术参数、电气二次图及箱式变外型尺寸，安装尺寸提交设计方，待设计方审核认定后返回投标方后方可生效。</w:t>
      </w:r>
    </w:p>
    <w:p w14:paraId="782F4280">
      <w:pPr>
        <w:pStyle w:val="8"/>
        <w:spacing w:line="360" w:lineRule="auto"/>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val="en-US" w:eastAsia="zh-CN"/>
        </w:rPr>
        <w:t>3.</w:t>
      </w:r>
      <w:r>
        <w:rPr>
          <w:rFonts w:hint="eastAsia" w:asciiTheme="minorEastAsia" w:hAnsiTheme="minorEastAsia" w:eastAsiaTheme="minorEastAsia" w:cstheme="minorEastAsia"/>
          <w:lang w:eastAsia="zh-CN"/>
        </w:rPr>
        <w:t>投标方在合同签订一周内除按以上要求提供资料外，还应提供如下资料：箱式变重量、平面布置图、结构组装图(平断面图)、基础平面图、一、二次原理接线图、二次展开图、屏面布置图、安装接线图（屏正面、背面）。并提供AutoCAD版本技术图一套（包括字库）给设计院。</w:t>
      </w:r>
    </w:p>
    <w:p w14:paraId="6C623157">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4.</w:t>
      </w:r>
      <w:r>
        <w:rPr>
          <w:rFonts w:hint="eastAsia" w:asciiTheme="minorEastAsia" w:hAnsiTheme="minorEastAsia" w:eastAsiaTheme="minorEastAsia" w:cstheme="minorEastAsia"/>
          <w:sz w:val="24"/>
          <w:szCs w:val="24"/>
        </w:rPr>
        <w:t>供方应提供满足合同设备性能检验/见证所需的全部技术资料。</w:t>
      </w:r>
    </w:p>
    <w:p w14:paraId="4C979E0B">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5.</w:t>
      </w:r>
      <w:r>
        <w:rPr>
          <w:rFonts w:hint="eastAsia" w:asciiTheme="minorEastAsia" w:hAnsiTheme="minorEastAsia" w:eastAsiaTheme="minorEastAsia" w:cstheme="minorEastAsia"/>
          <w:sz w:val="24"/>
          <w:szCs w:val="24"/>
        </w:rPr>
        <w:t>施工、调试、试运和运行维护所需的技术资料（需方提出具体清单和要求，供方细化，需方确认）</w:t>
      </w:r>
    </w:p>
    <w:p w14:paraId="51FD6B57">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6.</w:t>
      </w:r>
      <w:r>
        <w:rPr>
          <w:rFonts w:hint="eastAsia" w:asciiTheme="minorEastAsia" w:hAnsiTheme="minorEastAsia" w:eastAsiaTheme="minorEastAsia" w:cstheme="minorEastAsia"/>
          <w:sz w:val="24"/>
          <w:szCs w:val="24"/>
        </w:rPr>
        <w:t>供方应提供备品、配件总清单。</w:t>
      </w:r>
    </w:p>
    <w:p w14:paraId="0EF5DA82">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7.</w:t>
      </w:r>
      <w:r>
        <w:rPr>
          <w:rFonts w:hint="eastAsia" w:asciiTheme="minorEastAsia" w:hAnsiTheme="minorEastAsia" w:eastAsiaTheme="minorEastAsia" w:cstheme="minorEastAsia"/>
          <w:sz w:val="24"/>
          <w:szCs w:val="24"/>
        </w:rPr>
        <w:t>厂家在投标时必须提供的图纸资料</w:t>
      </w:r>
    </w:p>
    <w:p w14:paraId="59F59C8D">
      <w:pPr>
        <w:pStyle w:val="17"/>
        <w:spacing w:line="500" w:lineRule="exact"/>
        <w:ind w:firstLine="480" w:firstLineChars="20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bidi="en-US"/>
        </w:rPr>
        <w:t>8.</w:t>
      </w:r>
      <w:r>
        <w:rPr>
          <w:rFonts w:hint="eastAsia" w:asciiTheme="minorEastAsia" w:hAnsiTheme="minorEastAsia" w:eastAsiaTheme="minorEastAsia" w:cstheme="minorEastAsia"/>
          <w:sz w:val="24"/>
          <w:szCs w:val="24"/>
        </w:rPr>
        <w:t>箱变所用的主要设备（断路器、髙低压负荷开关、熔断器、</w:t>
      </w:r>
      <w:r>
        <w:rPr>
          <w:rFonts w:hint="eastAsia" w:asciiTheme="minorEastAsia" w:hAnsiTheme="minorEastAsia" w:eastAsiaTheme="minorEastAsia" w:cstheme="minorEastAsia"/>
          <w:sz w:val="24"/>
          <w:szCs w:val="24"/>
          <w:lang w:val="en-US" w:eastAsia="zh-CN" w:bidi="en-US"/>
        </w:rPr>
        <w:t>CT、PT、</w:t>
      </w:r>
      <w:r>
        <w:rPr>
          <w:rFonts w:hint="eastAsia" w:asciiTheme="minorEastAsia" w:hAnsiTheme="minorEastAsia" w:eastAsiaTheme="minorEastAsia" w:cstheme="minorEastAsia"/>
          <w:sz w:val="24"/>
          <w:szCs w:val="24"/>
        </w:rPr>
        <w:t>电容器、无功自动补偿装置、电缆头、带电显示器等），应在投标书中提供厂商、牌号、型号，以表格的型式表示。进口材料提供进口报关单复印件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若有</w:t>
      </w:r>
      <w:r>
        <w:rPr>
          <w:rFonts w:hint="eastAsia" w:asciiTheme="minorEastAsia" w:hAnsiTheme="minorEastAsia" w:eastAsiaTheme="minorEastAsia" w:cstheme="minorEastAsia"/>
          <w:sz w:val="24"/>
          <w:szCs w:val="24"/>
          <w:lang w:eastAsia="zh-CN"/>
        </w:rPr>
        <w:t>）。</w:t>
      </w:r>
    </w:p>
    <w:p w14:paraId="7E399F5C">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9.</w:t>
      </w:r>
      <w:r>
        <w:rPr>
          <w:rFonts w:hint="eastAsia" w:asciiTheme="minorEastAsia" w:hAnsiTheme="minorEastAsia" w:eastAsiaTheme="minorEastAsia" w:cstheme="minorEastAsia"/>
          <w:sz w:val="24"/>
          <w:szCs w:val="24"/>
        </w:rPr>
        <w:t>投标书中应提供产品生产厂的主要生产设备和试验仪器设备的厂家、主要参数、投入使用时间，以表格的型式表示。</w:t>
      </w:r>
    </w:p>
    <w:p w14:paraId="4ADCD639">
      <w:pPr>
        <w:pStyle w:val="17"/>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10.</w:t>
      </w:r>
      <w:r>
        <w:rPr>
          <w:rFonts w:hint="eastAsia" w:asciiTheme="minorEastAsia" w:hAnsiTheme="minorEastAsia" w:eastAsiaTheme="minorEastAsia" w:cstheme="minorEastAsia"/>
          <w:sz w:val="24"/>
          <w:szCs w:val="24"/>
        </w:rPr>
        <w:t>供方提供在设计、制造时所遵循的规范、标准和规定清单。</w:t>
      </w:r>
    </w:p>
    <w:p w14:paraId="254900B5">
      <w:pPr>
        <w:pStyle w:val="17"/>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11.</w:t>
      </w:r>
      <w:r>
        <w:rPr>
          <w:rFonts w:hint="eastAsia" w:asciiTheme="minorEastAsia" w:hAnsiTheme="minorEastAsia" w:eastAsiaTheme="minorEastAsia" w:cstheme="minorEastAsia"/>
          <w:sz w:val="24"/>
          <w:szCs w:val="24"/>
        </w:rPr>
        <w:t>详细的产品质量文件，外形尺寸和性能检验等的证明。</w:t>
      </w:r>
    </w:p>
    <w:p w14:paraId="44422D5C">
      <w:pPr>
        <w:pStyle w:val="19"/>
        <w:numPr>
          <w:ilvl w:val="0"/>
          <w:numId w:val="0"/>
        </w:numPr>
        <w:spacing w:line="500" w:lineRule="exact"/>
        <w:ind w:leftChars="0"/>
        <w:outlineLvl w:val="0"/>
        <w:rPr>
          <w:rFonts w:asciiTheme="minorEastAsia" w:hAnsiTheme="minorEastAsia" w:eastAsiaTheme="minorEastAsia" w:cstheme="minorEastAsia"/>
          <w:b/>
          <w:bCs/>
          <w:sz w:val="28"/>
          <w:szCs w:val="28"/>
          <w:lang w:val="en-US" w:eastAsia="zh-CN"/>
        </w:rPr>
      </w:pPr>
      <w:bookmarkStart w:id="16" w:name="_Toc10193"/>
      <w:r>
        <w:rPr>
          <w:rFonts w:hint="eastAsia" w:asciiTheme="minorEastAsia" w:hAnsiTheme="minorEastAsia" w:eastAsiaTheme="minorEastAsia" w:cstheme="minorEastAsia"/>
          <w:b/>
          <w:bCs/>
          <w:sz w:val="28"/>
          <w:szCs w:val="28"/>
          <w:lang w:val="en-US" w:eastAsia="zh-CN"/>
        </w:rPr>
        <w:t>7.运输要求</w:t>
      </w:r>
      <w:bookmarkEnd w:id="16"/>
    </w:p>
    <w:p w14:paraId="32D5EB4D">
      <w:pPr>
        <w:pStyle w:val="17"/>
        <w:spacing w:line="500" w:lineRule="exact"/>
        <w:ind w:firstLine="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7.1</w:t>
      </w:r>
      <w:r>
        <w:rPr>
          <w:rFonts w:hint="eastAsia" w:asciiTheme="minorEastAsia" w:hAnsiTheme="minorEastAsia" w:eastAsiaTheme="minorEastAsia" w:cstheme="minorEastAsia"/>
          <w:sz w:val="24"/>
          <w:szCs w:val="24"/>
        </w:rPr>
        <w:t>产品经妥善包装或装箱后，在运输过程中应采取其它防护措施，以免散失损坏或丢失。</w:t>
      </w:r>
    </w:p>
    <w:p w14:paraId="6B1D3580">
      <w:pPr>
        <w:pStyle w:val="17"/>
        <w:spacing w:line="500" w:lineRule="exact"/>
        <w:ind w:firstLine="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7.2</w:t>
      </w:r>
      <w:r>
        <w:rPr>
          <w:rFonts w:hint="eastAsia" w:asciiTheme="minorEastAsia" w:hAnsiTheme="minorEastAsia" w:eastAsiaTheme="minorEastAsia" w:cstheme="minorEastAsia"/>
          <w:sz w:val="24"/>
          <w:szCs w:val="24"/>
        </w:rPr>
        <w:t>包装应考虑便于现场卸货、搬运和安装。散件应装箱或捆扎，大件的包装箱上应有起吊图纸说明。各种包装应能确保各零部件在运输过程中不致遭到损坏、丢失、变形、受潮和腐蚀。</w:t>
      </w:r>
    </w:p>
    <w:p w14:paraId="6F813469">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7.3</w:t>
      </w:r>
      <w:r>
        <w:rPr>
          <w:rFonts w:hint="eastAsia" w:asciiTheme="minorEastAsia" w:hAnsiTheme="minorEastAsia" w:eastAsiaTheme="minorEastAsia" w:cstheme="minorEastAsia"/>
          <w:sz w:val="24"/>
          <w:szCs w:val="24"/>
        </w:rPr>
        <w:t>所有包装上应有以下标志：</w:t>
      </w:r>
    </w:p>
    <w:p w14:paraId="79076D65">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装运标志；</w:t>
      </w:r>
    </w:p>
    <w:p w14:paraId="4DA13AB6">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发货及到货地点、发货及收货单位、人；</w:t>
      </w:r>
    </w:p>
    <w:p w14:paraId="7ADAC75D">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设备名称和合同号、箱号；</w:t>
      </w:r>
    </w:p>
    <w:p w14:paraId="5740C000">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外形尺寸、毛/净重量；</w:t>
      </w:r>
    </w:p>
    <w:p w14:paraId="52C3FE94">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7.4</w:t>
      </w:r>
      <w:r>
        <w:rPr>
          <w:rFonts w:hint="eastAsia" w:asciiTheme="minorEastAsia" w:hAnsiTheme="minorEastAsia" w:eastAsiaTheme="minorEastAsia" w:cstheme="minorEastAsia"/>
          <w:sz w:val="24"/>
          <w:szCs w:val="24"/>
        </w:rPr>
        <w:t>运输</w:t>
      </w:r>
    </w:p>
    <w:p w14:paraId="7A0CE5DD">
      <w:pPr>
        <w:pStyle w:val="17"/>
        <w:spacing w:line="5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bidi="en-US"/>
        </w:rPr>
        <w:t>1.</w:t>
      </w:r>
      <w:r>
        <w:rPr>
          <w:rFonts w:hint="eastAsia" w:asciiTheme="minorEastAsia" w:hAnsiTheme="minorEastAsia" w:eastAsiaTheme="minorEastAsia" w:cstheme="minorEastAsia"/>
          <w:sz w:val="24"/>
          <w:szCs w:val="24"/>
        </w:rPr>
        <w:t>运输手续（包括保险）由供方办理，途中押运由供方负责，运输费用由供方承担（即由供方送达需方指定地点）。</w:t>
      </w:r>
    </w:p>
    <w:p w14:paraId="7930EC90">
      <w:pPr>
        <w:pStyle w:val="17"/>
        <w:spacing w:line="5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供方发货后3天内电告需方，并将发运提货等有关单据一式三份用快件寄给需方。需方接货时双方共同开箱清点，开箱中发现问题由供方负责处理</w:t>
      </w:r>
      <w:r>
        <w:rPr>
          <w:rFonts w:hint="eastAsia" w:asciiTheme="minorEastAsia" w:hAnsiTheme="minorEastAsia" w:eastAsiaTheme="minorEastAsia" w:cstheme="minorEastAsia"/>
          <w:sz w:val="24"/>
          <w:szCs w:val="24"/>
          <w:lang w:eastAsia="zh-CN"/>
        </w:rPr>
        <w:t>。</w:t>
      </w:r>
    </w:p>
    <w:p w14:paraId="7CE06A73">
      <w:pPr>
        <w:pStyle w:val="19"/>
        <w:numPr>
          <w:ilvl w:val="0"/>
          <w:numId w:val="0"/>
        </w:numPr>
        <w:spacing w:line="500" w:lineRule="exact"/>
        <w:ind w:leftChars="0"/>
        <w:outlineLvl w:val="0"/>
        <w:rPr>
          <w:rFonts w:asciiTheme="minorEastAsia" w:hAnsiTheme="minorEastAsia" w:eastAsiaTheme="minorEastAsia" w:cstheme="minorEastAsia"/>
          <w:b/>
          <w:bCs/>
          <w:sz w:val="28"/>
          <w:szCs w:val="28"/>
          <w:lang w:val="en-US" w:eastAsia="zh-CN"/>
        </w:rPr>
      </w:pPr>
      <w:bookmarkStart w:id="17" w:name="_Toc14414"/>
      <w:r>
        <w:rPr>
          <w:rFonts w:hint="eastAsia" w:asciiTheme="minorEastAsia" w:hAnsiTheme="minorEastAsia" w:eastAsiaTheme="minorEastAsia" w:cstheme="minorEastAsia"/>
          <w:b/>
          <w:bCs/>
          <w:sz w:val="28"/>
          <w:szCs w:val="28"/>
          <w:lang w:val="en-US" w:eastAsia="zh-CN"/>
        </w:rPr>
        <w:t>8.技术服务与设计联络</w:t>
      </w:r>
      <w:bookmarkEnd w:id="17"/>
    </w:p>
    <w:p w14:paraId="4755A205">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8.1</w:t>
      </w:r>
      <w:r>
        <w:rPr>
          <w:rFonts w:hint="eastAsia" w:asciiTheme="minorEastAsia" w:hAnsiTheme="minorEastAsia" w:eastAsiaTheme="minorEastAsia" w:cstheme="minorEastAsia"/>
          <w:sz w:val="24"/>
          <w:szCs w:val="24"/>
        </w:rPr>
        <w:t>合同签订后，供方应指定负责本工程的负责人，负责协调供方在工程中的各项工作，如设计图纸、工程进度、设备制造、包装运输、现场安装、调试验收等。</w:t>
      </w:r>
    </w:p>
    <w:p w14:paraId="2866CAF8">
      <w:pPr>
        <w:pStyle w:val="17"/>
        <w:spacing w:line="500" w:lineRule="exact"/>
        <w:ind w:firstLine="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2供需双方可根据工程需要召开工程联络协调会议或其他形式解决设计和制造中的问题。</w:t>
      </w:r>
    </w:p>
    <w:p w14:paraId="5784A3F2">
      <w:pPr>
        <w:pStyle w:val="17"/>
        <w:spacing w:line="500" w:lineRule="exact"/>
        <w:ind w:firstLine="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8.3工</w:t>
      </w:r>
      <w:r>
        <w:rPr>
          <w:rFonts w:hint="eastAsia" w:asciiTheme="minorEastAsia" w:hAnsiTheme="minorEastAsia" w:eastAsiaTheme="minorEastAsia" w:cstheme="minorEastAsia"/>
          <w:sz w:val="24"/>
          <w:szCs w:val="24"/>
        </w:rPr>
        <w:t>程文件的交接要有记录，联络协调会议应有会议纪要</w:t>
      </w:r>
      <w:r>
        <w:rPr>
          <w:rFonts w:hint="eastAsia" w:asciiTheme="minorEastAsia" w:hAnsiTheme="minorEastAsia" w:eastAsiaTheme="minorEastAsia" w:cstheme="minorEastAsia"/>
          <w:sz w:val="24"/>
          <w:szCs w:val="24"/>
          <w:lang w:eastAsia="zh-CN"/>
        </w:rPr>
        <w:t>。</w:t>
      </w:r>
    </w:p>
    <w:p w14:paraId="2E877E06">
      <w:pPr>
        <w:pStyle w:val="19"/>
        <w:numPr>
          <w:ilvl w:val="0"/>
          <w:numId w:val="0"/>
        </w:numPr>
        <w:spacing w:line="500" w:lineRule="exact"/>
        <w:ind w:leftChars="0"/>
        <w:outlineLvl w:val="0"/>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9.其他</w:t>
      </w:r>
    </w:p>
    <w:p w14:paraId="4CE66387">
      <w:pPr>
        <w:pStyle w:val="17"/>
        <w:spacing w:line="500" w:lineRule="exact"/>
        <w:ind w:firstLine="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9.1本协议内容经由甲乙双方于    年   月   日   时-   时通过</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方式商定。</w:t>
      </w:r>
    </w:p>
    <w:p w14:paraId="65C5A3F9">
      <w:pPr>
        <w:pStyle w:val="17"/>
        <w:spacing w:line="500" w:lineRule="exact"/>
        <w:ind w:firstLine="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9.2甲乙双方应当就签订本协议的相关事宜保密，不得将签订主体、时间、内容等信息透露给其他第三人。</w:t>
      </w:r>
    </w:p>
    <w:p w14:paraId="66CE7A53">
      <w:pPr>
        <w:pStyle w:val="17"/>
        <w:spacing w:line="500" w:lineRule="exact"/>
        <w:ind w:firstLine="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9.3此协议具有同等法律效力，但若乙方不能中标，则本技术规格书自动失效，双方互不承担任何责任。本技术规格书为附生效条件的合同，以主合同的生效为前提条件。</w:t>
      </w:r>
    </w:p>
    <w:p w14:paraId="34D4C45F">
      <w:pPr>
        <w:pStyle w:val="17"/>
        <w:spacing w:line="500" w:lineRule="exact"/>
        <w:ind w:firstLine="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9.4其它未尽事宜，双方协商解决。</w:t>
      </w:r>
    </w:p>
    <w:p w14:paraId="6B6B07AE">
      <w:pPr>
        <w:pStyle w:val="17"/>
        <w:numPr>
          <w:ilvl w:val="0"/>
          <w:numId w:val="0"/>
        </w:numPr>
        <w:spacing w:line="500" w:lineRule="exact"/>
        <w:rPr>
          <w:rFonts w:hint="default" w:asciiTheme="minorEastAsia" w:hAnsiTheme="minorEastAsia" w:eastAsiaTheme="minorEastAsia" w:cstheme="minorEastAsia"/>
          <w:sz w:val="24"/>
          <w:szCs w:val="24"/>
          <w:lang w:val="en-US" w:eastAsia="zh-CN"/>
        </w:rPr>
      </w:pPr>
    </w:p>
    <w:p w14:paraId="041025A0">
      <w:pPr>
        <w:pStyle w:val="17"/>
        <w:tabs>
          <w:tab w:val="left" w:pos="759"/>
        </w:tabs>
        <w:spacing w:line="240" w:lineRule="auto"/>
        <w:ind w:left="440" w:firstLine="0"/>
        <w:jc w:val="both"/>
        <w:rPr>
          <w:rFonts w:asciiTheme="minorEastAsia" w:hAnsiTheme="minorEastAsia" w:eastAsiaTheme="minorEastAsia" w:cstheme="minorEastAsia"/>
          <w:sz w:val="24"/>
          <w:szCs w:val="24"/>
          <w:lang w:val="en-US" w:eastAsia="zh-CN" w:bidi="en-US"/>
        </w:rPr>
      </w:pPr>
    </w:p>
    <w:p w14:paraId="4F696742">
      <w:pPr>
        <w:pStyle w:val="17"/>
        <w:tabs>
          <w:tab w:val="left" w:pos="759"/>
        </w:tabs>
        <w:spacing w:line="240" w:lineRule="auto"/>
        <w:jc w:val="both"/>
        <w:rPr>
          <w:rFonts w:asciiTheme="minorEastAsia" w:hAnsiTheme="minorEastAsia" w:eastAsiaTheme="minorEastAsia" w:cstheme="minorEastAsia"/>
          <w:sz w:val="24"/>
          <w:szCs w:val="24"/>
          <w:lang w:val="en-US" w:eastAsia="zh-CN" w:bidi="en-US"/>
        </w:rPr>
      </w:pPr>
    </w:p>
    <w:p w14:paraId="7A21115A">
      <w:pPr>
        <w:pStyle w:val="17"/>
        <w:tabs>
          <w:tab w:val="left" w:pos="759"/>
        </w:tabs>
        <w:spacing w:line="240" w:lineRule="auto"/>
        <w:jc w:val="both"/>
        <w:rPr>
          <w:rFonts w:asciiTheme="minorEastAsia" w:hAnsiTheme="minorEastAsia" w:eastAsiaTheme="minorEastAsia" w:cstheme="minorEastAsia"/>
          <w:sz w:val="24"/>
          <w:szCs w:val="24"/>
          <w:lang w:val="en-US" w:eastAsia="zh-CN" w:bidi="en-US"/>
        </w:rPr>
      </w:pPr>
    </w:p>
    <w:p w14:paraId="7F45455B">
      <w:pPr>
        <w:pStyle w:val="17"/>
        <w:tabs>
          <w:tab w:val="left" w:pos="759"/>
        </w:tabs>
        <w:spacing w:line="240" w:lineRule="auto"/>
        <w:ind w:left="0" w:leftChars="0" w:firstLine="0" w:firstLineChars="0"/>
        <w:jc w:val="both"/>
        <w:rPr>
          <w:rFonts w:asciiTheme="minorEastAsia" w:hAnsiTheme="minorEastAsia" w:eastAsiaTheme="minorEastAsia" w:cstheme="minorEastAsia"/>
          <w:sz w:val="24"/>
          <w:szCs w:val="24"/>
          <w:lang w:val="en-US" w:eastAsia="zh-CN" w:bidi="en-US"/>
        </w:rPr>
      </w:pPr>
    </w:p>
    <w:p w14:paraId="7025B75B">
      <w:pPr>
        <w:pStyle w:val="17"/>
        <w:tabs>
          <w:tab w:val="left" w:pos="759"/>
        </w:tabs>
        <w:spacing w:line="240" w:lineRule="auto"/>
        <w:ind w:left="0" w:leftChars="0" w:firstLine="0" w:firstLineChars="0"/>
        <w:jc w:val="both"/>
        <w:rPr>
          <w:rFonts w:asciiTheme="minorEastAsia" w:hAnsiTheme="minorEastAsia" w:eastAsiaTheme="minorEastAsia" w:cstheme="minorEastAsia"/>
          <w:sz w:val="24"/>
          <w:szCs w:val="24"/>
          <w:lang w:val="en-US" w:eastAsia="zh-CN" w:bidi="en-US"/>
        </w:rPr>
      </w:pPr>
    </w:p>
    <w:p w14:paraId="2E35D99F">
      <w:pPr>
        <w:spacing w:line="360" w:lineRule="auto"/>
        <w:rPr>
          <w:rFonts w:hint="eastAsia"/>
          <w:sz w:val="30"/>
        </w:rPr>
      </w:pPr>
      <w:r>
        <w:rPr>
          <w:rFonts w:hint="eastAsia"/>
          <w:sz w:val="30"/>
        </w:rPr>
        <w:t>供方单位（</w:t>
      </w:r>
      <w:r>
        <w:rPr>
          <w:rFonts w:hint="eastAsia" w:eastAsia="宋体"/>
          <w:sz w:val="30"/>
          <w:lang w:val="en-US" w:eastAsia="zh-CN"/>
        </w:rPr>
        <w:t>合同专用</w:t>
      </w:r>
      <w:r>
        <w:rPr>
          <w:rFonts w:hint="eastAsia"/>
          <w:sz w:val="30"/>
        </w:rPr>
        <w:t>盖章）：    需方单位（</w:t>
      </w:r>
      <w:r>
        <w:rPr>
          <w:rFonts w:hint="eastAsia" w:eastAsia="宋体"/>
          <w:sz w:val="30"/>
          <w:lang w:val="en-US" w:eastAsia="zh-CN"/>
        </w:rPr>
        <w:t>合同专用</w:t>
      </w:r>
      <w:r>
        <w:rPr>
          <w:rFonts w:hint="eastAsia"/>
          <w:sz w:val="30"/>
        </w:rPr>
        <w:t>盖章）：</w:t>
      </w:r>
    </w:p>
    <w:p w14:paraId="20C89CCC">
      <w:pPr>
        <w:spacing w:line="360" w:lineRule="auto"/>
        <w:rPr>
          <w:rFonts w:hint="eastAsia"/>
          <w:sz w:val="30"/>
        </w:rPr>
      </w:pPr>
      <w:r>
        <w:rPr>
          <w:rFonts w:hint="eastAsia"/>
          <w:sz w:val="30"/>
        </w:rPr>
        <w:t>代表：                        代表：</w:t>
      </w:r>
    </w:p>
    <w:p w14:paraId="5F12F071">
      <w:pPr>
        <w:spacing w:line="360" w:lineRule="auto"/>
        <w:rPr>
          <w:sz w:val="30"/>
        </w:rPr>
      </w:pPr>
      <w:r>
        <w:rPr>
          <w:rFonts w:hint="eastAsia"/>
          <w:sz w:val="30"/>
        </w:rPr>
        <w:t>日期：                        日期：</w:t>
      </w:r>
    </w:p>
    <w:p w14:paraId="1FFAC7B6">
      <w:pPr>
        <w:rPr>
          <w:rFonts w:asciiTheme="minorEastAsia" w:hAnsiTheme="minorEastAsia" w:eastAsiaTheme="minorEastAsia" w:cstheme="minorEastAsia"/>
          <w:lang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C34D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0552D">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888629">
                          <w:pPr>
                            <w:pStyle w:val="9"/>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888629">
                    <w:pPr>
                      <w:pStyle w:val="9"/>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1"/>
    <w:multiLevelType w:val="multilevel"/>
    <w:tmpl w:val="00000031"/>
    <w:lvl w:ilvl="0" w:tentative="0">
      <w:start w:val="1"/>
      <w:numFmt w:val="lowerLetter"/>
      <w:pStyle w:val="30"/>
      <w:lvlText w:val="%1)"/>
      <w:lvlJc w:val="left"/>
      <w:pPr>
        <w:tabs>
          <w:tab w:val="left" w:pos="840"/>
        </w:tabs>
        <w:ind w:left="839" w:hanging="419"/>
      </w:pPr>
      <w:rPr>
        <w:rFonts w:hint="eastAsia" w:ascii="宋体" w:eastAsia="宋体"/>
        <w:b w:val="0"/>
        <w:i w:val="0"/>
        <w:sz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0000045"/>
    <w:multiLevelType w:val="multilevel"/>
    <w:tmpl w:val="00000045"/>
    <w:lvl w:ilvl="0" w:tentative="0">
      <w:start w:val="1"/>
      <w:numFmt w:val="decimal"/>
      <w:suff w:val="nothing"/>
      <w:lvlText w:val="%1　"/>
      <w:lvlJc w:val="left"/>
      <w:pPr>
        <w:ind w:left="0" w:firstLine="0"/>
      </w:pPr>
      <w:rPr>
        <w:rFonts w:hint="eastAsia" w:ascii="黑体" w:hAnsi="Times New Roman" w:eastAsia="黑体"/>
        <w:b w:val="0"/>
        <w:i w:val="0"/>
        <w:sz w:val="21"/>
      </w:rPr>
    </w:lvl>
    <w:lvl w:ilvl="1" w:tentative="0">
      <w:start w:val="1"/>
      <w:numFmt w:val="decimal"/>
      <w:pStyle w:val="27"/>
      <w:suff w:val="nothing"/>
      <w:lvlText w:val="%1.%2　"/>
      <w:lvlJc w:val="left"/>
      <w:pPr>
        <w:ind w:left="0" w:firstLine="0"/>
      </w:pPr>
      <w:rPr>
        <w:rFonts w:hint="eastAsia" w:ascii="黑体" w:hAnsi="Times New Roman" w:eastAsia="黑体"/>
        <w:b w:val="0"/>
        <w:i w:val="0"/>
        <w:caps w:val="0"/>
        <w:strike w:val="0"/>
        <w:dstrike w:val="0"/>
        <w:vanish w:val="0"/>
        <w:spacing w:val="0"/>
        <w:kern w:val="0"/>
        <w:position w:val="0"/>
        <w:sz w:val="21"/>
        <w:u w:val="none"/>
        <w:vertAlign w:val="baseline"/>
      </w:rPr>
    </w:lvl>
    <w:lvl w:ilvl="2" w:tentative="0">
      <w:start w:val="1"/>
      <w:numFmt w:val="decimal"/>
      <w:pStyle w:val="29"/>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A5BEE09"/>
    <w:multiLevelType w:val="singleLevel"/>
    <w:tmpl w:val="4A5BEE09"/>
    <w:lvl w:ilvl="0" w:tentative="0">
      <w:start w:val="5"/>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iY2YyMjI3OTQyMWQ4YjM1OTAxODI4MzhiYmI3NTAifQ=="/>
  </w:docVars>
  <w:rsids>
    <w:rsidRoot w:val="53E25BD2"/>
    <w:rsid w:val="001A3085"/>
    <w:rsid w:val="008B0FDA"/>
    <w:rsid w:val="00A92258"/>
    <w:rsid w:val="00CC5A83"/>
    <w:rsid w:val="00E548CE"/>
    <w:rsid w:val="01F6139B"/>
    <w:rsid w:val="04FB1CE6"/>
    <w:rsid w:val="0579641A"/>
    <w:rsid w:val="060A4DB8"/>
    <w:rsid w:val="07087FBF"/>
    <w:rsid w:val="072A0797"/>
    <w:rsid w:val="0AC517BA"/>
    <w:rsid w:val="0AEB19E3"/>
    <w:rsid w:val="0B013552"/>
    <w:rsid w:val="0B874515"/>
    <w:rsid w:val="0C464C6C"/>
    <w:rsid w:val="0CC95D5A"/>
    <w:rsid w:val="0CEC743A"/>
    <w:rsid w:val="0DC43F13"/>
    <w:rsid w:val="0E333D5D"/>
    <w:rsid w:val="0F55637C"/>
    <w:rsid w:val="0F646669"/>
    <w:rsid w:val="105A6942"/>
    <w:rsid w:val="10716158"/>
    <w:rsid w:val="10BB1F20"/>
    <w:rsid w:val="10C566D1"/>
    <w:rsid w:val="114C5B6A"/>
    <w:rsid w:val="116C6FDB"/>
    <w:rsid w:val="11815A5D"/>
    <w:rsid w:val="11DD55A3"/>
    <w:rsid w:val="11FC1ECD"/>
    <w:rsid w:val="12327BC5"/>
    <w:rsid w:val="1248667B"/>
    <w:rsid w:val="13B11754"/>
    <w:rsid w:val="14A524AC"/>
    <w:rsid w:val="1528122B"/>
    <w:rsid w:val="15F232D8"/>
    <w:rsid w:val="16B30E73"/>
    <w:rsid w:val="182C6725"/>
    <w:rsid w:val="18763E6B"/>
    <w:rsid w:val="190925C8"/>
    <w:rsid w:val="1A361CF4"/>
    <w:rsid w:val="1A824F3A"/>
    <w:rsid w:val="1B2E6E70"/>
    <w:rsid w:val="1B4D379A"/>
    <w:rsid w:val="1B8E704A"/>
    <w:rsid w:val="1BB731B7"/>
    <w:rsid w:val="1BB94B3A"/>
    <w:rsid w:val="1C723EF4"/>
    <w:rsid w:val="1E860C1B"/>
    <w:rsid w:val="1EB74C24"/>
    <w:rsid w:val="1F8266D4"/>
    <w:rsid w:val="20770F17"/>
    <w:rsid w:val="2144119B"/>
    <w:rsid w:val="21F4671D"/>
    <w:rsid w:val="222F5786"/>
    <w:rsid w:val="22797B69"/>
    <w:rsid w:val="23314A84"/>
    <w:rsid w:val="23892362"/>
    <w:rsid w:val="24EC38BD"/>
    <w:rsid w:val="255E7F9B"/>
    <w:rsid w:val="26770E1B"/>
    <w:rsid w:val="271A3B30"/>
    <w:rsid w:val="280671AA"/>
    <w:rsid w:val="28537E59"/>
    <w:rsid w:val="2999526D"/>
    <w:rsid w:val="29DE03D8"/>
    <w:rsid w:val="2AE609C2"/>
    <w:rsid w:val="2AE70D34"/>
    <w:rsid w:val="2AF361A3"/>
    <w:rsid w:val="2E99665B"/>
    <w:rsid w:val="31764F3E"/>
    <w:rsid w:val="31A92BBF"/>
    <w:rsid w:val="32225EC5"/>
    <w:rsid w:val="37CC6CEC"/>
    <w:rsid w:val="39EE5584"/>
    <w:rsid w:val="3AE05FBF"/>
    <w:rsid w:val="3B681B50"/>
    <w:rsid w:val="3B7C7D71"/>
    <w:rsid w:val="3D18493A"/>
    <w:rsid w:val="3D766F81"/>
    <w:rsid w:val="3DBD1649"/>
    <w:rsid w:val="3E134B43"/>
    <w:rsid w:val="402F7482"/>
    <w:rsid w:val="41DB5143"/>
    <w:rsid w:val="42F500EF"/>
    <w:rsid w:val="43935578"/>
    <w:rsid w:val="43DB309E"/>
    <w:rsid w:val="44564BBE"/>
    <w:rsid w:val="44875C23"/>
    <w:rsid w:val="44A26F9D"/>
    <w:rsid w:val="44A6597B"/>
    <w:rsid w:val="44AD517B"/>
    <w:rsid w:val="44BF6C07"/>
    <w:rsid w:val="4558450C"/>
    <w:rsid w:val="4571704B"/>
    <w:rsid w:val="490B367B"/>
    <w:rsid w:val="49C279CC"/>
    <w:rsid w:val="4ADA5867"/>
    <w:rsid w:val="4B320CA1"/>
    <w:rsid w:val="4D066DA2"/>
    <w:rsid w:val="4DD94895"/>
    <w:rsid w:val="4E6A5DDD"/>
    <w:rsid w:val="4F507CED"/>
    <w:rsid w:val="50AC42D1"/>
    <w:rsid w:val="51706487"/>
    <w:rsid w:val="52A82CE7"/>
    <w:rsid w:val="537D6E41"/>
    <w:rsid w:val="538A235C"/>
    <w:rsid w:val="53A67D45"/>
    <w:rsid w:val="53CD4001"/>
    <w:rsid w:val="53E25BD2"/>
    <w:rsid w:val="547E7DEA"/>
    <w:rsid w:val="55073BC6"/>
    <w:rsid w:val="55D46A58"/>
    <w:rsid w:val="56040631"/>
    <w:rsid w:val="56A96530"/>
    <w:rsid w:val="56EA71F8"/>
    <w:rsid w:val="579C22AA"/>
    <w:rsid w:val="58DA4CCC"/>
    <w:rsid w:val="58EE3CC3"/>
    <w:rsid w:val="591075D9"/>
    <w:rsid w:val="5B842469"/>
    <w:rsid w:val="5C0A6B94"/>
    <w:rsid w:val="5CB62246"/>
    <w:rsid w:val="5CFD1C22"/>
    <w:rsid w:val="5D382D4F"/>
    <w:rsid w:val="5DA46262"/>
    <w:rsid w:val="5DD25814"/>
    <w:rsid w:val="5EAD672C"/>
    <w:rsid w:val="5EDC1679"/>
    <w:rsid w:val="5EE55C01"/>
    <w:rsid w:val="613E3604"/>
    <w:rsid w:val="615D51BF"/>
    <w:rsid w:val="62D027D1"/>
    <w:rsid w:val="642E3491"/>
    <w:rsid w:val="64664551"/>
    <w:rsid w:val="651F6D01"/>
    <w:rsid w:val="65F32FBC"/>
    <w:rsid w:val="665A26FE"/>
    <w:rsid w:val="66C11F13"/>
    <w:rsid w:val="67A6170A"/>
    <w:rsid w:val="693949F3"/>
    <w:rsid w:val="6AD97E3D"/>
    <w:rsid w:val="6B71674D"/>
    <w:rsid w:val="6CF71E95"/>
    <w:rsid w:val="6DD036FC"/>
    <w:rsid w:val="6EA153B5"/>
    <w:rsid w:val="6EFA63AC"/>
    <w:rsid w:val="6FBC09FC"/>
    <w:rsid w:val="71230610"/>
    <w:rsid w:val="72AB288E"/>
    <w:rsid w:val="7384376C"/>
    <w:rsid w:val="749F7D37"/>
    <w:rsid w:val="7514424C"/>
    <w:rsid w:val="752F3455"/>
    <w:rsid w:val="75D51537"/>
    <w:rsid w:val="764C17F9"/>
    <w:rsid w:val="76DE4611"/>
    <w:rsid w:val="7762504C"/>
    <w:rsid w:val="779A6F29"/>
    <w:rsid w:val="781A3FD2"/>
    <w:rsid w:val="789B74FF"/>
    <w:rsid w:val="7A3E1C01"/>
    <w:rsid w:val="7A8D23E0"/>
    <w:rsid w:val="7BA5730C"/>
    <w:rsid w:val="7C857EBF"/>
    <w:rsid w:val="7C9808D7"/>
    <w:rsid w:val="7D796D3C"/>
    <w:rsid w:val="7DB761CC"/>
    <w:rsid w:val="7DE13349"/>
    <w:rsid w:val="7F640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4">
    <w:name w:val="heading 1"/>
    <w:basedOn w:val="1"/>
    <w:next w:val="1"/>
    <w:qFormat/>
    <w:uiPriority w:val="0"/>
    <w:pPr>
      <w:keepNext/>
      <w:keepLines/>
      <w:spacing w:line="240" w:lineRule="auto"/>
      <w:outlineLvl w:val="0"/>
    </w:pPr>
    <w:rPr>
      <w:rFonts w:ascii="Calibri" w:hAnsi="Calibri" w:eastAsia="宋体"/>
      <w:b/>
      <w:bCs/>
      <w:kern w:val="44"/>
      <w:sz w:val="32"/>
      <w:szCs w:val="32"/>
    </w:rPr>
  </w:style>
  <w:style w:type="paragraph" w:styleId="5">
    <w:name w:val="heading 2"/>
    <w:basedOn w:val="1"/>
    <w:next w:val="1"/>
    <w:link w:val="31"/>
    <w:qFormat/>
    <w:uiPriority w:val="0"/>
    <w:pPr>
      <w:keepNext/>
      <w:keepLines/>
      <w:spacing w:beforeLines="0" w:beforeAutospacing="0" w:afterLines="0" w:afterAutospacing="0" w:line="240" w:lineRule="auto"/>
      <w:outlineLvl w:val="1"/>
    </w:pPr>
    <w:rPr>
      <w:rFonts w:ascii="Arial" w:hAnsi="Arial" w:eastAsia="宋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120"/>
      <w:jc w:val="center"/>
    </w:pPr>
    <w:rPr>
      <w:rFonts w:eastAsia="楷体_GB2312"/>
      <w:sz w:val="28"/>
    </w:rPr>
  </w:style>
  <w:style w:type="paragraph" w:styleId="3">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paragraph" w:styleId="6">
    <w:name w:val="Document Map"/>
    <w:basedOn w:val="1"/>
    <w:semiHidden/>
    <w:qFormat/>
    <w:uiPriority w:val="0"/>
    <w:pPr>
      <w:shd w:val="clear" w:color="auto" w:fill="000080"/>
    </w:pPr>
  </w:style>
  <w:style w:type="paragraph" w:styleId="7">
    <w:name w:val="annotation text"/>
    <w:basedOn w:val="1"/>
    <w:qFormat/>
    <w:uiPriority w:val="0"/>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1">
    <w:name w:val="toc 1"/>
    <w:basedOn w:val="1"/>
    <w:next w:val="1"/>
    <w:qFormat/>
    <w:uiPriority w:val="0"/>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Char Char Char"/>
    <w:basedOn w:val="6"/>
    <w:qFormat/>
    <w:uiPriority w:val="0"/>
    <w:pPr>
      <w:adjustRightInd w:val="0"/>
      <w:spacing w:line="436" w:lineRule="exact"/>
      <w:ind w:left="357"/>
      <w:outlineLvl w:val="3"/>
    </w:pPr>
    <w:rPr>
      <w:rFonts w:ascii="Tahoma" w:hAnsi="Tahoma"/>
      <w:b/>
    </w:rPr>
  </w:style>
  <w:style w:type="paragraph" w:customStyle="1" w:styleId="17">
    <w:name w:val="Body text|1"/>
    <w:basedOn w:val="1"/>
    <w:qFormat/>
    <w:uiPriority w:val="0"/>
    <w:pPr>
      <w:spacing w:line="377" w:lineRule="auto"/>
      <w:ind w:firstLine="400"/>
    </w:pPr>
    <w:rPr>
      <w:rFonts w:ascii="宋体" w:hAnsi="宋体" w:eastAsia="宋体" w:cs="宋体"/>
      <w:sz w:val="19"/>
      <w:szCs w:val="19"/>
      <w:lang w:val="zh-TW" w:eastAsia="zh-TW" w:bidi="zh-TW"/>
    </w:rPr>
  </w:style>
  <w:style w:type="paragraph" w:customStyle="1" w:styleId="18">
    <w:name w:val="Heading #1|2"/>
    <w:basedOn w:val="1"/>
    <w:qFormat/>
    <w:uiPriority w:val="0"/>
    <w:pPr>
      <w:spacing w:after="360"/>
      <w:ind w:firstLine="740"/>
      <w:outlineLvl w:val="0"/>
    </w:pPr>
    <w:rPr>
      <w:rFonts w:ascii="宋体" w:hAnsi="宋体" w:eastAsia="宋体" w:cs="宋体"/>
      <w:sz w:val="32"/>
      <w:szCs w:val="32"/>
      <w:lang w:val="zh-TW" w:eastAsia="zh-TW" w:bidi="zh-TW"/>
    </w:rPr>
  </w:style>
  <w:style w:type="paragraph" w:customStyle="1" w:styleId="19">
    <w:name w:val="Body text|2"/>
    <w:basedOn w:val="1"/>
    <w:qFormat/>
    <w:uiPriority w:val="0"/>
    <w:pPr>
      <w:spacing w:after="60" w:line="280" w:lineRule="exact"/>
      <w:ind w:firstLine="340"/>
    </w:pPr>
    <w:rPr>
      <w:rFonts w:ascii="宋体" w:hAnsi="宋体" w:eastAsia="宋体" w:cs="宋体"/>
      <w:sz w:val="16"/>
      <w:szCs w:val="16"/>
      <w:lang w:val="zh-TW" w:eastAsia="zh-TW" w:bidi="zh-TW"/>
    </w:rPr>
  </w:style>
  <w:style w:type="paragraph" w:customStyle="1" w:styleId="20">
    <w:name w:val="Body text|4"/>
    <w:basedOn w:val="1"/>
    <w:qFormat/>
    <w:uiPriority w:val="0"/>
    <w:pPr>
      <w:spacing w:line="360" w:lineRule="auto"/>
      <w:ind w:firstLine="340"/>
    </w:pPr>
    <w:rPr>
      <w:sz w:val="16"/>
      <w:szCs w:val="16"/>
    </w:rPr>
  </w:style>
  <w:style w:type="paragraph" w:customStyle="1" w:styleId="21">
    <w:name w:val="Heading #2|1"/>
    <w:basedOn w:val="1"/>
    <w:qFormat/>
    <w:uiPriority w:val="0"/>
    <w:pPr>
      <w:spacing w:line="353" w:lineRule="exact"/>
      <w:ind w:firstLine="440"/>
      <w:outlineLvl w:val="1"/>
    </w:pPr>
    <w:rPr>
      <w:rFonts w:ascii="宋体" w:hAnsi="宋体" w:eastAsia="宋体" w:cs="宋体"/>
      <w:lang w:val="zh-TW" w:eastAsia="zh-TW" w:bidi="zh-TW"/>
    </w:rPr>
  </w:style>
  <w:style w:type="paragraph" w:customStyle="1" w:styleId="22">
    <w:name w:val="Other|1"/>
    <w:basedOn w:val="1"/>
    <w:qFormat/>
    <w:uiPriority w:val="0"/>
    <w:pPr>
      <w:spacing w:line="377" w:lineRule="auto"/>
      <w:ind w:firstLine="400"/>
    </w:pPr>
    <w:rPr>
      <w:rFonts w:ascii="宋体" w:hAnsi="宋体" w:eastAsia="宋体" w:cs="宋体"/>
      <w:sz w:val="19"/>
      <w:szCs w:val="19"/>
      <w:lang w:val="zh-TW" w:eastAsia="zh-TW" w:bidi="zh-TW"/>
    </w:rPr>
  </w:style>
  <w:style w:type="paragraph" w:customStyle="1" w:styleId="23">
    <w:name w:val="Table caption|1"/>
    <w:basedOn w:val="1"/>
    <w:qFormat/>
    <w:uiPriority w:val="0"/>
    <w:pPr>
      <w:spacing w:after="50"/>
    </w:pPr>
    <w:rPr>
      <w:rFonts w:ascii="宋体" w:hAnsi="宋体" w:eastAsia="宋体" w:cs="宋体"/>
      <w:sz w:val="19"/>
      <w:szCs w:val="19"/>
      <w:lang w:val="zh-TW" w:eastAsia="zh-TW" w:bidi="zh-TW"/>
    </w:rPr>
  </w:style>
  <w:style w:type="paragraph" w:customStyle="1" w:styleId="24">
    <w:name w:val="Header or footer|2"/>
    <w:basedOn w:val="1"/>
    <w:qFormat/>
    <w:uiPriority w:val="0"/>
    <w:rPr>
      <w:sz w:val="20"/>
      <w:szCs w:val="20"/>
      <w:lang w:val="zh-TW" w:eastAsia="zh-TW" w:bidi="zh-TW"/>
    </w:rPr>
  </w:style>
  <w:style w:type="paragraph" w:customStyle="1" w:styleId="25">
    <w:name w:val="WPSOffice手动目录 1"/>
    <w:qFormat/>
    <w:uiPriority w:val="0"/>
    <w:rPr>
      <w:rFonts w:ascii="Times New Roman" w:hAnsi="Times New Roman" w:eastAsia="Times New Roman" w:cs="Times New Roman"/>
      <w:lang w:val="en-US" w:eastAsia="zh-CN" w:bidi="ar-SA"/>
    </w:rPr>
  </w:style>
  <w:style w:type="paragraph" w:customStyle="1" w:styleId="26">
    <w:name w:val="p0"/>
    <w:basedOn w:val="1"/>
    <w:qFormat/>
    <w:uiPriority w:val="0"/>
    <w:pPr>
      <w:widowControl/>
    </w:pPr>
    <w:rPr>
      <w:kern w:val="0"/>
      <w:szCs w:val="21"/>
    </w:rPr>
  </w:style>
  <w:style w:type="paragraph" w:customStyle="1" w:styleId="27">
    <w:name w:val="一级条标题"/>
    <w:next w:val="28"/>
    <w:qFormat/>
    <w:uiPriority w:val="0"/>
    <w:pPr>
      <w:numPr>
        <w:ilvl w:val="1"/>
        <w:numId w:val="1"/>
      </w:numPr>
      <w:spacing w:before="156" w:beforeLines="50" w:after="156" w:afterLines="50"/>
      <w:outlineLvl w:val="2"/>
    </w:pPr>
    <w:rPr>
      <w:rFonts w:ascii="黑体" w:hAnsi="Times New Roman" w:eastAsia="黑体" w:cs="Times New Roman"/>
      <w:sz w:val="21"/>
      <w:lang w:val="en-US" w:eastAsia="zh-CN" w:bidi="ar-SA"/>
    </w:rPr>
  </w:style>
  <w:style w:type="paragraph" w:customStyle="1" w:styleId="2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9">
    <w:name w:val="二级条标题"/>
    <w:basedOn w:val="27"/>
    <w:next w:val="28"/>
    <w:qFormat/>
    <w:uiPriority w:val="0"/>
    <w:pPr>
      <w:numPr>
        <w:ilvl w:val="2"/>
        <w:numId w:val="1"/>
      </w:numPr>
      <w:spacing w:before="50" w:beforeLines="0" w:after="50" w:afterLines="0"/>
      <w:outlineLvl w:val="3"/>
    </w:pPr>
  </w:style>
  <w:style w:type="paragraph" w:customStyle="1" w:styleId="30">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character" w:customStyle="1" w:styleId="31">
    <w:name w:val="标题 2 Char"/>
    <w:link w:val="5"/>
    <w:qFormat/>
    <w:uiPriority w:val="0"/>
    <w:rPr>
      <w:rFonts w:ascii="Arial" w:hAnsi="Arial" w:eastAsia="宋体"/>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1729</Words>
  <Characters>2060</Characters>
  <Lines>52</Lines>
  <Paragraphs>14</Paragraphs>
  <TotalTime>14</TotalTime>
  <ScaleCrop>false</ScaleCrop>
  <LinksUpToDate>false</LinksUpToDate>
  <CharactersWithSpaces>2150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2019-11-09T07:13:00Z</dcterms:created>
  <dc:creator>飞翔的感觉</dc:creator>
  <cp:lastModifiedBy>闫祥锋</cp:lastModifiedBy>
  <dcterms:modified xsi:type="dcterms:W3CDTF">2025-12-26T10:22:15Z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9CBA290EE510444287E4A2760E2CEE30</vt:lpwstr>
  </property>
  <property fmtid="{D5CDD505-2E9C-101B-9397-08002B2CF9AE}" pid="4" name="KSOTemplateDocerSaveRecord">
    <vt:lpwstr>eyJoZGlkIjoiNGY3NGE2MDgzZjc2ZTRhNTRlNmUwNGEyZjZhYjk2NTIiLCJ1c2VySWQiOiIxNDg5MzA2NDAyIn0=</vt:lpwstr>
  </property>
</Properties>
</file>