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22BC20">
      <w:pPr>
        <w:snapToGrid w:val="0"/>
        <w:spacing w:line="360" w:lineRule="auto"/>
        <w:ind w:right="2" w:rightChars="1"/>
        <w:jc w:val="both"/>
        <w:rPr>
          <w:rFonts w:hint="eastAsia" w:ascii="宋体" w:hAnsi="宋体"/>
          <w:b/>
          <w:color w:val="auto"/>
          <w:sz w:val="44"/>
          <w:szCs w:val="44"/>
        </w:rPr>
      </w:pPr>
    </w:p>
    <w:p w14:paraId="71D55ADE">
      <w:pPr>
        <w:snapToGrid w:val="0"/>
        <w:spacing w:line="360" w:lineRule="auto"/>
        <w:ind w:right="2" w:rightChars="1"/>
        <w:jc w:val="both"/>
        <w:rPr>
          <w:rFonts w:hint="eastAsia" w:ascii="宋体" w:hAnsi="宋体"/>
          <w:b/>
          <w:color w:val="auto"/>
          <w:sz w:val="44"/>
          <w:szCs w:val="44"/>
        </w:rPr>
      </w:pPr>
    </w:p>
    <w:p w14:paraId="159D6C38">
      <w:pPr>
        <w:snapToGrid w:val="0"/>
        <w:spacing w:line="360" w:lineRule="auto"/>
        <w:ind w:right="2" w:rightChars="1"/>
        <w:jc w:val="center"/>
        <w:rPr>
          <w:rFonts w:hint="eastAsia" w:ascii="宋体" w:hAnsi="宋体" w:eastAsia="宋体"/>
          <w:b/>
          <w:sz w:val="44"/>
          <w:szCs w:val="44"/>
        </w:rPr>
      </w:pPr>
      <w:r>
        <w:rPr>
          <w:rFonts w:hint="eastAsia" w:ascii="宋体" w:hAnsi="宋体" w:eastAsia="宋体"/>
          <w:b/>
          <w:sz w:val="44"/>
          <w:szCs w:val="44"/>
          <w:lang w:eastAsia="zh-CN"/>
        </w:rPr>
        <w:t>甘肃</w:t>
      </w:r>
      <w:r>
        <w:rPr>
          <w:rFonts w:hint="eastAsia" w:ascii="宋体" w:hAnsi="宋体" w:eastAsia="宋体"/>
          <w:b/>
          <w:sz w:val="44"/>
          <w:szCs w:val="44"/>
        </w:rPr>
        <w:t>酒钢集团宏兴</w:t>
      </w:r>
      <w:r>
        <w:rPr>
          <w:rFonts w:hint="eastAsia" w:ascii="宋体" w:hAnsi="宋体" w:eastAsia="宋体"/>
          <w:b/>
          <w:sz w:val="44"/>
          <w:szCs w:val="44"/>
          <w:lang w:eastAsia="zh-CN"/>
        </w:rPr>
        <w:t>钢铁</w:t>
      </w:r>
      <w:r>
        <w:rPr>
          <w:rFonts w:hint="eastAsia" w:ascii="宋体" w:hAnsi="宋体" w:eastAsia="宋体"/>
          <w:b/>
          <w:sz w:val="44"/>
          <w:szCs w:val="44"/>
        </w:rPr>
        <w:t>股份</w:t>
      </w:r>
      <w:r>
        <w:rPr>
          <w:rFonts w:hint="eastAsia" w:ascii="宋体" w:hAnsi="宋体" w:eastAsia="宋体"/>
          <w:b/>
          <w:sz w:val="44"/>
          <w:szCs w:val="44"/>
          <w:lang w:eastAsia="zh-CN"/>
        </w:rPr>
        <w:t>有限</w:t>
      </w:r>
      <w:r>
        <w:rPr>
          <w:rFonts w:hint="eastAsia" w:ascii="宋体" w:hAnsi="宋体" w:eastAsia="宋体"/>
          <w:b/>
          <w:sz w:val="44"/>
          <w:szCs w:val="44"/>
        </w:rPr>
        <w:t>公司</w:t>
      </w:r>
    </w:p>
    <w:p w14:paraId="353FFA96">
      <w:pPr>
        <w:snapToGrid w:val="0"/>
        <w:spacing w:line="360" w:lineRule="auto"/>
        <w:ind w:right="2" w:rightChars="1"/>
        <w:jc w:val="center"/>
        <w:rPr>
          <w:rFonts w:hint="eastAsia" w:ascii="宋体" w:hAnsi="宋体" w:eastAsia="宋体"/>
          <w:b/>
          <w:sz w:val="44"/>
          <w:szCs w:val="44"/>
          <w:lang w:val="en-US" w:eastAsia="zh-CN"/>
        </w:rPr>
      </w:pPr>
    </w:p>
    <w:p w14:paraId="14779F27">
      <w:pPr>
        <w:snapToGrid w:val="0"/>
        <w:spacing w:line="360" w:lineRule="auto"/>
        <w:ind w:right="2" w:rightChars="1"/>
        <w:jc w:val="center"/>
        <w:rPr>
          <w:rFonts w:hint="eastAsia" w:ascii="宋体" w:hAnsi="宋体" w:eastAsia="宋体"/>
          <w:b/>
          <w:sz w:val="44"/>
          <w:szCs w:val="44"/>
          <w:lang w:val="en-US" w:eastAsia="zh-CN"/>
        </w:rPr>
      </w:pPr>
      <w:r>
        <w:rPr>
          <w:rFonts w:hint="eastAsia" w:ascii="宋体" w:hAnsi="宋体" w:eastAsia="宋体" w:cs="Times New Roman"/>
          <w:b/>
          <w:sz w:val="44"/>
          <w:szCs w:val="44"/>
          <w:lang w:val="en-US" w:eastAsia="zh-CN"/>
        </w:rPr>
        <w:t>宏博新材料公司中板</w:t>
      </w:r>
      <w:r>
        <w:rPr>
          <w:rFonts w:hint="eastAsia" w:ascii="宋体" w:hAnsi="宋体" w:eastAsia="宋体"/>
          <w:b/>
          <w:sz w:val="44"/>
          <w:szCs w:val="44"/>
          <w:lang w:val="en-US" w:eastAsia="zh-CN"/>
        </w:rPr>
        <w:t>三相异步电动机采购</w:t>
      </w:r>
    </w:p>
    <w:p w14:paraId="23D6C79B">
      <w:pPr>
        <w:snapToGrid w:val="0"/>
        <w:spacing w:line="360" w:lineRule="auto"/>
        <w:ind w:right="2" w:rightChars="1"/>
        <w:jc w:val="center"/>
        <w:rPr>
          <w:rFonts w:hint="eastAsia" w:ascii="宋体" w:hAnsi="宋体" w:eastAsia="宋体"/>
          <w:b/>
          <w:sz w:val="44"/>
          <w:szCs w:val="44"/>
          <w:lang w:val="en-US" w:eastAsia="zh-CN"/>
        </w:rPr>
      </w:pPr>
      <w:r>
        <w:rPr>
          <w:rFonts w:hint="eastAsia" w:ascii="宋体" w:hAnsi="宋体" w:eastAsia="宋体"/>
          <w:b/>
          <w:sz w:val="44"/>
          <w:szCs w:val="44"/>
          <w:lang w:val="en-US" w:eastAsia="zh-CN"/>
        </w:rPr>
        <w:t>技术规格书</w:t>
      </w:r>
    </w:p>
    <w:p w14:paraId="7DA281D5">
      <w:pPr>
        <w:snapToGrid w:val="0"/>
        <w:spacing w:line="360" w:lineRule="auto"/>
        <w:ind w:right="-447"/>
        <w:jc w:val="both"/>
        <w:rPr>
          <w:rFonts w:hint="eastAsia" w:ascii="宋体" w:hAnsi="宋体"/>
          <w:b/>
          <w:color w:val="auto"/>
          <w:sz w:val="36"/>
          <w:szCs w:val="48"/>
        </w:rPr>
      </w:pPr>
    </w:p>
    <w:p w14:paraId="4051DD1F">
      <w:pPr>
        <w:snapToGrid w:val="0"/>
        <w:spacing w:line="360" w:lineRule="auto"/>
        <w:ind w:right="-447"/>
        <w:jc w:val="both"/>
        <w:rPr>
          <w:rFonts w:hint="eastAsia" w:ascii="宋体" w:hAnsi="宋体"/>
          <w:b/>
          <w:color w:val="auto"/>
          <w:sz w:val="36"/>
          <w:szCs w:val="48"/>
        </w:rPr>
      </w:pPr>
    </w:p>
    <w:p w14:paraId="53D76930">
      <w:pPr>
        <w:snapToGrid w:val="0"/>
        <w:spacing w:line="360" w:lineRule="auto"/>
        <w:ind w:right="-447"/>
        <w:jc w:val="both"/>
        <w:rPr>
          <w:rFonts w:hint="eastAsia" w:ascii="宋体" w:hAnsi="宋体"/>
          <w:b/>
          <w:color w:val="auto"/>
          <w:sz w:val="36"/>
          <w:szCs w:val="48"/>
        </w:rPr>
      </w:pPr>
    </w:p>
    <w:p w14:paraId="348C5393">
      <w:pPr>
        <w:snapToGrid w:val="0"/>
        <w:spacing w:line="360" w:lineRule="auto"/>
        <w:ind w:right="-447"/>
        <w:jc w:val="both"/>
        <w:rPr>
          <w:rFonts w:hint="eastAsia" w:ascii="宋体" w:hAnsi="宋体"/>
          <w:b/>
          <w:color w:val="auto"/>
          <w:sz w:val="36"/>
          <w:szCs w:val="48"/>
        </w:rPr>
      </w:pPr>
    </w:p>
    <w:p w14:paraId="1D191F5D">
      <w:pPr>
        <w:snapToGrid w:val="0"/>
        <w:spacing w:line="360" w:lineRule="auto"/>
        <w:ind w:right="-447"/>
        <w:jc w:val="both"/>
        <w:rPr>
          <w:rFonts w:hint="eastAsia" w:ascii="宋体" w:hAnsi="宋体"/>
          <w:b/>
          <w:color w:val="auto"/>
          <w:sz w:val="36"/>
          <w:szCs w:val="48"/>
        </w:rPr>
      </w:pPr>
    </w:p>
    <w:p w14:paraId="03875E01">
      <w:pPr>
        <w:snapToGrid w:val="0"/>
        <w:spacing w:line="360" w:lineRule="auto"/>
        <w:ind w:right="-447"/>
        <w:jc w:val="both"/>
        <w:rPr>
          <w:rFonts w:hint="eastAsia" w:ascii="宋体" w:hAnsi="宋体"/>
          <w:b/>
          <w:color w:val="auto"/>
          <w:sz w:val="36"/>
          <w:szCs w:val="48"/>
        </w:rPr>
      </w:pPr>
    </w:p>
    <w:p w14:paraId="587E1149">
      <w:pPr>
        <w:snapToGrid w:val="0"/>
        <w:spacing w:line="360" w:lineRule="auto"/>
        <w:ind w:right="-447"/>
        <w:jc w:val="both"/>
        <w:rPr>
          <w:rFonts w:hint="eastAsia" w:ascii="宋体" w:hAnsi="宋体"/>
          <w:b/>
          <w:color w:val="auto"/>
          <w:sz w:val="36"/>
          <w:szCs w:val="48"/>
        </w:rPr>
      </w:pPr>
    </w:p>
    <w:p w14:paraId="541284E4">
      <w:pPr>
        <w:snapToGrid w:val="0"/>
        <w:spacing w:line="360" w:lineRule="auto"/>
        <w:ind w:right="-447"/>
        <w:jc w:val="both"/>
        <w:rPr>
          <w:rFonts w:hint="eastAsia" w:ascii="宋体" w:hAnsi="宋体"/>
          <w:b/>
          <w:color w:val="auto"/>
          <w:sz w:val="36"/>
          <w:szCs w:val="48"/>
        </w:rPr>
      </w:pPr>
    </w:p>
    <w:p w14:paraId="1374D3B1">
      <w:pPr>
        <w:snapToGrid w:val="0"/>
        <w:spacing w:before="100" w:beforeAutospacing="1" w:after="100" w:afterAutospacing="1" w:line="600" w:lineRule="exact"/>
        <w:ind w:right="2" w:rightChars="1" w:firstLine="1920" w:firstLineChars="600"/>
        <w:jc w:val="both"/>
        <w:rPr>
          <w:rFonts w:hint="eastAsia" w:ascii="华文中宋" w:hAnsi="华文中宋" w:eastAsia="华文中宋" w:cs="华文中宋"/>
          <w:b w:val="0"/>
          <w:bCs/>
          <w:sz w:val="32"/>
        </w:rPr>
      </w:pPr>
      <w:r>
        <w:rPr>
          <w:rFonts w:hint="eastAsia" w:ascii="华文中宋" w:hAnsi="华文中宋" w:eastAsia="华文中宋" w:cs="华文中宋"/>
          <w:b w:val="0"/>
          <w:bCs/>
          <w:sz w:val="32"/>
        </w:rPr>
        <w:t>甲方：甘肃酒钢集团宏兴钢铁股份有限公司</w:t>
      </w:r>
    </w:p>
    <w:p w14:paraId="2B123C87">
      <w:pPr>
        <w:spacing w:before="100" w:beforeAutospacing="1" w:after="100" w:afterAutospacing="1" w:line="360" w:lineRule="auto"/>
        <w:ind w:firstLine="1920" w:firstLineChars="600"/>
        <w:jc w:val="both"/>
        <w:rPr>
          <w:rFonts w:hint="eastAsia" w:ascii="华文中宋" w:hAnsi="华文中宋" w:eastAsia="华文中宋" w:cs="华文中宋"/>
          <w:b w:val="0"/>
          <w:bCs/>
          <w:sz w:val="32"/>
        </w:rPr>
      </w:pPr>
      <w:r>
        <w:rPr>
          <w:rFonts w:hint="eastAsia" w:ascii="华文中宋" w:hAnsi="华文中宋" w:eastAsia="华文中宋" w:cs="华文中宋"/>
          <w:b w:val="0"/>
          <w:bCs/>
          <w:sz w:val="32"/>
        </w:rPr>
        <w:t>乙方：</w:t>
      </w:r>
    </w:p>
    <w:p w14:paraId="3DD36967">
      <w:pPr>
        <w:pStyle w:val="8"/>
        <w:rPr>
          <w:rFonts w:hint="eastAsia" w:ascii="华文中宋" w:hAnsi="华文中宋" w:eastAsia="华文中宋" w:cs="华文中宋"/>
          <w:b/>
          <w:color w:val="auto"/>
          <w:sz w:val="32"/>
        </w:rPr>
      </w:pPr>
    </w:p>
    <w:p w14:paraId="3452F72C">
      <w:pPr>
        <w:pStyle w:val="8"/>
        <w:rPr>
          <w:rFonts w:hint="eastAsia" w:ascii="华文中宋" w:hAnsi="华文中宋" w:eastAsia="华文中宋" w:cs="华文中宋"/>
          <w:b/>
          <w:color w:val="auto"/>
          <w:sz w:val="32"/>
        </w:rPr>
      </w:pPr>
    </w:p>
    <w:p w14:paraId="3DF2D879">
      <w:pPr>
        <w:adjustRightInd/>
        <w:spacing w:before="100" w:beforeAutospacing="1" w:after="100" w:afterAutospacing="1" w:line="360" w:lineRule="auto"/>
        <w:ind w:firstLine="420" w:firstLineChars="200"/>
        <w:jc w:val="left"/>
        <w:textAlignment w:val="auto"/>
        <w:rPr>
          <w:rFonts w:hint="eastAsia" w:ascii="宋体" w:hAnsi="宋体"/>
          <w:sz w:val="21"/>
          <w:szCs w:val="21"/>
        </w:rPr>
      </w:pPr>
      <w:r>
        <w:rPr>
          <w:rFonts w:hint="eastAsia" w:ascii="宋体" w:hAnsi="宋体"/>
          <w:sz w:val="21"/>
          <w:szCs w:val="21"/>
        </w:rPr>
        <w:t>甘肃酒钢集团宏兴</w:t>
      </w:r>
      <w:r>
        <w:rPr>
          <w:rFonts w:hint="eastAsia" w:ascii="宋体" w:hAnsi="宋体"/>
          <w:sz w:val="21"/>
          <w:szCs w:val="21"/>
          <w:lang w:eastAsia="zh-CN"/>
        </w:rPr>
        <w:t>钢铁</w:t>
      </w:r>
      <w:r>
        <w:rPr>
          <w:rFonts w:hint="eastAsia" w:ascii="宋体" w:hAnsi="宋体"/>
          <w:sz w:val="21"/>
          <w:szCs w:val="21"/>
        </w:rPr>
        <w:t>股份</w:t>
      </w:r>
      <w:r>
        <w:rPr>
          <w:rFonts w:hint="eastAsia" w:ascii="宋体" w:hAnsi="宋体"/>
          <w:sz w:val="21"/>
          <w:szCs w:val="21"/>
          <w:lang w:eastAsia="zh-CN"/>
        </w:rPr>
        <w:t>有限</w:t>
      </w:r>
      <w:r>
        <w:rPr>
          <w:rFonts w:hint="eastAsia" w:ascii="宋体" w:hAnsi="宋体"/>
          <w:sz w:val="21"/>
          <w:szCs w:val="21"/>
        </w:rPr>
        <w:t>公司（以下称甲方）与</w:t>
      </w:r>
      <w:r>
        <w:rPr>
          <w:rFonts w:hint="eastAsia" w:ascii="宋体" w:hAnsi="宋体"/>
          <w:sz w:val="21"/>
          <w:szCs w:val="21"/>
          <w:u w:val="single"/>
        </w:rPr>
        <w:t xml:space="preserve"> </w:t>
      </w:r>
      <w:r>
        <w:rPr>
          <w:rFonts w:hint="eastAsia" w:ascii="宋体" w:hAnsi="宋体"/>
          <w:sz w:val="21"/>
          <w:szCs w:val="21"/>
          <w:u w:val="single"/>
          <w:lang w:val="en-US" w:eastAsia="zh-CN"/>
        </w:rPr>
        <w:t xml:space="preserve">                        </w:t>
      </w:r>
      <w:r>
        <w:rPr>
          <w:rFonts w:hint="eastAsia" w:ascii="宋体" w:hAnsi="宋体"/>
          <w:sz w:val="21"/>
          <w:szCs w:val="21"/>
        </w:rPr>
        <w:t>（以下称乙方）就甲方</w:t>
      </w:r>
      <w:r>
        <w:rPr>
          <w:rFonts w:hint="eastAsia" w:ascii="宋体" w:hAnsi="宋体" w:cs="宋体"/>
          <w:spacing w:val="-4"/>
          <w:kern w:val="28"/>
          <w:sz w:val="21"/>
          <w:szCs w:val="21"/>
          <w:lang w:val="en-US" w:eastAsia="zh-CN"/>
        </w:rPr>
        <w:t>三相异步电动机\YE5-132M-4</w:t>
      </w:r>
      <w:r>
        <w:rPr>
          <w:rFonts w:hint="eastAsia" w:ascii="宋体" w:hAnsi="宋体"/>
          <w:sz w:val="21"/>
          <w:szCs w:val="21"/>
          <w:lang w:val="en-US" w:eastAsia="zh-CN"/>
        </w:rPr>
        <w:t>采购</w:t>
      </w:r>
      <w:r>
        <w:rPr>
          <w:rFonts w:hint="eastAsia" w:ascii="宋体" w:hAnsi="宋体"/>
          <w:sz w:val="21"/>
          <w:szCs w:val="21"/>
        </w:rPr>
        <w:t>经双方协商，达成如下</w:t>
      </w:r>
      <w:r>
        <w:rPr>
          <w:rFonts w:hint="eastAsia" w:ascii="宋体" w:hAnsi="宋体"/>
          <w:sz w:val="21"/>
          <w:szCs w:val="21"/>
          <w:lang w:eastAsia="zh-CN"/>
        </w:rPr>
        <w:t>技术</w:t>
      </w:r>
      <w:r>
        <w:rPr>
          <w:rFonts w:hint="eastAsia" w:ascii="宋体" w:hAnsi="宋体"/>
          <w:sz w:val="21"/>
          <w:szCs w:val="21"/>
          <w:lang w:val="en-US" w:eastAsia="zh-CN"/>
        </w:rPr>
        <w:t>协议</w:t>
      </w:r>
      <w:r>
        <w:rPr>
          <w:rFonts w:hint="eastAsia" w:ascii="宋体" w:hAnsi="宋体"/>
          <w:sz w:val="21"/>
          <w:szCs w:val="21"/>
        </w:rPr>
        <w:t>：</w:t>
      </w:r>
    </w:p>
    <w:p w14:paraId="40B49A05">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firstLine="0" w:firstLineChars="0"/>
        <w:textAlignment w:val="baseline"/>
        <w:rPr>
          <w:rFonts w:hint="eastAsia" w:ascii="宋体" w:hAnsi="宋体" w:eastAsia="宋体" w:cs="宋体"/>
          <w:b/>
          <w:bCs w:val="0"/>
          <w:color w:val="auto"/>
          <w:sz w:val="21"/>
          <w:szCs w:val="21"/>
          <w:lang w:val="en-US" w:eastAsia="zh-CN"/>
        </w:rPr>
      </w:pPr>
      <w:r>
        <w:rPr>
          <w:rFonts w:hint="eastAsia" w:ascii="宋体" w:hAnsi="宋体" w:eastAsia="宋体" w:cs="宋体"/>
          <w:b/>
          <w:bCs w:val="0"/>
          <w:color w:val="auto"/>
          <w:sz w:val="21"/>
          <w:szCs w:val="21"/>
          <w:lang w:val="en-US" w:eastAsia="zh-CN"/>
        </w:rPr>
        <w:t>一、总则</w:t>
      </w:r>
    </w:p>
    <w:p w14:paraId="79935505">
      <w:pPr>
        <w:keepNext w:val="0"/>
        <w:keepLines w:val="0"/>
        <w:pageBreakBefore w:val="0"/>
        <w:widowControl w:val="0"/>
        <w:numPr>
          <w:ilvl w:val="0"/>
          <w:numId w:val="3"/>
        </w:numPr>
        <w:tabs>
          <w:tab w:val="left" w:pos="540"/>
          <w:tab w:val="left" w:pos="720"/>
          <w:tab w:val="left" w:pos="1080"/>
        </w:tabs>
        <w:kinsoku/>
        <w:wordWrap/>
        <w:overflowPunct/>
        <w:topLinePunct w:val="0"/>
        <w:autoSpaceDE/>
        <w:autoSpaceDN/>
        <w:bidi w:val="0"/>
        <w:adjustRightInd/>
        <w:snapToGrid/>
        <w:spacing w:beforeAutospacing="0" w:afterAutospacing="0" w:line="360" w:lineRule="auto"/>
        <w:ind w:firstLine="300" w:firstLineChars="0"/>
        <w:jc w:val="both"/>
        <w:textAlignment w:val="auto"/>
        <w:rPr>
          <w:rFonts w:hint="eastAsia" w:ascii="宋体" w:hAnsi="宋体" w:eastAsia="宋体" w:cs="宋体"/>
          <w:color w:val="auto"/>
          <w:sz w:val="21"/>
          <w:szCs w:val="21"/>
          <w:lang w:val="en-GB"/>
        </w:rPr>
      </w:pPr>
      <w:r>
        <w:rPr>
          <w:rFonts w:hint="eastAsia" w:ascii="宋体" w:hAnsi="宋体" w:eastAsia="宋体" w:cs="宋体"/>
          <w:color w:val="auto"/>
          <w:sz w:val="21"/>
          <w:szCs w:val="21"/>
          <w:lang w:val="en-GB"/>
        </w:rPr>
        <w:t>本</w:t>
      </w:r>
      <w:r>
        <w:rPr>
          <w:rFonts w:hint="eastAsia" w:ascii="宋体" w:hAnsi="宋体" w:eastAsia="宋体" w:cs="宋体"/>
          <w:color w:val="auto"/>
          <w:sz w:val="21"/>
          <w:szCs w:val="21"/>
          <w:lang w:val="en-GB" w:eastAsia="zh-CN"/>
        </w:rPr>
        <w:t>技术规格书</w:t>
      </w:r>
      <w:r>
        <w:rPr>
          <w:rFonts w:hint="eastAsia" w:ascii="宋体" w:hAnsi="宋体" w:eastAsia="宋体" w:cs="宋体"/>
          <w:color w:val="auto"/>
          <w:sz w:val="21"/>
          <w:szCs w:val="21"/>
          <w:lang w:val="en-GB"/>
        </w:rPr>
        <w:t>作为甲方设备订货合同的附件，与订货合同同时生效，具有同等法律效力。合同执行期间双方再协商形成的补充协议和追加条款也具有同等法律效力。</w:t>
      </w:r>
    </w:p>
    <w:p w14:paraId="5AB13496">
      <w:pPr>
        <w:keepNext w:val="0"/>
        <w:keepLines w:val="0"/>
        <w:pageBreakBefore w:val="0"/>
        <w:widowControl w:val="0"/>
        <w:numPr>
          <w:ilvl w:val="0"/>
          <w:numId w:val="3"/>
        </w:numPr>
        <w:tabs>
          <w:tab w:val="left" w:pos="540"/>
          <w:tab w:val="left" w:pos="720"/>
          <w:tab w:val="left" w:pos="1080"/>
        </w:tabs>
        <w:kinsoku/>
        <w:wordWrap/>
        <w:overflowPunct/>
        <w:topLinePunct w:val="0"/>
        <w:autoSpaceDE/>
        <w:autoSpaceDN/>
        <w:bidi w:val="0"/>
        <w:adjustRightInd/>
        <w:snapToGrid/>
        <w:spacing w:before="100" w:beforeAutospacing="1" w:after="100" w:afterAutospacing="1" w:line="360" w:lineRule="auto"/>
        <w:ind w:firstLine="300" w:firstLineChars="0"/>
        <w:jc w:val="both"/>
        <w:textAlignment w:val="auto"/>
        <w:rPr>
          <w:rFonts w:hint="eastAsia" w:ascii="宋体" w:hAnsi="宋体" w:eastAsia="宋体" w:cs="宋体"/>
          <w:color w:val="auto"/>
          <w:sz w:val="21"/>
          <w:szCs w:val="21"/>
          <w:lang w:val="en-GB"/>
        </w:rPr>
      </w:pPr>
      <w:r>
        <w:rPr>
          <w:rFonts w:hint="eastAsia" w:ascii="宋体" w:hAnsi="宋体" w:eastAsia="宋体" w:cs="宋体"/>
          <w:color w:val="auto"/>
          <w:sz w:val="21"/>
          <w:szCs w:val="21"/>
          <w:lang w:val="en-GB"/>
        </w:rPr>
        <w:t>本</w:t>
      </w:r>
      <w:r>
        <w:rPr>
          <w:rFonts w:hint="eastAsia" w:ascii="宋体" w:hAnsi="宋体" w:eastAsia="宋体" w:cs="宋体"/>
          <w:color w:val="auto"/>
          <w:sz w:val="21"/>
          <w:szCs w:val="21"/>
          <w:lang w:val="en-GB" w:eastAsia="zh-CN"/>
        </w:rPr>
        <w:t>技术规格书</w:t>
      </w:r>
      <w:r>
        <w:rPr>
          <w:rFonts w:hint="eastAsia" w:ascii="宋体" w:hAnsi="宋体" w:eastAsia="宋体" w:cs="宋体"/>
          <w:color w:val="auto"/>
          <w:sz w:val="21"/>
          <w:szCs w:val="21"/>
          <w:lang w:val="en-GB"/>
        </w:rPr>
        <w:t>所提出的是最低标准的技术要求，并未对一切技术细节做出规定，也未充分引述有关标准和规范的条文，乙方应保证提供符合有关标准和技术文件的优质产品。</w:t>
      </w:r>
    </w:p>
    <w:p w14:paraId="01C80EB1">
      <w:pPr>
        <w:keepNext w:val="0"/>
        <w:keepLines w:val="0"/>
        <w:pageBreakBefore w:val="0"/>
        <w:widowControl w:val="0"/>
        <w:numPr>
          <w:ilvl w:val="0"/>
          <w:numId w:val="3"/>
        </w:numPr>
        <w:tabs>
          <w:tab w:val="left" w:pos="540"/>
          <w:tab w:val="left" w:pos="720"/>
          <w:tab w:val="left" w:pos="1080"/>
        </w:tabs>
        <w:kinsoku/>
        <w:wordWrap/>
        <w:overflowPunct/>
        <w:topLinePunct w:val="0"/>
        <w:autoSpaceDE/>
        <w:autoSpaceDN/>
        <w:bidi w:val="0"/>
        <w:adjustRightInd/>
        <w:snapToGrid/>
        <w:spacing w:before="100" w:beforeAutospacing="1" w:after="100" w:afterAutospacing="1" w:line="360" w:lineRule="auto"/>
        <w:ind w:firstLine="300" w:firstLineChars="0"/>
        <w:jc w:val="both"/>
        <w:textAlignment w:val="auto"/>
        <w:rPr>
          <w:rFonts w:hint="eastAsia" w:ascii="宋体" w:hAnsi="宋体" w:eastAsia="宋体" w:cs="宋体"/>
          <w:color w:val="auto"/>
          <w:sz w:val="21"/>
          <w:szCs w:val="21"/>
          <w:lang w:val="en-GB"/>
        </w:rPr>
      </w:pPr>
      <w:r>
        <w:rPr>
          <w:rFonts w:hint="eastAsia" w:ascii="宋体" w:hAnsi="宋体" w:eastAsia="宋体" w:cs="宋体"/>
          <w:color w:val="auto"/>
          <w:sz w:val="21"/>
          <w:szCs w:val="21"/>
          <w:lang w:val="en-GB"/>
        </w:rPr>
        <w:t>乙方提供的设备必须具有国内同行业近几年内的先进制造水平，采用先进工艺，合格材料，成熟的技术或专利技术。</w:t>
      </w:r>
    </w:p>
    <w:p w14:paraId="41373EE8">
      <w:pPr>
        <w:keepNext w:val="0"/>
        <w:keepLines w:val="0"/>
        <w:pageBreakBefore w:val="0"/>
        <w:widowControl w:val="0"/>
        <w:numPr>
          <w:ilvl w:val="0"/>
          <w:numId w:val="3"/>
        </w:numPr>
        <w:tabs>
          <w:tab w:val="left" w:pos="540"/>
          <w:tab w:val="left" w:pos="720"/>
          <w:tab w:val="left" w:pos="1080"/>
        </w:tabs>
        <w:kinsoku/>
        <w:wordWrap/>
        <w:overflowPunct/>
        <w:topLinePunct w:val="0"/>
        <w:autoSpaceDE/>
        <w:autoSpaceDN/>
        <w:bidi w:val="0"/>
        <w:adjustRightInd/>
        <w:snapToGrid/>
        <w:spacing w:before="100" w:beforeAutospacing="1" w:after="100" w:afterAutospacing="1" w:line="360" w:lineRule="auto"/>
        <w:ind w:firstLine="300" w:firstLineChars="0"/>
        <w:jc w:val="both"/>
        <w:textAlignment w:val="auto"/>
        <w:rPr>
          <w:rFonts w:hint="eastAsia" w:ascii="宋体" w:hAnsi="宋体" w:eastAsia="宋体" w:cs="宋体"/>
          <w:color w:val="auto"/>
          <w:sz w:val="21"/>
          <w:szCs w:val="21"/>
          <w:lang w:val="en-GB"/>
        </w:rPr>
      </w:pPr>
      <w:r>
        <w:rPr>
          <w:rFonts w:hint="eastAsia" w:ascii="宋体" w:hAnsi="宋体" w:eastAsia="宋体" w:cs="宋体"/>
          <w:color w:val="auto"/>
          <w:sz w:val="21"/>
          <w:szCs w:val="21"/>
          <w:lang w:val="en-GB"/>
        </w:rPr>
        <w:t>乙方提供的设备必须是全新、规范、先进的高质量可靠产品，能够确保连续稳定的工作。</w:t>
      </w:r>
    </w:p>
    <w:p w14:paraId="740EF3A7">
      <w:pPr>
        <w:keepNext w:val="0"/>
        <w:keepLines w:val="0"/>
        <w:pageBreakBefore w:val="0"/>
        <w:widowControl w:val="0"/>
        <w:numPr>
          <w:ilvl w:val="0"/>
          <w:numId w:val="3"/>
        </w:numPr>
        <w:tabs>
          <w:tab w:val="left" w:pos="540"/>
          <w:tab w:val="left" w:pos="720"/>
          <w:tab w:val="left" w:pos="1080"/>
        </w:tabs>
        <w:kinsoku/>
        <w:wordWrap/>
        <w:overflowPunct/>
        <w:topLinePunct w:val="0"/>
        <w:autoSpaceDE/>
        <w:autoSpaceDN/>
        <w:bidi w:val="0"/>
        <w:adjustRightInd/>
        <w:snapToGrid/>
        <w:spacing w:before="100" w:beforeAutospacing="1" w:after="100" w:afterAutospacing="1" w:line="360" w:lineRule="auto"/>
        <w:ind w:firstLine="300" w:firstLineChars="0"/>
        <w:jc w:val="both"/>
        <w:textAlignment w:val="auto"/>
        <w:rPr>
          <w:rFonts w:hint="eastAsia" w:ascii="宋体" w:hAnsi="宋体" w:eastAsia="宋体" w:cs="宋体"/>
          <w:color w:val="auto"/>
          <w:sz w:val="21"/>
          <w:szCs w:val="21"/>
          <w:lang w:val="en-GB"/>
        </w:rPr>
      </w:pPr>
      <w:r>
        <w:rPr>
          <w:rFonts w:hint="eastAsia" w:ascii="宋体" w:hAnsi="宋体" w:eastAsia="宋体" w:cs="宋体"/>
          <w:color w:val="auto"/>
          <w:sz w:val="21"/>
          <w:szCs w:val="21"/>
          <w:lang w:val="en-GB"/>
        </w:rPr>
        <w:t>乙方提供货物的制造，材料的选择，都应按照国内外通用的现行标准和相应的技术规范执行，而这些标准和技术规范应为合同签字日为止最新公布发问的标准和技术规范。</w:t>
      </w:r>
    </w:p>
    <w:p w14:paraId="10A5723A">
      <w:pPr>
        <w:keepNext w:val="0"/>
        <w:keepLines w:val="0"/>
        <w:pageBreakBefore w:val="0"/>
        <w:widowControl w:val="0"/>
        <w:numPr>
          <w:ilvl w:val="0"/>
          <w:numId w:val="3"/>
        </w:numPr>
        <w:tabs>
          <w:tab w:val="left" w:pos="540"/>
          <w:tab w:val="left" w:pos="720"/>
          <w:tab w:val="left" w:pos="1080"/>
        </w:tabs>
        <w:kinsoku/>
        <w:wordWrap/>
        <w:overflowPunct/>
        <w:topLinePunct w:val="0"/>
        <w:autoSpaceDE/>
        <w:autoSpaceDN/>
        <w:bidi w:val="0"/>
        <w:adjustRightInd/>
        <w:snapToGrid/>
        <w:spacing w:before="100" w:beforeAutospacing="1" w:after="100" w:afterAutospacing="1" w:line="360" w:lineRule="auto"/>
        <w:ind w:firstLine="300" w:firstLineChars="0"/>
        <w:jc w:val="both"/>
        <w:textAlignment w:val="auto"/>
        <w:rPr>
          <w:rFonts w:hint="eastAsia" w:ascii="宋体" w:hAnsi="宋体" w:eastAsia="宋体" w:cs="宋体"/>
          <w:color w:val="auto"/>
          <w:sz w:val="21"/>
          <w:szCs w:val="21"/>
          <w:lang w:val="en-GB"/>
        </w:rPr>
      </w:pPr>
      <w:r>
        <w:rPr>
          <w:rFonts w:hint="eastAsia" w:ascii="宋体" w:hAnsi="宋体" w:eastAsia="宋体" w:cs="宋体"/>
          <w:color w:val="auto"/>
          <w:sz w:val="21"/>
          <w:szCs w:val="21"/>
          <w:lang w:val="en-GB"/>
        </w:rPr>
        <w:t>乙方须对本次采购设备的完整性、合理性和设计质量承担全部责任。保证所供设备满足现场在线使用工况要求。</w:t>
      </w:r>
    </w:p>
    <w:p w14:paraId="4AB2F119">
      <w:pPr>
        <w:keepNext w:val="0"/>
        <w:keepLines w:val="0"/>
        <w:pageBreakBefore w:val="0"/>
        <w:widowControl w:val="0"/>
        <w:numPr>
          <w:ilvl w:val="0"/>
          <w:numId w:val="3"/>
        </w:numPr>
        <w:tabs>
          <w:tab w:val="left" w:pos="540"/>
          <w:tab w:val="left" w:pos="720"/>
          <w:tab w:val="left" w:pos="1080"/>
        </w:tabs>
        <w:kinsoku/>
        <w:wordWrap/>
        <w:overflowPunct/>
        <w:topLinePunct w:val="0"/>
        <w:autoSpaceDE/>
        <w:autoSpaceDN/>
        <w:bidi w:val="0"/>
        <w:adjustRightInd/>
        <w:snapToGrid/>
        <w:spacing w:before="100" w:beforeAutospacing="1" w:after="100" w:afterAutospacing="1" w:line="360" w:lineRule="auto"/>
        <w:ind w:firstLine="300" w:firstLineChars="0"/>
        <w:jc w:val="both"/>
        <w:textAlignment w:val="auto"/>
        <w:rPr>
          <w:rFonts w:hint="eastAsia" w:ascii="宋体" w:hAnsi="宋体" w:eastAsia="宋体" w:cs="宋体"/>
          <w:color w:val="auto"/>
          <w:sz w:val="21"/>
          <w:szCs w:val="21"/>
          <w:lang w:val="en-GB"/>
        </w:rPr>
      </w:pPr>
      <w:r>
        <w:rPr>
          <w:rFonts w:hint="eastAsia" w:ascii="宋体" w:hAnsi="宋体" w:eastAsia="宋体" w:cs="宋体"/>
          <w:color w:val="auto"/>
          <w:sz w:val="21"/>
          <w:szCs w:val="21"/>
          <w:lang w:val="en-GB"/>
        </w:rPr>
        <w:t>乙方在合同货物制造中，发生侵犯专利的行为时其侵权责任与甲方无关。</w:t>
      </w:r>
    </w:p>
    <w:p w14:paraId="24BD5D2A">
      <w:pPr>
        <w:keepNext w:val="0"/>
        <w:keepLines w:val="0"/>
        <w:pageBreakBefore w:val="0"/>
        <w:widowControl w:val="0"/>
        <w:numPr>
          <w:ilvl w:val="0"/>
          <w:numId w:val="3"/>
        </w:numPr>
        <w:tabs>
          <w:tab w:val="left" w:pos="540"/>
          <w:tab w:val="left" w:pos="720"/>
          <w:tab w:val="left" w:pos="1080"/>
        </w:tabs>
        <w:kinsoku/>
        <w:wordWrap/>
        <w:overflowPunct/>
        <w:topLinePunct w:val="0"/>
        <w:autoSpaceDE/>
        <w:autoSpaceDN/>
        <w:bidi w:val="0"/>
        <w:adjustRightInd/>
        <w:snapToGrid/>
        <w:spacing w:beforeAutospacing="0" w:afterAutospacing="0" w:line="360" w:lineRule="auto"/>
        <w:ind w:firstLine="30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协议内容经由甲乙双方于XX年X月X日X时-X时通过XXXX方式商定。</w:t>
      </w:r>
    </w:p>
    <w:p w14:paraId="11643D2C">
      <w:pPr>
        <w:keepNext w:val="0"/>
        <w:keepLines w:val="0"/>
        <w:pageBreakBefore w:val="0"/>
        <w:widowControl w:val="0"/>
        <w:numPr>
          <w:ilvl w:val="0"/>
          <w:numId w:val="3"/>
        </w:numPr>
        <w:tabs>
          <w:tab w:val="left" w:pos="540"/>
          <w:tab w:val="left" w:pos="720"/>
          <w:tab w:val="left" w:pos="1080"/>
        </w:tabs>
        <w:kinsoku/>
        <w:wordWrap/>
        <w:overflowPunct/>
        <w:topLinePunct w:val="0"/>
        <w:autoSpaceDE/>
        <w:autoSpaceDN/>
        <w:bidi w:val="0"/>
        <w:adjustRightInd/>
        <w:snapToGrid/>
        <w:spacing w:beforeAutospacing="0" w:afterAutospacing="0" w:line="360" w:lineRule="auto"/>
        <w:ind w:firstLine="30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甲乙双方应当就签订本协议的相关事宜保密，不得将签订主体、时间、内容等信息透露给其他第三人。</w:t>
      </w:r>
    </w:p>
    <w:p w14:paraId="326B643C">
      <w:pPr>
        <w:keepNext w:val="0"/>
        <w:keepLines w:val="0"/>
        <w:pageBreakBefore w:val="0"/>
        <w:widowControl w:val="0"/>
        <w:numPr>
          <w:ilvl w:val="0"/>
          <w:numId w:val="3"/>
        </w:numPr>
        <w:tabs>
          <w:tab w:val="left" w:pos="540"/>
          <w:tab w:val="left" w:pos="720"/>
          <w:tab w:val="left" w:pos="1080"/>
        </w:tabs>
        <w:kinsoku/>
        <w:wordWrap/>
        <w:overflowPunct/>
        <w:topLinePunct w:val="0"/>
        <w:autoSpaceDE/>
        <w:autoSpaceDN/>
        <w:bidi w:val="0"/>
        <w:adjustRightInd/>
        <w:snapToGrid/>
        <w:spacing w:beforeAutospacing="0" w:afterAutospacing="0" w:line="360" w:lineRule="auto"/>
        <w:ind w:firstLine="300" w:firstLineChars="0"/>
        <w:jc w:val="both"/>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 xml:space="preserve"> </w:t>
      </w:r>
      <w:r>
        <w:rPr>
          <w:rFonts w:hint="eastAsia" w:ascii="宋体" w:hAnsi="宋体" w:eastAsia="宋体" w:cs="宋体"/>
          <w:color w:val="auto"/>
          <w:sz w:val="21"/>
          <w:szCs w:val="21"/>
          <w:lang w:val="en-US" w:eastAsia="zh-CN"/>
        </w:rPr>
        <w:t>本技术规格书为附生效条件的合同，以主合同的生效为前提条件，若参标单位不能中标，则本技术规格书自动失效，双方互不承担任何责任。</w:t>
      </w:r>
    </w:p>
    <w:p w14:paraId="792C9582">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firstLine="0" w:firstLineChars="0"/>
        <w:textAlignment w:val="baseline"/>
        <w:rPr>
          <w:rFonts w:hint="eastAsia" w:ascii="宋体" w:hAnsi="宋体" w:eastAsia="宋体" w:cs="宋体"/>
          <w:b/>
          <w:bCs w:val="0"/>
          <w:color w:val="auto"/>
          <w:sz w:val="21"/>
          <w:szCs w:val="21"/>
          <w:lang w:val="en-US" w:eastAsia="zh-CN"/>
        </w:rPr>
      </w:pPr>
      <w:r>
        <w:rPr>
          <w:rFonts w:hint="eastAsia" w:ascii="宋体" w:hAnsi="宋体" w:eastAsia="宋体" w:cs="宋体"/>
          <w:b/>
          <w:bCs w:val="0"/>
          <w:color w:val="auto"/>
          <w:sz w:val="21"/>
          <w:szCs w:val="21"/>
          <w:lang w:val="en-US" w:eastAsia="zh-CN"/>
        </w:rPr>
        <w:t>二 、供货范围</w:t>
      </w:r>
    </w:p>
    <w:tbl>
      <w:tblPr>
        <w:tblStyle w:val="10"/>
        <w:tblW w:w="90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085"/>
        <w:gridCol w:w="2305"/>
        <w:gridCol w:w="708"/>
        <w:gridCol w:w="3317"/>
        <w:gridCol w:w="951"/>
      </w:tblGrid>
      <w:tr w14:paraId="5461C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681" w:type="dxa"/>
            <w:noWrap w:val="0"/>
            <w:vAlign w:val="center"/>
          </w:tcPr>
          <w:p w14:paraId="02168478">
            <w:pPr>
              <w:tabs>
                <w:tab w:val="left" w:pos="540"/>
                <w:tab w:val="left" w:pos="720"/>
                <w:tab w:val="left" w:pos="1080"/>
              </w:tabs>
              <w:adjustRightInd/>
              <w:spacing w:line="360" w:lineRule="auto"/>
              <w:jc w:val="center"/>
              <w:textAlignment w:val="auto"/>
              <w:rPr>
                <w:rFonts w:hint="eastAsia" w:ascii="宋体" w:hAnsi="宋体" w:cs="宋体"/>
                <w:spacing w:val="-4"/>
                <w:kern w:val="28"/>
                <w:sz w:val="21"/>
                <w:szCs w:val="21"/>
              </w:rPr>
            </w:pPr>
            <w:r>
              <w:rPr>
                <w:rFonts w:hint="eastAsia" w:ascii="宋体" w:hAnsi="宋体" w:cs="宋体"/>
                <w:spacing w:val="-4"/>
                <w:kern w:val="28"/>
                <w:sz w:val="21"/>
                <w:szCs w:val="21"/>
              </w:rPr>
              <w:t>序号</w:t>
            </w:r>
          </w:p>
        </w:tc>
        <w:tc>
          <w:tcPr>
            <w:tcW w:w="1085" w:type="dxa"/>
            <w:noWrap w:val="0"/>
            <w:vAlign w:val="center"/>
          </w:tcPr>
          <w:p w14:paraId="685837BF">
            <w:pPr>
              <w:tabs>
                <w:tab w:val="left" w:pos="540"/>
                <w:tab w:val="left" w:pos="720"/>
                <w:tab w:val="left" w:pos="1080"/>
              </w:tabs>
              <w:adjustRightInd/>
              <w:spacing w:line="360" w:lineRule="auto"/>
              <w:jc w:val="center"/>
              <w:textAlignment w:val="auto"/>
              <w:rPr>
                <w:rFonts w:hint="eastAsia" w:ascii="宋体" w:hAnsi="宋体" w:cs="宋体"/>
                <w:spacing w:val="-4"/>
                <w:kern w:val="28"/>
                <w:sz w:val="21"/>
                <w:szCs w:val="21"/>
              </w:rPr>
            </w:pPr>
            <w:r>
              <w:rPr>
                <w:rFonts w:hint="eastAsia" w:ascii="宋体" w:hAnsi="宋体" w:cs="宋体"/>
                <w:spacing w:val="-4"/>
                <w:kern w:val="28"/>
                <w:sz w:val="21"/>
                <w:szCs w:val="21"/>
              </w:rPr>
              <w:t>物料编码</w:t>
            </w:r>
          </w:p>
        </w:tc>
        <w:tc>
          <w:tcPr>
            <w:tcW w:w="2305" w:type="dxa"/>
            <w:noWrap w:val="0"/>
            <w:vAlign w:val="center"/>
          </w:tcPr>
          <w:p w14:paraId="46526519">
            <w:pPr>
              <w:tabs>
                <w:tab w:val="left" w:pos="540"/>
                <w:tab w:val="left" w:pos="720"/>
                <w:tab w:val="left" w:pos="1080"/>
              </w:tabs>
              <w:adjustRightInd/>
              <w:spacing w:line="360" w:lineRule="auto"/>
              <w:jc w:val="center"/>
              <w:textAlignment w:val="auto"/>
              <w:rPr>
                <w:rFonts w:hint="eastAsia" w:ascii="宋体" w:hAnsi="宋体" w:cs="宋体"/>
                <w:spacing w:val="-4"/>
                <w:kern w:val="28"/>
                <w:sz w:val="21"/>
                <w:szCs w:val="21"/>
              </w:rPr>
            </w:pPr>
            <w:r>
              <w:rPr>
                <w:rFonts w:hint="eastAsia" w:ascii="宋体" w:hAnsi="宋体" w:cs="宋体"/>
                <w:spacing w:val="-4"/>
                <w:kern w:val="28"/>
                <w:sz w:val="21"/>
                <w:szCs w:val="21"/>
              </w:rPr>
              <w:t>规格型号</w:t>
            </w:r>
          </w:p>
        </w:tc>
        <w:tc>
          <w:tcPr>
            <w:tcW w:w="708" w:type="dxa"/>
            <w:noWrap w:val="0"/>
            <w:vAlign w:val="center"/>
          </w:tcPr>
          <w:p w14:paraId="239A3DB2">
            <w:pPr>
              <w:tabs>
                <w:tab w:val="left" w:pos="540"/>
                <w:tab w:val="left" w:pos="720"/>
                <w:tab w:val="left" w:pos="1080"/>
              </w:tabs>
              <w:adjustRightInd/>
              <w:spacing w:line="360" w:lineRule="auto"/>
              <w:jc w:val="center"/>
              <w:textAlignment w:val="auto"/>
              <w:rPr>
                <w:rFonts w:hint="eastAsia" w:ascii="宋体" w:hAnsi="宋体" w:cs="宋体"/>
                <w:spacing w:val="-4"/>
                <w:kern w:val="28"/>
                <w:sz w:val="21"/>
                <w:szCs w:val="21"/>
              </w:rPr>
            </w:pPr>
            <w:r>
              <w:rPr>
                <w:rFonts w:hint="eastAsia" w:ascii="宋体" w:hAnsi="宋体" w:cs="宋体"/>
                <w:spacing w:val="-4"/>
                <w:kern w:val="28"/>
                <w:sz w:val="21"/>
                <w:szCs w:val="21"/>
              </w:rPr>
              <w:t>数量</w:t>
            </w:r>
          </w:p>
        </w:tc>
        <w:tc>
          <w:tcPr>
            <w:tcW w:w="3317" w:type="dxa"/>
            <w:noWrap w:val="0"/>
            <w:vAlign w:val="center"/>
          </w:tcPr>
          <w:p w14:paraId="3AC6CAD3">
            <w:pPr>
              <w:tabs>
                <w:tab w:val="left" w:pos="540"/>
                <w:tab w:val="left" w:pos="720"/>
                <w:tab w:val="left" w:pos="1080"/>
              </w:tabs>
              <w:adjustRightInd/>
              <w:spacing w:line="360" w:lineRule="auto"/>
              <w:jc w:val="center"/>
              <w:textAlignment w:val="auto"/>
              <w:rPr>
                <w:rFonts w:hint="eastAsia" w:ascii="宋体" w:hAnsi="宋体" w:cs="宋体"/>
                <w:spacing w:val="-4"/>
                <w:kern w:val="28"/>
                <w:sz w:val="21"/>
                <w:szCs w:val="21"/>
              </w:rPr>
            </w:pPr>
            <w:r>
              <w:rPr>
                <w:rFonts w:hint="eastAsia" w:ascii="宋体" w:hAnsi="宋体" w:cs="宋体"/>
                <w:spacing w:val="-4"/>
                <w:kern w:val="28"/>
                <w:sz w:val="21"/>
                <w:szCs w:val="21"/>
              </w:rPr>
              <w:t>技术说明</w:t>
            </w:r>
          </w:p>
        </w:tc>
        <w:tc>
          <w:tcPr>
            <w:tcW w:w="951" w:type="dxa"/>
            <w:noWrap w:val="0"/>
            <w:vAlign w:val="center"/>
          </w:tcPr>
          <w:p w14:paraId="0B4A133E">
            <w:pPr>
              <w:tabs>
                <w:tab w:val="left" w:pos="540"/>
                <w:tab w:val="left" w:pos="720"/>
                <w:tab w:val="left" w:pos="1080"/>
              </w:tabs>
              <w:adjustRightInd/>
              <w:spacing w:line="360" w:lineRule="auto"/>
              <w:jc w:val="center"/>
              <w:textAlignment w:val="auto"/>
              <w:rPr>
                <w:rFonts w:hint="eastAsia" w:ascii="宋体" w:hAnsi="宋体" w:cs="宋体"/>
                <w:spacing w:val="-4"/>
                <w:kern w:val="28"/>
                <w:sz w:val="21"/>
                <w:szCs w:val="21"/>
              </w:rPr>
            </w:pPr>
            <w:r>
              <w:rPr>
                <w:rFonts w:hint="eastAsia" w:ascii="宋体" w:hAnsi="宋体" w:cs="宋体"/>
                <w:spacing w:val="-4"/>
                <w:kern w:val="28"/>
                <w:sz w:val="21"/>
                <w:szCs w:val="21"/>
              </w:rPr>
              <w:t>备注</w:t>
            </w:r>
          </w:p>
        </w:tc>
      </w:tr>
      <w:tr w14:paraId="1CE92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4" w:hRule="atLeast"/>
          <w:jc w:val="center"/>
        </w:trPr>
        <w:tc>
          <w:tcPr>
            <w:tcW w:w="681" w:type="dxa"/>
            <w:noWrap w:val="0"/>
            <w:vAlign w:val="center"/>
          </w:tcPr>
          <w:p w14:paraId="0022E9DB">
            <w:pPr>
              <w:tabs>
                <w:tab w:val="left" w:pos="540"/>
                <w:tab w:val="left" w:pos="720"/>
                <w:tab w:val="left" w:pos="1080"/>
              </w:tabs>
              <w:adjustRightInd/>
              <w:spacing w:line="360" w:lineRule="auto"/>
              <w:jc w:val="center"/>
              <w:textAlignment w:val="auto"/>
              <w:rPr>
                <w:rFonts w:hint="eastAsia" w:ascii="宋体" w:hAnsi="宋体" w:cs="宋体"/>
                <w:spacing w:val="-4"/>
                <w:kern w:val="28"/>
                <w:sz w:val="21"/>
                <w:szCs w:val="21"/>
                <w:lang w:val="en-US" w:eastAsia="zh-CN"/>
              </w:rPr>
            </w:pPr>
            <w:r>
              <w:rPr>
                <w:rFonts w:hint="eastAsia" w:ascii="宋体" w:hAnsi="宋体" w:cs="宋体"/>
                <w:spacing w:val="-4"/>
                <w:kern w:val="28"/>
                <w:sz w:val="21"/>
                <w:szCs w:val="21"/>
                <w:lang w:val="en-US" w:eastAsia="zh-CN"/>
              </w:rPr>
              <w:t>1</w:t>
            </w:r>
          </w:p>
        </w:tc>
        <w:tc>
          <w:tcPr>
            <w:tcW w:w="1085" w:type="dxa"/>
            <w:noWrap w:val="0"/>
            <w:vAlign w:val="center"/>
          </w:tcPr>
          <w:p w14:paraId="01A79221">
            <w:pPr>
              <w:tabs>
                <w:tab w:val="left" w:pos="540"/>
                <w:tab w:val="left" w:pos="720"/>
                <w:tab w:val="left" w:pos="1080"/>
              </w:tabs>
              <w:adjustRightInd/>
              <w:spacing w:line="360" w:lineRule="auto"/>
              <w:jc w:val="center"/>
              <w:textAlignment w:val="auto"/>
              <w:rPr>
                <w:rFonts w:hint="default" w:ascii="宋体" w:hAnsi="宋体" w:cs="宋体"/>
                <w:spacing w:val="-4"/>
                <w:kern w:val="28"/>
                <w:sz w:val="21"/>
                <w:szCs w:val="21"/>
                <w:lang w:val="en-US" w:eastAsia="zh-CN"/>
              </w:rPr>
            </w:pPr>
            <w:r>
              <w:rPr>
                <w:rFonts w:hint="eastAsia" w:ascii="宋体" w:hAnsi="宋体" w:cs="宋体"/>
                <w:spacing w:val="-4"/>
                <w:kern w:val="28"/>
                <w:sz w:val="21"/>
                <w:szCs w:val="21"/>
                <w:lang w:val="en-US" w:eastAsia="zh-CN"/>
              </w:rPr>
              <w:t>70422853</w:t>
            </w:r>
          </w:p>
        </w:tc>
        <w:tc>
          <w:tcPr>
            <w:tcW w:w="2305" w:type="dxa"/>
            <w:noWrap w:val="0"/>
            <w:vAlign w:val="center"/>
          </w:tcPr>
          <w:p w14:paraId="2558B593">
            <w:pPr>
              <w:tabs>
                <w:tab w:val="left" w:pos="540"/>
                <w:tab w:val="left" w:pos="720"/>
                <w:tab w:val="left" w:pos="1080"/>
              </w:tabs>
              <w:adjustRightInd/>
              <w:spacing w:line="360" w:lineRule="auto"/>
              <w:jc w:val="left"/>
              <w:textAlignment w:val="auto"/>
              <w:rPr>
                <w:rFonts w:hint="eastAsia" w:ascii="宋体" w:hAnsi="宋体" w:cs="宋体"/>
                <w:spacing w:val="-4"/>
                <w:kern w:val="28"/>
                <w:sz w:val="21"/>
                <w:szCs w:val="21"/>
                <w:lang w:val="en-US" w:eastAsia="zh-CN"/>
              </w:rPr>
            </w:pPr>
            <w:r>
              <w:rPr>
                <w:rFonts w:hint="eastAsia" w:ascii="宋体" w:hAnsi="宋体" w:cs="宋体"/>
                <w:spacing w:val="-4"/>
                <w:kern w:val="28"/>
                <w:sz w:val="21"/>
                <w:szCs w:val="21"/>
                <w:lang w:val="en-US" w:eastAsia="zh-CN"/>
              </w:rPr>
              <w:t>三相异步电动机\YE5-132M-4 7.5kW 1440r/min F IP55 B5</w:t>
            </w:r>
          </w:p>
        </w:tc>
        <w:tc>
          <w:tcPr>
            <w:tcW w:w="708" w:type="dxa"/>
            <w:noWrap w:val="0"/>
            <w:vAlign w:val="center"/>
          </w:tcPr>
          <w:p w14:paraId="4E977691">
            <w:pPr>
              <w:tabs>
                <w:tab w:val="left" w:pos="540"/>
                <w:tab w:val="left" w:pos="720"/>
                <w:tab w:val="left" w:pos="1080"/>
              </w:tabs>
              <w:adjustRightInd/>
              <w:spacing w:line="360" w:lineRule="auto"/>
              <w:jc w:val="center"/>
              <w:textAlignment w:val="auto"/>
              <w:rPr>
                <w:rFonts w:hint="eastAsia" w:ascii="宋体" w:hAnsi="宋体" w:cs="宋体"/>
                <w:spacing w:val="-4"/>
                <w:kern w:val="28"/>
                <w:sz w:val="21"/>
                <w:szCs w:val="21"/>
                <w:lang w:val="en-US" w:eastAsia="zh-CN"/>
              </w:rPr>
            </w:pPr>
            <w:r>
              <w:rPr>
                <w:rFonts w:hint="eastAsia" w:ascii="宋体" w:hAnsi="宋体" w:cs="宋体"/>
                <w:spacing w:val="-4"/>
                <w:kern w:val="28"/>
                <w:sz w:val="21"/>
                <w:szCs w:val="21"/>
                <w:lang w:val="en-US" w:eastAsia="zh-CN"/>
              </w:rPr>
              <w:t>3</w:t>
            </w:r>
            <w:r>
              <w:rPr>
                <w:rFonts w:hint="eastAsia" w:ascii="宋体" w:hAnsi="宋体" w:cs="宋体"/>
                <w:spacing w:val="-4"/>
                <w:kern w:val="28"/>
                <w:sz w:val="21"/>
                <w:szCs w:val="21"/>
              </w:rPr>
              <w:t>台</w:t>
            </w:r>
          </w:p>
        </w:tc>
        <w:tc>
          <w:tcPr>
            <w:tcW w:w="3317" w:type="dxa"/>
            <w:noWrap w:val="0"/>
            <w:vAlign w:val="center"/>
          </w:tcPr>
          <w:p w14:paraId="2134CFE8">
            <w:pPr>
              <w:numPr>
                <w:ilvl w:val="0"/>
                <w:numId w:val="4"/>
              </w:numPr>
              <w:tabs>
                <w:tab w:val="left" w:pos="540"/>
                <w:tab w:val="left" w:pos="720"/>
                <w:tab w:val="left" w:pos="1080"/>
              </w:tabs>
              <w:adjustRightInd/>
              <w:spacing w:line="360" w:lineRule="auto"/>
              <w:jc w:val="left"/>
              <w:textAlignment w:val="auto"/>
              <w:rPr>
                <w:rFonts w:hint="eastAsia" w:ascii="宋体" w:hAnsi="宋体" w:cs="宋体"/>
                <w:spacing w:val="-4"/>
                <w:kern w:val="28"/>
                <w:sz w:val="21"/>
                <w:szCs w:val="21"/>
                <w:lang w:val="en-US" w:eastAsia="zh-CN"/>
              </w:rPr>
            </w:pPr>
            <w:r>
              <w:rPr>
                <w:rFonts w:hint="eastAsia" w:ascii="宋体" w:hAnsi="宋体" w:cs="宋体"/>
                <w:spacing w:val="-4"/>
                <w:kern w:val="28"/>
                <w:sz w:val="21"/>
                <w:szCs w:val="21"/>
                <w:lang w:val="en-US" w:eastAsia="zh-CN"/>
              </w:rPr>
              <w:t>具有优良的过载特性，要适用于连续工作制要求。</w:t>
            </w:r>
          </w:p>
          <w:p w14:paraId="5BAC0150">
            <w:pPr>
              <w:numPr>
                <w:ilvl w:val="0"/>
                <w:numId w:val="4"/>
              </w:numPr>
              <w:tabs>
                <w:tab w:val="left" w:pos="540"/>
                <w:tab w:val="left" w:pos="720"/>
                <w:tab w:val="left" w:pos="1080"/>
              </w:tabs>
              <w:adjustRightInd/>
              <w:spacing w:line="360" w:lineRule="auto"/>
              <w:jc w:val="left"/>
              <w:textAlignment w:val="auto"/>
              <w:rPr>
                <w:rFonts w:hint="eastAsia" w:ascii="宋体" w:hAnsi="宋体" w:cs="宋体"/>
                <w:spacing w:val="-4"/>
                <w:kern w:val="28"/>
                <w:sz w:val="21"/>
                <w:szCs w:val="21"/>
                <w:lang w:val="en-US" w:eastAsia="zh-CN"/>
              </w:rPr>
            </w:pPr>
            <w:r>
              <w:rPr>
                <w:rFonts w:hint="eastAsia" w:ascii="宋体" w:hAnsi="宋体" w:cs="宋体"/>
                <w:spacing w:val="-4"/>
                <w:kern w:val="28"/>
                <w:sz w:val="21"/>
                <w:szCs w:val="21"/>
                <w:lang w:val="en-US" w:eastAsia="zh-CN"/>
              </w:rPr>
              <w:t>此电机安装方式为立式安装，圆形法兰盘。</w:t>
            </w:r>
          </w:p>
          <w:p w14:paraId="54C63F46">
            <w:pPr>
              <w:tabs>
                <w:tab w:val="left" w:pos="540"/>
                <w:tab w:val="left" w:pos="720"/>
                <w:tab w:val="left" w:pos="1080"/>
              </w:tabs>
              <w:adjustRightInd/>
              <w:spacing w:line="360" w:lineRule="auto"/>
              <w:jc w:val="left"/>
              <w:textAlignment w:val="auto"/>
              <w:rPr>
                <w:rFonts w:hint="eastAsia" w:ascii="宋体" w:hAnsi="宋体" w:cs="宋体"/>
                <w:spacing w:val="-4"/>
                <w:kern w:val="28"/>
                <w:sz w:val="21"/>
                <w:szCs w:val="21"/>
                <w:lang w:val="en-US" w:eastAsia="zh-CN"/>
              </w:rPr>
            </w:pPr>
            <w:r>
              <w:rPr>
                <w:rFonts w:hint="eastAsia" w:ascii="宋体" w:hAnsi="宋体" w:cs="宋体"/>
                <w:spacing w:val="-4"/>
                <w:kern w:val="28"/>
                <w:sz w:val="21"/>
                <w:szCs w:val="21"/>
                <w:lang w:val="en-US" w:eastAsia="zh-CN"/>
              </w:rPr>
              <w:t>3、此电机用于轧机主电机外挂式冷却风机，电机外壳采用铝合金材质，电机总重量不能超过65Kg，绕组采用优质铜线圈。</w:t>
            </w:r>
          </w:p>
          <w:p w14:paraId="15029F90">
            <w:pPr>
              <w:tabs>
                <w:tab w:val="left" w:pos="540"/>
                <w:tab w:val="left" w:pos="720"/>
                <w:tab w:val="left" w:pos="1080"/>
              </w:tabs>
              <w:adjustRightInd/>
              <w:spacing w:line="360" w:lineRule="auto"/>
              <w:jc w:val="left"/>
              <w:textAlignment w:val="auto"/>
              <w:rPr>
                <w:rFonts w:hint="default" w:ascii="宋体" w:hAnsi="宋体" w:eastAsia="宋体" w:cs="宋体"/>
                <w:spacing w:val="-4"/>
                <w:kern w:val="28"/>
                <w:sz w:val="21"/>
                <w:szCs w:val="21"/>
                <w:lang w:val="en-US" w:eastAsia="zh-CN"/>
              </w:rPr>
            </w:pPr>
            <w:r>
              <w:rPr>
                <w:rFonts w:hint="eastAsia" w:ascii="宋体" w:hAnsi="宋体" w:cs="宋体"/>
                <w:spacing w:val="-4"/>
                <w:kern w:val="28"/>
                <w:sz w:val="21"/>
                <w:szCs w:val="21"/>
                <w:lang w:val="en-US" w:eastAsia="zh-CN"/>
              </w:rPr>
              <w:t>4、此电机轴头为空心螺纹型（螺孔直径12mm 孔深50mm)。</w:t>
            </w:r>
          </w:p>
        </w:tc>
        <w:tc>
          <w:tcPr>
            <w:tcW w:w="951" w:type="dxa"/>
            <w:noWrap w:val="0"/>
            <w:vAlign w:val="center"/>
          </w:tcPr>
          <w:p w14:paraId="267663FA">
            <w:pPr>
              <w:tabs>
                <w:tab w:val="left" w:pos="540"/>
                <w:tab w:val="left" w:pos="720"/>
                <w:tab w:val="left" w:pos="1080"/>
              </w:tabs>
              <w:adjustRightInd/>
              <w:spacing w:line="360" w:lineRule="auto"/>
              <w:jc w:val="center"/>
              <w:textAlignment w:val="auto"/>
              <w:rPr>
                <w:rFonts w:hint="eastAsia" w:ascii="宋体" w:hAnsi="宋体" w:cs="宋体"/>
                <w:spacing w:val="-4"/>
                <w:kern w:val="28"/>
                <w:sz w:val="21"/>
                <w:szCs w:val="21"/>
                <w:lang w:val="en-US" w:eastAsia="zh-CN"/>
              </w:rPr>
            </w:pPr>
            <w:r>
              <w:rPr>
                <w:rFonts w:hint="eastAsia" w:ascii="宋体" w:hAnsi="宋体" w:cs="宋体"/>
                <w:spacing w:val="-4"/>
                <w:kern w:val="28"/>
                <w:sz w:val="21"/>
                <w:szCs w:val="21"/>
                <w:lang w:val="en-US" w:eastAsia="zh-CN"/>
              </w:rPr>
              <w:t>/</w:t>
            </w:r>
          </w:p>
        </w:tc>
      </w:tr>
    </w:tbl>
    <w:p w14:paraId="7C532D65">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firstLine="0" w:firstLineChars="0"/>
        <w:textAlignment w:val="baseline"/>
        <w:rPr>
          <w:rFonts w:hint="eastAsia" w:ascii="宋体" w:hAnsi="宋体" w:eastAsia="宋体" w:cs="宋体"/>
          <w:b/>
          <w:bCs w:val="0"/>
          <w:color w:val="auto"/>
          <w:sz w:val="21"/>
          <w:szCs w:val="21"/>
          <w:lang w:val="en-US" w:eastAsia="zh-CN"/>
        </w:rPr>
      </w:pPr>
      <w:r>
        <w:rPr>
          <w:rFonts w:hint="eastAsia" w:ascii="宋体" w:hAnsi="宋体" w:eastAsia="宋体" w:cs="宋体"/>
          <w:b/>
          <w:bCs w:val="0"/>
          <w:color w:val="auto"/>
          <w:sz w:val="21"/>
          <w:szCs w:val="21"/>
          <w:lang w:val="en-US" w:eastAsia="zh-CN"/>
        </w:rPr>
        <w:t>三、制造要求</w:t>
      </w:r>
    </w:p>
    <w:p w14:paraId="7F1EEAE5">
      <w:pPr>
        <w:adjustRightInd/>
        <w:spacing w:before="0" w:beforeAutospacing="0" w:after="0" w:afterAutospacing="0" w:line="360" w:lineRule="auto"/>
        <w:ind w:firstLine="0" w:firstLineChars="0"/>
        <w:jc w:val="both"/>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3.1主要技术要求</w:t>
      </w:r>
    </w:p>
    <w:p w14:paraId="285B6DD3">
      <w:pPr>
        <w:keepNext w:val="0"/>
        <w:keepLines w:val="0"/>
        <w:pageBreakBefore w:val="0"/>
        <w:widowControl w:val="0"/>
        <w:numPr>
          <w:ilvl w:val="2"/>
          <w:numId w:val="5"/>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电动机</w:t>
      </w:r>
      <w:r>
        <w:rPr>
          <w:rFonts w:hint="eastAsia" w:ascii="宋体" w:hAnsi="宋体" w:eastAsia="宋体" w:cs="Times New Roman"/>
          <w:color w:val="auto"/>
          <w:sz w:val="21"/>
          <w:szCs w:val="21"/>
          <w:highlight w:val="none"/>
          <w:lang w:val="en-GB" w:eastAsia="zh-CN"/>
        </w:rPr>
        <w:t>的功率、等级、性能、外形安装尺寸</w:t>
      </w:r>
      <w:r>
        <w:rPr>
          <w:rFonts w:hint="eastAsia" w:ascii="宋体" w:hAnsi="宋体" w:eastAsia="宋体" w:cs="Times New Roman"/>
          <w:color w:val="auto"/>
          <w:sz w:val="21"/>
          <w:szCs w:val="21"/>
          <w:highlight w:val="none"/>
          <w:lang w:val="en-US" w:eastAsia="zh-CN"/>
        </w:rPr>
        <w:t>均应符合国家标准《旋转电机　定额和性能》（GB/T 755-2019）、《大型三相异步电动机基本系列技术条件》（GB/T 13957-2022）和国家行业标准</w:t>
      </w:r>
      <w:r>
        <w:rPr>
          <w:rFonts w:hint="eastAsia" w:ascii="宋体" w:hAnsi="宋体" w:cs="Times New Roman"/>
          <w:color w:val="auto"/>
          <w:sz w:val="21"/>
          <w:szCs w:val="21"/>
          <w:highlight w:val="none"/>
          <w:lang w:val="en-US" w:eastAsia="zh-CN"/>
        </w:rPr>
        <w:t>。</w:t>
      </w:r>
    </w:p>
    <w:p w14:paraId="35800CD4">
      <w:pPr>
        <w:keepNext w:val="0"/>
        <w:keepLines w:val="0"/>
        <w:pageBreakBefore w:val="0"/>
        <w:widowControl w:val="0"/>
        <w:numPr>
          <w:ilvl w:val="2"/>
          <w:numId w:val="5"/>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为保证</w:t>
      </w:r>
      <w:r>
        <w:rPr>
          <w:rFonts w:hint="eastAsia" w:ascii="宋体" w:hAnsi="宋体" w:cs="Times New Roman"/>
          <w:color w:val="auto"/>
          <w:sz w:val="21"/>
          <w:szCs w:val="21"/>
          <w:highlight w:val="none"/>
          <w:lang w:val="en-US" w:eastAsia="zh-CN"/>
        </w:rPr>
        <w:t>供货</w:t>
      </w:r>
      <w:r>
        <w:rPr>
          <w:rFonts w:hint="eastAsia" w:ascii="宋体" w:hAnsi="宋体" w:eastAsia="宋体" w:cs="Times New Roman"/>
          <w:color w:val="auto"/>
          <w:sz w:val="21"/>
          <w:szCs w:val="21"/>
          <w:highlight w:val="none"/>
          <w:lang w:val="en-US" w:eastAsia="zh-CN"/>
        </w:rPr>
        <w:t>的电机与在线使用的</w:t>
      </w:r>
      <w:r>
        <w:rPr>
          <w:rFonts w:hint="eastAsia" w:ascii="宋体" w:hAnsi="宋体" w:cs="Times New Roman"/>
          <w:color w:val="auto"/>
          <w:sz w:val="21"/>
          <w:szCs w:val="21"/>
          <w:highlight w:val="none"/>
          <w:lang w:val="en-US" w:eastAsia="zh-CN"/>
        </w:rPr>
        <w:t>中板轧机主</w:t>
      </w:r>
      <w:r>
        <w:rPr>
          <w:rFonts w:hint="eastAsia" w:ascii="宋体" w:hAnsi="宋体" w:eastAsia="宋体" w:cs="Times New Roman"/>
          <w:color w:val="auto"/>
          <w:sz w:val="21"/>
          <w:szCs w:val="21"/>
          <w:highlight w:val="none"/>
          <w:lang w:val="en-US" w:eastAsia="zh-CN"/>
        </w:rPr>
        <w:t>电机</w:t>
      </w:r>
      <w:r>
        <w:rPr>
          <w:rFonts w:hint="eastAsia" w:ascii="宋体" w:hAnsi="宋体" w:cs="Times New Roman"/>
          <w:color w:val="auto"/>
          <w:sz w:val="21"/>
          <w:szCs w:val="21"/>
          <w:highlight w:val="none"/>
          <w:lang w:val="en-US" w:eastAsia="zh-CN"/>
        </w:rPr>
        <w:t>冷却风机电机</w:t>
      </w:r>
      <w:r>
        <w:rPr>
          <w:rFonts w:hint="eastAsia" w:ascii="宋体" w:hAnsi="宋体" w:eastAsia="宋体" w:cs="Times New Roman"/>
          <w:color w:val="auto"/>
          <w:sz w:val="21"/>
          <w:szCs w:val="21"/>
          <w:highlight w:val="none"/>
          <w:lang w:val="en-US" w:eastAsia="zh-CN"/>
        </w:rPr>
        <w:t>尺寸及安装方式一致，厂家需要到现场进行实际测量。</w:t>
      </w:r>
    </w:p>
    <w:p w14:paraId="464BE4A1">
      <w:pPr>
        <w:keepNext w:val="0"/>
        <w:keepLines w:val="0"/>
        <w:pageBreakBefore w:val="0"/>
        <w:widowControl w:val="0"/>
        <w:numPr>
          <w:ilvl w:val="2"/>
          <w:numId w:val="5"/>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04" w:firstLineChars="200"/>
        <w:jc w:val="both"/>
        <w:textAlignment w:val="auto"/>
        <w:rPr>
          <w:rFonts w:hint="eastAsia" w:ascii="宋体" w:hAnsi="宋体" w:eastAsia="宋体" w:cs="Times New Roman"/>
          <w:color w:val="auto"/>
          <w:sz w:val="21"/>
          <w:szCs w:val="21"/>
          <w:highlight w:val="none"/>
          <w:lang w:val="en-US" w:eastAsia="zh-CN"/>
        </w:rPr>
      </w:pPr>
      <w:r>
        <w:rPr>
          <w:rFonts w:hint="eastAsia" w:ascii="宋体" w:hAnsi="宋体" w:cs="宋体"/>
          <w:spacing w:val="-4"/>
          <w:kern w:val="28"/>
          <w:sz w:val="21"/>
          <w:szCs w:val="21"/>
          <w:lang w:val="en-US" w:eastAsia="zh-CN"/>
        </w:rPr>
        <w:t>此电机用于轧机主电机外挂式冷却风机，电机外壳采用铝合金材质，电机总重量不能超过65Kg，绕组采用优质铜线圈。</w:t>
      </w:r>
    </w:p>
    <w:p w14:paraId="27444B44">
      <w:pPr>
        <w:keepNext w:val="0"/>
        <w:keepLines w:val="0"/>
        <w:pageBreakBefore w:val="0"/>
        <w:widowControl w:val="0"/>
        <w:numPr>
          <w:ilvl w:val="2"/>
          <w:numId w:val="5"/>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04" w:firstLineChars="200"/>
        <w:jc w:val="both"/>
        <w:textAlignment w:val="auto"/>
        <w:rPr>
          <w:rFonts w:hint="eastAsia" w:ascii="宋体" w:hAnsi="宋体" w:eastAsia="宋体" w:cs="Times New Roman"/>
          <w:color w:val="auto"/>
          <w:sz w:val="21"/>
          <w:szCs w:val="21"/>
          <w:highlight w:val="none"/>
          <w:lang w:val="en-US" w:eastAsia="zh-CN"/>
        </w:rPr>
      </w:pPr>
      <w:r>
        <w:rPr>
          <w:rFonts w:hint="eastAsia" w:ascii="宋体" w:hAnsi="宋体" w:cs="宋体"/>
          <w:spacing w:val="-4"/>
          <w:kern w:val="28"/>
          <w:sz w:val="21"/>
          <w:szCs w:val="21"/>
          <w:lang w:val="en-US" w:eastAsia="zh-CN"/>
        </w:rPr>
        <w:t>此电机安装方式为立式安装，圆形法兰盘。</w:t>
      </w:r>
    </w:p>
    <w:p w14:paraId="6FABE8BE">
      <w:pPr>
        <w:keepNext w:val="0"/>
        <w:keepLines w:val="0"/>
        <w:pageBreakBefore w:val="0"/>
        <w:widowControl w:val="0"/>
        <w:numPr>
          <w:ilvl w:val="2"/>
          <w:numId w:val="5"/>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04" w:firstLineChars="200"/>
        <w:jc w:val="both"/>
        <w:textAlignment w:val="auto"/>
        <w:rPr>
          <w:rFonts w:hint="eastAsia" w:ascii="宋体" w:hAnsi="宋体" w:eastAsia="宋体" w:cs="Times New Roman"/>
          <w:color w:val="auto"/>
          <w:sz w:val="21"/>
          <w:szCs w:val="21"/>
          <w:highlight w:val="none"/>
          <w:lang w:val="en-US" w:eastAsia="zh-CN"/>
        </w:rPr>
      </w:pPr>
      <w:r>
        <w:rPr>
          <w:rFonts w:hint="eastAsia" w:ascii="宋体" w:hAnsi="宋体" w:cs="宋体"/>
          <w:spacing w:val="-4"/>
          <w:kern w:val="28"/>
          <w:sz w:val="21"/>
          <w:szCs w:val="21"/>
          <w:lang w:val="en-US" w:eastAsia="zh-CN"/>
        </w:rPr>
        <w:t>此电机轴头为空心螺纹型（螺孔直径12mm 孔深50mm)。</w:t>
      </w:r>
    </w:p>
    <w:p w14:paraId="4B39543A">
      <w:pPr>
        <w:keepNext w:val="0"/>
        <w:keepLines w:val="0"/>
        <w:pageBreakBefore w:val="0"/>
        <w:widowControl w:val="0"/>
        <w:numPr>
          <w:ilvl w:val="2"/>
          <w:numId w:val="5"/>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该批次电机须采用出自国家发改委推广的“节能产品惠民工程”高效电机推广目录的产品，能效等级必须达到《电动机能效限定值及能效等级》（GB 18613-2020）所要求的一级能效。</w:t>
      </w:r>
    </w:p>
    <w:p w14:paraId="233BBD63">
      <w:pPr>
        <w:keepNext w:val="0"/>
        <w:keepLines w:val="0"/>
        <w:pageBreakBefore w:val="0"/>
        <w:widowControl w:val="0"/>
        <w:numPr>
          <w:ilvl w:val="2"/>
          <w:numId w:val="5"/>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电动机应具有</w:t>
      </w:r>
      <w:r>
        <w:rPr>
          <w:rFonts w:hint="eastAsia" w:ascii="宋体" w:hAnsi="宋体" w:cs="Times New Roman"/>
          <w:color w:val="auto"/>
          <w:sz w:val="21"/>
          <w:szCs w:val="21"/>
          <w:highlight w:val="none"/>
          <w:lang w:val="en-US" w:eastAsia="zh-CN"/>
        </w:rPr>
        <w:t>F</w:t>
      </w:r>
      <w:r>
        <w:rPr>
          <w:rFonts w:hint="eastAsia" w:ascii="宋体" w:hAnsi="宋体" w:eastAsia="宋体" w:cs="Times New Roman"/>
          <w:color w:val="auto"/>
          <w:sz w:val="21"/>
          <w:szCs w:val="21"/>
          <w:highlight w:val="none"/>
          <w:lang w:val="en-US" w:eastAsia="zh-CN"/>
        </w:rPr>
        <w:t>级绝缘，但其温升不得超过</w:t>
      </w:r>
      <w:r>
        <w:rPr>
          <w:rFonts w:hint="eastAsia" w:ascii="宋体" w:hAnsi="宋体" w:cs="Times New Roman"/>
          <w:color w:val="auto"/>
          <w:sz w:val="21"/>
          <w:szCs w:val="21"/>
          <w:highlight w:val="none"/>
          <w:lang w:val="en-US" w:eastAsia="zh-CN"/>
        </w:rPr>
        <w:t>F</w:t>
      </w:r>
      <w:r>
        <w:rPr>
          <w:rFonts w:hint="eastAsia" w:ascii="宋体" w:hAnsi="宋体" w:eastAsia="宋体" w:cs="Times New Roman"/>
          <w:color w:val="auto"/>
          <w:sz w:val="21"/>
          <w:szCs w:val="21"/>
          <w:highlight w:val="none"/>
          <w:lang w:val="en-US" w:eastAsia="zh-CN"/>
        </w:rPr>
        <w:t>级绝缘规定的温升值。电动机绕组应经真空压力浸渍处理和环氧树脂密封绝缘，绝缘应能承受周围使用环境影响。电动机的连接导线与绕组的绝缘应具有相同的绝缘等级</w:t>
      </w:r>
      <w:r>
        <w:rPr>
          <w:rFonts w:hint="eastAsia" w:ascii="宋体" w:hAnsi="宋体" w:cs="Times New Roman"/>
          <w:color w:val="auto"/>
          <w:sz w:val="21"/>
          <w:szCs w:val="21"/>
          <w:highlight w:val="none"/>
          <w:lang w:val="en-US" w:eastAsia="zh-CN"/>
        </w:rPr>
        <w:t>。</w:t>
      </w:r>
    </w:p>
    <w:p w14:paraId="2B78EEA6">
      <w:pPr>
        <w:keepNext w:val="0"/>
        <w:keepLines w:val="0"/>
        <w:pageBreakBefore w:val="0"/>
        <w:widowControl w:val="0"/>
        <w:numPr>
          <w:ilvl w:val="2"/>
          <w:numId w:val="5"/>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电机接线盒保持与现场在用电机接线盒方向一致</w:t>
      </w:r>
      <w:r>
        <w:rPr>
          <w:rFonts w:hint="eastAsia" w:ascii="宋体" w:hAnsi="宋体" w:cs="Times New Roman"/>
          <w:color w:val="auto"/>
          <w:sz w:val="21"/>
          <w:szCs w:val="21"/>
          <w:highlight w:val="none"/>
          <w:lang w:val="en-US" w:eastAsia="zh-CN"/>
        </w:rPr>
        <w:t>。</w:t>
      </w:r>
    </w:p>
    <w:p w14:paraId="3CDC85C1">
      <w:pPr>
        <w:keepNext w:val="0"/>
        <w:keepLines w:val="0"/>
        <w:pageBreakBefore w:val="0"/>
        <w:widowControl w:val="0"/>
        <w:numPr>
          <w:ilvl w:val="2"/>
          <w:numId w:val="5"/>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电动机的设计要求应符合本设计规范书和被驱动设备制造厂商提出的特定使用要求。当运行在设计条件下时，电动机的铭牌出力应不小于被驱动设备所需功率的 115%。</w:t>
      </w:r>
    </w:p>
    <w:p w14:paraId="1BCB6968">
      <w:pPr>
        <w:keepNext w:val="0"/>
        <w:keepLines w:val="0"/>
        <w:pageBreakBefore w:val="0"/>
        <w:widowControl w:val="0"/>
        <w:numPr>
          <w:ilvl w:val="2"/>
          <w:numId w:val="5"/>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电动机的轴承结构应是密封的，能隔绝污物和水，并不能使润滑剂进入线圈和外溢。选用进口知名品牌轴承，轴承有质量检测报告、合格证书，且前后端盖均设置加油嘴，均有不停机加油和排油装置。</w:t>
      </w:r>
    </w:p>
    <w:p w14:paraId="101CC89D">
      <w:pPr>
        <w:keepNext w:val="0"/>
        <w:keepLines w:val="0"/>
        <w:pageBreakBefore w:val="0"/>
        <w:widowControl w:val="0"/>
        <w:numPr>
          <w:ilvl w:val="2"/>
          <w:numId w:val="5"/>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电动机到货时出厂时间小于六个月。</w:t>
      </w:r>
    </w:p>
    <w:p w14:paraId="058555C9">
      <w:pPr>
        <w:keepNext w:val="0"/>
        <w:keepLines w:val="0"/>
        <w:pageBreakBefore w:val="0"/>
        <w:widowControl w:val="0"/>
        <w:numPr>
          <w:ilvl w:val="2"/>
          <w:numId w:val="5"/>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宋体"/>
          <w:color w:val="auto"/>
          <w:sz w:val="21"/>
          <w:szCs w:val="21"/>
          <w:lang w:val="en-US" w:eastAsia="zh-CN"/>
        </w:rPr>
        <w:t>现场电机外观如下图：</w:t>
      </w:r>
    </w:p>
    <w:p w14:paraId="551603F4">
      <w:pPr>
        <w:pStyle w:val="4"/>
        <w:jc w:val="both"/>
        <w:rPr>
          <w:rFonts w:hint="eastAsia"/>
          <w:color w:val="auto"/>
          <w:lang w:val="en-US" w:eastAsia="zh-CN"/>
        </w:rPr>
      </w:pPr>
      <w:r>
        <w:rPr>
          <w:rFonts w:hint="eastAsia"/>
          <w:lang w:val="en-US" w:eastAsia="zh-CN"/>
        </w:rPr>
        <w:t xml:space="preserve">   </w:t>
      </w:r>
      <w:r>
        <w:drawing>
          <wp:inline distT="0" distB="0" distL="114300" distR="114300">
            <wp:extent cx="2399665" cy="1818640"/>
            <wp:effectExtent l="0" t="0" r="8255"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2399665" cy="1818640"/>
                    </a:xfrm>
                    <a:prstGeom prst="rect">
                      <a:avLst/>
                    </a:prstGeom>
                    <a:noFill/>
                    <a:ln>
                      <a:noFill/>
                    </a:ln>
                  </pic:spPr>
                </pic:pic>
              </a:graphicData>
            </a:graphic>
          </wp:inline>
        </w:drawing>
      </w:r>
      <w:r>
        <w:rPr>
          <w:rFonts w:hint="eastAsia" w:ascii="宋体" w:hAnsi="宋体" w:cs="宋体"/>
          <w:color w:val="auto"/>
          <w:sz w:val="21"/>
          <w:szCs w:val="21"/>
          <w:lang w:val="en-US" w:eastAsia="zh-CN"/>
        </w:rPr>
        <w:t xml:space="preserve">  </w:t>
      </w:r>
      <w:r>
        <w:drawing>
          <wp:inline distT="0" distB="0" distL="114300" distR="114300">
            <wp:extent cx="2660650" cy="1828165"/>
            <wp:effectExtent l="0" t="0" r="6350" b="63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2660650" cy="1828165"/>
                    </a:xfrm>
                    <a:prstGeom prst="rect">
                      <a:avLst/>
                    </a:prstGeom>
                    <a:noFill/>
                    <a:ln>
                      <a:noFill/>
                    </a:ln>
                  </pic:spPr>
                </pic:pic>
              </a:graphicData>
            </a:graphic>
          </wp:inline>
        </w:drawing>
      </w:r>
      <w:r>
        <w:rPr>
          <w:rFonts w:hint="eastAsia" w:ascii="宋体" w:hAnsi="宋体" w:cs="宋体"/>
          <w:color w:val="auto"/>
          <w:sz w:val="21"/>
          <w:szCs w:val="21"/>
          <w:lang w:val="en-US" w:eastAsia="zh-CN"/>
        </w:rPr>
        <w:t xml:space="preserve">  </w:t>
      </w:r>
    </w:p>
    <w:p w14:paraId="44CFA6D6">
      <w:pPr>
        <w:pStyle w:val="4"/>
        <w:rPr>
          <w:rFonts w:hint="eastAsia"/>
          <w:color w:val="auto"/>
          <w:lang w:val="en-US" w:eastAsia="zh-CN"/>
        </w:rPr>
      </w:pPr>
    </w:p>
    <w:p w14:paraId="0635C1E3">
      <w:pPr>
        <w:adjustRightInd/>
        <w:spacing w:before="0" w:beforeAutospacing="0" w:after="0" w:afterAutospacing="0" w:line="360" w:lineRule="auto"/>
        <w:ind w:firstLine="0" w:firstLineChars="0"/>
        <w:jc w:val="both"/>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3.</w:t>
      </w:r>
      <w:r>
        <w:rPr>
          <w:rFonts w:hint="eastAsia" w:ascii="宋体" w:hAnsi="宋体" w:eastAsia="宋体" w:cs="宋体"/>
          <w:b/>
          <w:color w:val="auto"/>
          <w:sz w:val="21"/>
          <w:szCs w:val="21"/>
          <w:lang w:val="en-US" w:eastAsia="zh-CN"/>
        </w:rPr>
        <w:t>2</w:t>
      </w:r>
      <w:r>
        <w:rPr>
          <w:rFonts w:hint="eastAsia" w:ascii="宋体" w:hAnsi="宋体" w:eastAsia="宋体" w:cs="宋体"/>
          <w:b/>
          <w:color w:val="auto"/>
          <w:sz w:val="21"/>
          <w:szCs w:val="21"/>
        </w:rPr>
        <w:t>质量要求</w:t>
      </w:r>
    </w:p>
    <w:p w14:paraId="059524BD">
      <w:pPr>
        <w:keepNext w:val="0"/>
        <w:keepLines w:val="0"/>
        <w:pageBreakBefore w:val="0"/>
        <w:widowControl w:val="0"/>
        <w:numPr>
          <w:ilvl w:val="2"/>
          <w:numId w:val="6"/>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GB" w:eastAsia="zh-CN"/>
        </w:rPr>
      </w:pPr>
      <w:r>
        <w:rPr>
          <w:rFonts w:hint="eastAsia" w:ascii="宋体" w:hAnsi="宋体" w:eastAsia="宋体" w:cs="Times New Roman"/>
          <w:color w:val="auto"/>
          <w:sz w:val="21"/>
          <w:szCs w:val="21"/>
          <w:highlight w:val="none"/>
          <w:lang w:val="en-GB" w:eastAsia="zh-CN"/>
        </w:rPr>
        <w:t>电机的试验方法按照《三相异步电动机试验方法》（GB/T 1032-2012）。</w:t>
      </w:r>
    </w:p>
    <w:p w14:paraId="4548D9BE">
      <w:pPr>
        <w:keepNext w:val="0"/>
        <w:keepLines w:val="0"/>
        <w:pageBreakBefore w:val="0"/>
        <w:widowControl w:val="0"/>
        <w:numPr>
          <w:ilvl w:val="2"/>
          <w:numId w:val="6"/>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电动机的振动值应符合国家标准《轴中心高为</w:t>
      </w:r>
      <w:r>
        <w:rPr>
          <w:rFonts w:hint="eastAsia" w:ascii="宋体" w:hAnsi="宋体" w:cs="Times New Roman"/>
          <w:color w:val="auto"/>
          <w:sz w:val="21"/>
          <w:szCs w:val="21"/>
          <w:highlight w:val="none"/>
          <w:lang w:val="en-US" w:eastAsia="zh-CN"/>
        </w:rPr>
        <w:t>１３２</w:t>
      </w:r>
      <w:r>
        <w:rPr>
          <w:rFonts w:hint="eastAsia" w:ascii="宋体" w:hAnsi="宋体" w:eastAsia="宋体" w:cs="Times New Roman"/>
          <w:color w:val="auto"/>
          <w:sz w:val="21"/>
          <w:szCs w:val="21"/>
          <w:highlight w:val="none"/>
          <w:lang w:val="en-US" w:eastAsia="zh-CN"/>
        </w:rPr>
        <w:t>mm电机的机械振动　振动的测量、评定及限值》（GB/T 10068-2020）的规定，电机空载时测得的振动有效值不大于0.0</w:t>
      </w:r>
      <w:r>
        <w:rPr>
          <w:rFonts w:hint="eastAsia" w:ascii="宋体" w:hAnsi="宋体" w:cs="Times New Roman"/>
          <w:color w:val="auto"/>
          <w:sz w:val="21"/>
          <w:szCs w:val="21"/>
          <w:highlight w:val="none"/>
          <w:lang w:val="en-US" w:eastAsia="zh-CN"/>
        </w:rPr>
        <w:t>3</w:t>
      </w:r>
      <w:r>
        <w:rPr>
          <w:rFonts w:hint="eastAsia" w:ascii="宋体" w:hAnsi="宋体" w:eastAsia="宋体" w:cs="Times New Roman"/>
          <w:color w:val="auto"/>
          <w:sz w:val="21"/>
          <w:szCs w:val="21"/>
          <w:highlight w:val="none"/>
          <w:lang w:val="en-US" w:eastAsia="zh-CN"/>
        </w:rPr>
        <w:t>mm。</w:t>
      </w:r>
    </w:p>
    <w:p w14:paraId="7C69B7F3">
      <w:pPr>
        <w:keepNext w:val="0"/>
        <w:keepLines w:val="0"/>
        <w:pageBreakBefore w:val="0"/>
        <w:widowControl w:val="0"/>
        <w:numPr>
          <w:ilvl w:val="2"/>
          <w:numId w:val="6"/>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电机噪声应符合国家标准《旋转电机噪声测定方法及限值　第3部分：噪声限值》（GB/T 10069.3-2008），电动机空载时测得的A计权声功率级的噪声数值，应不超过86db(A)。</w:t>
      </w:r>
    </w:p>
    <w:p w14:paraId="0749CC72">
      <w:pPr>
        <w:keepNext w:val="0"/>
        <w:keepLines w:val="0"/>
        <w:pageBreakBefore w:val="0"/>
        <w:widowControl w:val="0"/>
        <w:numPr>
          <w:ilvl w:val="2"/>
          <w:numId w:val="6"/>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电动机的起动电流，应达到和满足其应用要求的良好性能与经济设计一致的最低电流值。</w:t>
      </w:r>
    </w:p>
    <w:p w14:paraId="7013E321">
      <w:pPr>
        <w:keepNext w:val="0"/>
        <w:keepLines w:val="0"/>
        <w:pageBreakBefore w:val="0"/>
        <w:widowControl w:val="0"/>
        <w:numPr>
          <w:ilvl w:val="2"/>
          <w:numId w:val="6"/>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GB" w:eastAsia="zh-CN"/>
        </w:rPr>
      </w:pPr>
      <w:r>
        <w:rPr>
          <w:rFonts w:hint="eastAsia" w:ascii="宋体" w:hAnsi="宋体" w:eastAsia="宋体" w:cs="Times New Roman"/>
          <w:color w:val="auto"/>
          <w:sz w:val="21"/>
          <w:szCs w:val="21"/>
          <w:highlight w:val="none"/>
          <w:lang w:val="en-GB" w:eastAsia="zh-CN"/>
        </w:rPr>
        <w:t>电机要适应长期过载状况下运行。</w:t>
      </w:r>
    </w:p>
    <w:p w14:paraId="70399CAD">
      <w:pPr>
        <w:keepNext w:val="0"/>
        <w:keepLines w:val="0"/>
        <w:pageBreakBefore w:val="0"/>
        <w:widowControl w:val="0"/>
        <w:numPr>
          <w:ilvl w:val="2"/>
          <w:numId w:val="6"/>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GB" w:eastAsia="zh-CN"/>
        </w:rPr>
      </w:pPr>
      <w:r>
        <w:rPr>
          <w:rFonts w:hint="eastAsia" w:ascii="宋体" w:hAnsi="宋体" w:eastAsia="宋体" w:cs="Times New Roman"/>
          <w:color w:val="auto"/>
          <w:sz w:val="21"/>
          <w:szCs w:val="21"/>
          <w:highlight w:val="none"/>
          <w:lang w:val="en-GB" w:eastAsia="zh-CN"/>
        </w:rPr>
        <w:t>电动机的结构应能承受标准规定的正反转的超速值，而不造成设备损坏。</w:t>
      </w:r>
    </w:p>
    <w:p w14:paraId="1F3368A0">
      <w:pPr>
        <w:keepNext w:val="0"/>
        <w:keepLines w:val="0"/>
        <w:pageBreakBefore w:val="0"/>
        <w:widowControl w:val="0"/>
        <w:numPr>
          <w:ilvl w:val="2"/>
          <w:numId w:val="6"/>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GB" w:eastAsia="zh-CN"/>
        </w:rPr>
      </w:pPr>
      <w:r>
        <w:rPr>
          <w:rFonts w:hint="eastAsia" w:ascii="宋体" w:hAnsi="宋体" w:eastAsia="宋体" w:cs="Times New Roman"/>
          <w:color w:val="auto"/>
          <w:sz w:val="21"/>
          <w:szCs w:val="21"/>
          <w:highlight w:val="none"/>
          <w:lang w:val="en-GB" w:eastAsia="zh-CN"/>
        </w:rPr>
        <w:t>电机</w:t>
      </w:r>
      <w:r>
        <w:rPr>
          <w:rFonts w:hint="eastAsia" w:ascii="宋体" w:hAnsi="宋体" w:eastAsia="宋体" w:cs="Times New Roman"/>
          <w:color w:val="auto"/>
          <w:sz w:val="21"/>
          <w:szCs w:val="21"/>
          <w:highlight w:val="none"/>
          <w:lang w:val="en-US" w:eastAsia="zh-CN"/>
        </w:rPr>
        <w:t>及其</w:t>
      </w:r>
      <w:r>
        <w:rPr>
          <w:rFonts w:hint="eastAsia" w:ascii="宋体" w:hAnsi="宋体" w:eastAsia="宋体" w:cs="Times New Roman"/>
          <w:color w:val="auto"/>
          <w:sz w:val="21"/>
          <w:szCs w:val="21"/>
          <w:highlight w:val="none"/>
          <w:lang w:val="en-GB" w:eastAsia="zh-CN"/>
        </w:rPr>
        <w:t>零部件必须</w:t>
      </w:r>
      <w:r>
        <w:rPr>
          <w:rFonts w:hint="eastAsia" w:ascii="宋体" w:hAnsi="宋体" w:eastAsia="宋体" w:cs="Times New Roman"/>
          <w:color w:val="auto"/>
          <w:sz w:val="21"/>
          <w:szCs w:val="21"/>
          <w:highlight w:val="none"/>
          <w:lang w:val="en-US" w:eastAsia="zh-CN"/>
        </w:rPr>
        <w:t>与</w:t>
      </w:r>
      <w:r>
        <w:rPr>
          <w:rFonts w:hint="eastAsia" w:ascii="宋体" w:hAnsi="宋体" w:cs="Times New Roman"/>
          <w:color w:val="auto"/>
          <w:sz w:val="21"/>
          <w:szCs w:val="21"/>
          <w:highlight w:val="none"/>
          <w:lang w:val="en-US" w:eastAsia="zh-CN"/>
        </w:rPr>
        <w:t>中板</w:t>
      </w:r>
      <w:r>
        <w:rPr>
          <w:rFonts w:hint="eastAsia" w:ascii="宋体" w:hAnsi="宋体" w:eastAsia="宋体" w:cs="Times New Roman"/>
          <w:color w:val="auto"/>
          <w:sz w:val="21"/>
          <w:szCs w:val="21"/>
          <w:highlight w:val="none"/>
          <w:lang w:val="en-US" w:eastAsia="zh-CN"/>
        </w:rPr>
        <w:t>在线使用的</w:t>
      </w:r>
      <w:r>
        <w:rPr>
          <w:rFonts w:hint="eastAsia" w:ascii="宋体" w:hAnsi="宋体" w:cs="Times New Roman"/>
          <w:color w:val="auto"/>
          <w:sz w:val="21"/>
          <w:szCs w:val="21"/>
          <w:highlight w:val="none"/>
          <w:lang w:val="en-US" w:eastAsia="zh-CN"/>
        </w:rPr>
        <w:t>加热炉出钢机</w:t>
      </w:r>
      <w:r>
        <w:rPr>
          <w:rFonts w:hint="eastAsia" w:ascii="宋体" w:hAnsi="宋体" w:eastAsia="宋体" w:cs="Times New Roman"/>
          <w:color w:val="auto"/>
          <w:sz w:val="21"/>
          <w:szCs w:val="21"/>
          <w:highlight w:val="none"/>
          <w:lang w:val="en-US" w:eastAsia="zh-CN"/>
        </w:rPr>
        <w:t>电机具</w:t>
      </w:r>
      <w:r>
        <w:rPr>
          <w:rFonts w:hint="eastAsia" w:ascii="宋体" w:hAnsi="宋体" w:eastAsia="宋体" w:cs="Times New Roman"/>
          <w:color w:val="auto"/>
          <w:sz w:val="21"/>
          <w:szCs w:val="21"/>
          <w:highlight w:val="none"/>
          <w:lang w:val="en-GB" w:eastAsia="zh-CN"/>
        </w:rPr>
        <w:t>有</w:t>
      </w:r>
      <w:r>
        <w:rPr>
          <w:rFonts w:hint="eastAsia" w:ascii="宋体" w:hAnsi="宋体" w:eastAsia="宋体" w:cs="Times New Roman"/>
          <w:color w:val="auto"/>
          <w:sz w:val="21"/>
          <w:szCs w:val="21"/>
          <w:highlight w:val="none"/>
          <w:lang w:val="en-US" w:eastAsia="zh-CN"/>
        </w:rPr>
        <w:t>完全</w:t>
      </w:r>
      <w:r>
        <w:rPr>
          <w:rFonts w:hint="eastAsia" w:ascii="宋体" w:hAnsi="宋体" w:cs="Times New Roman"/>
          <w:color w:val="auto"/>
          <w:sz w:val="21"/>
          <w:szCs w:val="21"/>
          <w:highlight w:val="none"/>
          <w:lang w:val="en-US" w:eastAsia="zh-CN"/>
        </w:rPr>
        <w:t>一致</w:t>
      </w:r>
      <w:r>
        <w:rPr>
          <w:rFonts w:hint="eastAsia" w:ascii="宋体" w:hAnsi="宋体" w:eastAsia="宋体" w:cs="Times New Roman"/>
          <w:color w:val="auto"/>
          <w:sz w:val="21"/>
          <w:szCs w:val="21"/>
          <w:highlight w:val="none"/>
          <w:lang w:val="en-GB" w:eastAsia="zh-CN"/>
        </w:rPr>
        <w:t>性。</w:t>
      </w:r>
    </w:p>
    <w:p w14:paraId="7F16B753">
      <w:pPr>
        <w:keepNext w:val="0"/>
        <w:keepLines w:val="0"/>
        <w:pageBreakBefore w:val="0"/>
        <w:widowControl w:val="0"/>
        <w:numPr>
          <w:ilvl w:val="2"/>
          <w:numId w:val="6"/>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eastAsia" w:ascii="宋体" w:hAnsi="宋体" w:eastAsia="宋体" w:cs="Times New Roman"/>
          <w:color w:val="auto"/>
          <w:sz w:val="21"/>
          <w:szCs w:val="21"/>
          <w:highlight w:val="none"/>
          <w:lang w:val="en-GB" w:eastAsia="zh-CN"/>
        </w:rPr>
      </w:pPr>
      <w:r>
        <w:rPr>
          <w:rFonts w:hint="eastAsia" w:ascii="宋体" w:hAnsi="宋体" w:eastAsia="宋体" w:cs="Times New Roman"/>
          <w:color w:val="auto"/>
          <w:sz w:val="21"/>
          <w:szCs w:val="21"/>
          <w:highlight w:val="none"/>
          <w:lang w:val="en-GB" w:eastAsia="zh-CN"/>
        </w:rPr>
        <w:t>电机使用地海拔 1640 米，电机应做有效的防电晕处理，并有相关实验报告。</w:t>
      </w:r>
    </w:p>
    <w:p w14:paraId="5BDB27DD">
      <w:pPr>
        <w:keepNext w:val="0"/>
        <w:keepLines w:val="0"/>
        <w:pageBreakBefore w:val="0"/>
        <w:widowControl w:val="0"/>
        <w:numPr>
          <w:ilvl w:val="2"/>
          <w:numId w:val="6"/>
        </w:numPr>
        <w:tabs>
          <w:tab w:val="left" w:pos="1134"/>
          <w:tab w:val="clear" w:pos="0"/>
        </w:tabs>
        <w:kinsoku/>
        <w:wordWrap/>
        <w:overflowPunct/>
        <w:topLinePunct w:val="0"/>
        <w:autoSpaceDE/>
        <w:autoSpaceDN/>
        <w:bidi w:val="0"/>
        <w:adjustRightInd/>
        <w:snapToGrid/>
        <w:spacing w:beforeAutospacing="0" w:afterAutospacing="0" w:line="360" w:lineRule="auto"/>
        <w:ind w:left="0" w:leftChars="0" w:firstLine="420" w:firstLineChars="200"/>
        <w:jc w:val="both"/>
        <w:textAlignment w:val="auto"/>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GB" w:eastAsia="zh-CN"/>
        </w:rPr>
        <w:t>电机随机供应备件：</w:t>
      </w:r>
      <w:r>
        <w:rPr>
          <w:rFonts w:hint="eastAsia" w:ascii="宋体" w:hAnsi="宋体" w:eastAsia="宋体" w:cs="Times New Roman"/>
          <w:color w:val="auto"/>
          <w:sz w:val="21"/>
          <w:szCs w:val="21"/>
          <w:highlight w:val="none"/>
          <w:lang w:val="en-US" w:eastAsia="zh-CN"/>
        </w:rPr>
        <w:t>电机键1</w:t>
      </w:r>
      <w:r>
        <w:rPr>
          <w:rFonts w:hint="eastAsia" w:ascii="宋体" w:hAnsi="宋体" w:eastAsia="宋体" w:cs="Times New Roman"/>
          <w:color w:val="auto"/>
          <w:sz w:val="21"/>
          <w:szCs w:val="21"/>
          <w:highlight w:val="none"/>
          <w:lang w:val="en-GB" w:eastAsia="zh-CN"/>
        </w:rPr>
        <w:t>台份。</w:t>
      </w:r>
    </w:p>
    <w:p w14:paraId="10098FBA">
      <w:pPr>
        <w:adjustRightInd/>
        <w:spacing w:before="0" w:beforeAutospacing="0" w:after="0" w:afterAutospacing="0" w:line="360" w:lineRule="auto"/>
        <w:ind w:firstLine="0" w:firstLineChars="0"/>
        <w:jc w:val="both"/>
        <w:textAlignment w:val="auto"/>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3.3 电机参数</w:t>
      </w:r>
    </w:p>
    <w:tbl>
      <w:tblPr>
        <w:tblStyle w:val="1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37"/>
        <w:gridCol w:w="2444"/>
        <w:gridCol w:w="2177"/>
        <w:gridCol w:w="1581"/>
      </w:tblGrid>
      <w:tr w14:paraId="277A7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4" w:hRule="atLeast"/>
          <w:jc w:val="center"/>
        </w:trPr>
        <w:tc>
          <w:tcPr>
            <w:tcW w:w="17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64AA8E1">
            <w:pPr>
              <w:keepNext w:val="0"/>
              <w:keepLines w:val="0"/>
              <w:widowControl/>
              <w:suppressLineNumbers w:val="0"/>
              <w:jc w:val="center"/>
              <w:textAlignment w:val="center"/>
              <w:rPr>
                <w:rFonts w:hint="eastAsia" w:ascii="宋体" w:hAnsi="宋体" w:eastAsia="宋体" w:cs="宋体"/>
                <w:b w:val="0"/>
                <w:bCs w:val="0"/>
                <w:i w:val="0"/>
                <w:color w:val="auto"/>
                <w:kern w:val="0"/>
                <w:sz w:val="21"/>
                <w:szCs w:val="21"/>
                <w:highlight w:val="none"/>
                <w:u w:val="none"/>
                <w:lang w:val="en-US" w:eastAsia="zh-CN" w:bidi="ar"/>
              </w:rPr>
            </w:pPr>
            <w:r>
              <w:rPr>
                <w:rFonts w:hint="eastAsia" w:ascii="宋体" w:hAnsi="宋体" w:eastAsia="宋体" w:cs="宋体"/>
                <w:b w:val="0"/>
                <w:bCs w:val="0"/>
                <w:i w:val="0"/>
                <w:color w:val="auto"/>
                <w:kern w:val="0"/>
                <w:sz w:val="21"/>
                <w:szCs w:val="21"/>
                <w:highlight w:val="none"/>
                <w:u w:val="none"/>
                <w:lang w:val="en-US" w:eastAsia="zh-CN" w:bidi="ar"/>
              </w:rPr>
              <w:t>型号</w:t>
            </w:r>
          </w:p>
        </w:tc>
        <w:tc>
          <w:tcPr>
            <w:tcW w:w="24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06BDA81">
            <w:pPr>
              <w:keepNext w:val="0"/>
              <w:keepLines w:val="0"/>
              <w:widowControl/>
              <w:suppressLineNumbers w:val="0"/>
              <w:jc w:val="center"/>
              <w:textAlignment w:val="center"/>
              <w:rPr>
                <w:rFonts w:hint="eastAsia" w:ascii="宋体" w:hAnsi="宋体" w:eastAsia="宋体" w:cs="宋体"/>
                <w:b w:val="0"/>
                <w:bCs w:val="0"/>
                <w:i w:val="0"/>
                <w:color w:val="auto"/>
                <w:kern w:val="0"/>
                <w:sz w:val="21"/>
                <w:szCs w:val="21"/>
                <w:highlight w:val="none"/>
                <w:u w:val="none"/>
                <w:lang w:val="en-US" w:eastAsia="zh-CN" w:bidi="ar"/>
              </w:rPr>
            </w:pPr>
            <w:r>
              <w:rPr>
                <w:rFonts w:hint="eastAsia" w:ascii="宋体" w:hAnsi="宋体" w:eastAsia="宋体" w:cs="宋体"/>
                <w:color w:val="auto"/>
                <w:sz w:val="21"/>
                <w:szCs w:val="21"/>
                <w:lang w:val="en-US" w:eastAsia="zh-CN"/>
              </w:rPr>
              <w:t xml:space="preserve">YE5-132M-4 </w:t>
            </w:r>
          </w:p>
        </w:tc>
        <w:tc>
          <w:tcPr>
            <w:tcW w:w="21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1BE5FCC">
            <w:pPr>
              <w:keepNext w:val="0"/>
              <w:keepLines w:val="0"/>
              <w:widowControl/>
              <w:suppressLineNumbers w:val="0"/>
              <w:jc w:val="center"/>
              <w:textAlignment w:val="center"/>
              <w:rPr>
                <w:rFonts w:hint="eastAsia" w:ascii="宋体" w:hAnsi="宋体" w:eastAsia="宋体" w:cs="宋体"/>
                <w:b w:val="0"/>
                <w:bCs w:val="0"/>
                <w:i w:val="0"/>
                <w:color w:val="auto"/>
                <w:kern w:val="0"/>
                <w:sz w:val="21"/>
                <w:szCs w:val="21"/>
                <w:highlight w:val="none"/>
                <w:u w:val="none"/>
                <w:lang w:val="en-US" w:eastAsia="zh-CN" w:bidi="ar"/>
              </w:rPr>
            </w:pPr>
            <w:r>
              <w:rPr>
                <w:rFonts w:hint="eastAsia" w:ascii="宋体" w:hAnsi="宋体" w:eastAsia="宋体" w:cs="宋体"/>
                <w:b w:val="0"/>
                <w:bCs w:val="0"/>
                <w:i w:val="0"/>
                <w:color w:val="auto"/>
                <w:kern w:val="0"/>
                <w:sz w:val="21"/>
                <w:szCs w:val="21"/>
                <w:highlight w:val="none"/>
                <w:u w:val="none"/>
                <w:lang w:val="en-US" w:eastAsia="zh-CN" w:bidi="ar"/>
              </w:rPr>
              <w:t>功率</w:t>
            </w:r>
          </w:p>
        </w:tc>
        <w:tc>
          <w:tcPr>
            <w:tcW w:w="15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DA6501">
            <w:pPr>
              <w:keepNext w:val="0"/>
              <w:keepLines w:val="0"/>
              <w:widowControl/>
              <w:suppressLineNumbers w:val="0"/>
              <w:jc w:val="center"/>
              <w:textAlignment w:val="center"/>
              <w:rPr>
                <w:rFonts w:hint="default" w:ascii="宋体" w:hAnsi="宋体" w:eastAsia="宋体" w:cs="宋体"/>
                <w:b w:val="0"/>
                <w:bCs w:val="0"/>
                <w:i w:val="0"/>
                <w:color w:val="auto"/>
                <w:kern w:val="0"/>
                <w:sz w:val="21"/>
                <w:szCs w:val="21"/>
                <w:highlight w:val="none"/>
                <w:u w:val="none"/>
                <w:lang w:val="en-US" w:eastAsia="zh-CN" w:bidi="ar"/>
              </w:rPr>
            </w:pPr>
            <w:r>
              <w:rPr>
                <w:rFonts w:hint="eastAsia" w:ascii="宋体" w:hAnsi="宋体" w:cs="宋体"/>
                <w:b w:val="0"/>
                <w:bCs w:val="0"/>
                <w:i w:val="0"/>
                <w:color w:val="auto"/>
                <w:kern w:val="0"/>
                <w:sz w:val="21"/>
                <w:szCs w:val="21"/>
                <w:highlight w:val="none"/>
                <w:u w:val="none"/>
                <w:lang w:val="en-US" w:eastAsia="zh-CN" w:bidi="ar"/>
              </w:rPr>
              <w:t>7.5</w:t>
            </w:r>
            <w:r>
              <w:rPr>
                <w:rFonts w:hint="eastAsia" w:ascii="宋体" w:hAnsi="宋体" w:eastAsia="宋体" w:cs="宋体"/>
                <w:b w:val="0"/>
                <w:bCs w:val="0"/>
                <w:i w:val="0"/>
                <w:color w:val="auto"/>
                <w:kern w:val="0"/>
                <w:sz w:val="21"/>
                <w:szCs w:val="21"/>
                <w:highlight w:val="none"/>
                <w:u w:val="none"/>
                <w:lang w:val="en-US" w:eastAsia="zh-CN" w:bidi="ar"/>
              </w:rPr>
              <w:t>k</w:t>
            </w:r>
            <w:r>
              <w:rPr>
                <w:rFonts w:hint="eastAsia" w:ascii="宋体" w:hAnsi="宋体" w:cs="宋体"/>
                <w:b w:val="0"/>
                <w:bCs w:val="0"/>
                <w:i w:val="0"/>
                <w:color w:val="auto"/>
                <w:kern w:val="0"/>
                <w:sz w:val="21"/>
                <w:szCs w:val="21"/>
                <w:highlight w:val="none"/>
                <w:u w:val="none"/>
                <w:lang w:val="en-US" w:eastAsia="zh-CN" w:bidi="ar"/>
              </w:rPr>
              <w:t>W</w:t>
            </w:r>
          </w:p>
        </w:tc>
      </w:tr>
      <w:tr w14:paraId="6F90F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4" w:hRule="atLeast"/>
          <w:jc w:val="center"/>
        </w:trPr>
        <w:tc>
          <w:tcPr>
            <w:tcW w:w="17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39F6F41">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b w:val="0"/>
                <w:bCs w:val="0"/>
                <w:i w:val="0"/>
                <w:color w:val="auto"/>
                <w:kern w:val="0"/>
                <w:sz w:val="21"/>
                <w:szCs w:val="21"/>
                <w:highlight w:val="none"/>
                <w:u w:val="none"/>
                <w:lang w:val="en-US" w:eastAsia="zh-CN" w:bidi="ar"/>
              </w:rPr>
              <w:t>相数</w:t>
            </w:r>
          </w:p>
        </w:tc>
        <w:tc>
          <w:tcPr>
            <w:tcW w:w="24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75C545B">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b w:val="0"/>
                <w:bCs w:val="0"/>
                <w:i w:val="0"/>
                <w:color w:val="auto"/>
                <w:kern w:val="0"/>
                <w:sz w:val="21"/>
                <w:szCs w:val="21"/>
                <w:highlight w:val="none"/>
                <w:u w:val="none"/>
                <w:lang w:val="en-US" w:eastAsia="zh-CN" w:bidi="ar"/>
              </w:rPr>
              <w:t>3相</w:t>
            </w:r>
          </w:p>
        </w:tc>
        <w:tc>
          <w:tcPr>
            <w:tcW w:w="21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CADBADE">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rPr>
            </w:pPr>
            <w:r>
              <w:rPr>
                <w:rFonts w:hint="eastAsia" w:ascii="宋体" w:hAnsi="宋体" w:eastAsia="宋体" w:cs="宋体"/>
                <w:b w:val="0"/>
                <w:bCs w:val="0"/>
                <w:i w:val="0"/>
                <w:color w:val="auto"/>
                <w:kern w:val="0"/>
                <w:sz w:val="21"/>
                <w:szCs w:val="21"/>
                <w:highlight w:val="none"/>
                <w:u w:val="none"/>
                <w:lang w:val="en-US" w:eastAsia="zh-CN" w:bidi="ar"/>
              </w:rPr>
              <w:t>极数</w:t>
            </w:r>
          </w:p>
        </w:tc>
        <w:tc>
          <w:tcPr>
            <w:tcW w:w="15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39FEB16">
            <w:pPr>
              <w:keepNext w:val="0"/>
              <w:keepLines w:val="0"/>
              <w:widowControl/>
              <w:suppressLineNumbers w:val="0"/>
              <w:jc w:val="center"/>
              <w:textAlignment w:val="center"/>
              <w:rPr>
                <w:rFonts w:hint="eastAsia" w:ascii="宋体" w:hAnsi="宋体" w:eastAsia="宋体" w:cs="宋体"/>
                <w:i w:val="0"/>
                <w:color w:val="auto"/>
                <w:sz w:val="21"/>
                <w:szCs w:val="21"/>
                <w:highlight w:val="none"/>
                <w:u w:val="none"/>
                <w:lang w:val="en-US" w:eastAsia="zh-CN"/>
              </w:rPr>
            </w:pPr>
            <w:r>
              <w:rPr>
                <w:rFonts w:hint="eastAsia" w:ascii="宋体" w:hAnsi="宋体" w:cs="宋体"/>
                <w:i w:val="0"/>
                <w:color w:val="auto"/>
                <w:sz w:val="21"/>
                <w:szCs w:val="21"/>
                <w:highlight w:val="none"/>
                <w:u w:val="none"/>
                <w:lang w:val="en-US" w:eastAsia="zh-CN"/>
              </w:rPr>
              <w:t>4</w:t>
            </w:r>
          </w:p>
        </w:tc>
      </w:tr>
      <w:tr w14:paraId="01537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4" w:hRule="atLeast"/>
          <w:jc w:val="center"/>
        </w:trPr>
        <w:tc>
          <w:tcPr>
            <w:tcW w:w="17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8AA4A93">
            <w:pPr>
              <w:keepNext w:val="0"/>
              <w:keepLines w:val="0"/>
              <w:widowControl/>
              <w:suppressLineNumbers w:val="0"/>
              <w:jc w:val="center"/>
              <w:textAlignment w:val="center"/>
              <w:rPr>
                <w:rFonts w:hint="default" w:ascii="宋体" w:hAnsi="宋体" w:eastAsia="宋体" w:cs="宋体"/>
                <w:i w:val="0"/>
                <w:color w:val="auto"/>
                <w:sz w:val="21"/>
                <w:szCs w:val="21"/>
                <w:highlight w:val="none"/>
                <w:u w:val="none"/>
                <w:lang w:val="en-US" w:eastAsia="zh-CN"/>
              </w:rPr>
            </w:pPr>
            <w:r>
              <w:rPr>
                <w:rFonts w:hint="eastAsia" w:ascii="宋体" w:hAnsi="宋体" w:cs="宋体"/>
                <w:i w:val="0"/>
                <w:color w:val="auto"/>
                <w:sz w:val="21"/>
                <w:szCs w:val="21"/>
                <w:highlight w:val="none"/>
                <w:u w:val="none"/>
                <w:lang w:val="en-US" w:eastAsia="zh-CN"/>
              </w:rPr>
              <w:t>恒功率</w:t>
            </w:r>
          </w:p>
        </w:tc>
        <w:tc>
          <w:tcPr>
            <w:tcW w:w="24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A80B3C">
            <w:pPr>
              <w:jc w:val="center"/>
              <w:rPr>
                <w:rFonts w:hint="default" w:ascii="宋体" w:hAnsi="宋体" w:eastAsia="宋体" w:cs="宋体"/>
                <w:b w:val="0"/>
                <w:bCs w:val="0"/>
                <w:i w:val="0"/>
                <w:color w:val="auto"/>
                <w:sz w:val="21"/>
                <w:szCs w:val="21"/>
                <w:highlight w:val="none"/>
                <w:u w:val="none"/>
                <w:lang w:val="en-US" w:eastAsia="zh-CN"/>
              </w:rPr>
            </w:pPr>
            <w:r>
              <w:rPr>
                <w:rFonts w:hint="eastAsia" w:ascii="宋体" w:hAnsi="宋体" w:cs="宋体"/>
                <w:b w:val="0"/>
                <w:bCs w:val="0"/>
                <w:i w:val="0"/>
                <w:color w:val="auto"/>
                <w:sz w:val="21"/>
                <w:szCs w:val="21"/>
                <w:highlight w:val="none"/>
                <w:u w:val="none"/>
                <w:lang w:val="en-US" w:eastAsia="zh-CN"/>
              </w:rPr>
              <w:t>50-100Hz</w:t>
            </w:r>
          </w:p>
        </w:tc>
        <w:tc>
          <w:tcPr>
            <w:tcW w:w="21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65C9308">
            <w:pPr>
              <w:keepNext w:val="0"/>
              <w:keepLines w:val="0"/>
              <w:widowControl/>
              <w:suppressLineNumbers w:val="0"/>
              <w:jc w:val="center"/>
              <w:textAlignment w:val="center"/>
              <w:rPr>
                <w:rFonts w:hint="eastAsia" w:ascii="宋体" w:hAnsi="宋体" w:eastAsia="宋体" w:cs="宋体"/>
                <w:b w:val="0"/>
                <w:bCs w:val="0"/>
                <w:i w:val="0"/>
                <w:color w:val="auto"/>
                <w:sz w:val="21"/>
                <w:szCs w:val="21"/>
                <w:highlight w:val="none"/>
                <w:u w:val="none"/>
              </w:rPr>
            </w:pPr>
            <w:r>
              <w:rPr>
                <w:rFonts w:hint="eastAsia" w:ascii="宋体" w:hAnsi="宋体" w:eastAsia="宋体" w:cs="宋体"/>
                <w:b w:val="0"/>
                <w:bCs w:val="0"/>
                <w:i w:val="0"/>
                <w:color w:val="auto"/>
                <w:sz w:val="21"/>
                <w:szCs w:val="21"/>
                <w:highlight w:val="none"/>
                <w:u w:val="none"/>
                <w:lang w:val="en-US" w:eastAsia="zh-CN"/>
              </w:rPr>
              <w:t>绝缘等级</w:t>
            </w:r>
          </w:p>
        </w:tc>
        <w:tc>
          <w:tcPr>
            <w:tcW w:w="15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C68BCC">
            <w:pPr>
              <w:keepNext w:val="0"/>
              <w:keepLines w:val="0"/>
              <w:widowControl/>
              <w:suppressLineNumbers w:val="0"/>
              <w:jc w:val="center"/>
              <w:textAlignment w:val="center"/>
              <w:rPr>
                <w:rFonts w:hint="default" w:ascii="宋体" w:hAnsi="宋体" w:eastAsia="宋体" w:cs="宋体"/>
                <w:b w:val="0"/>
                <w:bCs w:val="0"/>
                <w:i w:val="0"/>
                <w:color w:val="auto"/>
                <w:sz w:val="21"/>
                <w:szCs w:val="21"/>
                <w:highlight w:val="none"/>
                <w:u w:val="none"/>
                <w:lang w:val="en-US" w:eastAsia="zh-CN"/>
              </w:rPr>
            </w:pPr>
            <w:r>
              <w:rPr>
                <w:rFonts w:hint="eastAsia" w:ascii="宋体" w:hAnsi="宋体" w:cs="宋体"/>
                <w:b w:val="0"/>
                <w:bCs w:val="0"/>
                <w:i w:val="0"/>
                <w:color w:val="auto"/>
                <w:sz w:val="21"/>
                <w:szCs w:val="21"/>
                <w:highlight w:val="none"/>
                <w:u w:val="none"/>
                <w:lang w:val="en-US" w:eastAsia="zh-CN"/>
              </w:rPr>
              <w:t>F</w:t>
            </w:r>
          </w:p>
        </w:tc>
      </w:tr>
      <w:tr w14:paraId="4D8FF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4" w:hRule="atLeast"/>
          <w:jc w:val="center"/>
        </w:trPr>
        <w:tc>
          <w:tcPr>
            <w:tcW w:w="17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E38ABC1">
            <w:pPr>
              <w:keepNext w:val="0"/>
              <w:keepLines w:val="0"/>
              <w:widowControl/>
              <w:suppressLineNumbers w:val="0"/>
              <w:jc w:val="center"/>
              <w:textAlignment w:val="center"/>
              <w:rPr>
                <w:rFonts w:hint="eastAsia" w:ascii="宋体" w:hAnsi="宋体" w:eastAsia="宋体" w:cs="宋体"/>
                <w:b w:val="0"/>
                <w:bCs w:val="0"/>
                <w:i w:val="0"/>
                <w:color w:val="auto"/>
                <w:kern w:val="0"/>
                <w:sz w:val="21"/>
                <w:szCs w:val="21"/>
                <w:highlight w:val="none"/>
                <w:u w:val="none"/>
                <w:lang w:val="en-US" w:eastAsia="zh-CN" w:bidi="ar"/>
              </w:rPr>
            </w:pPr>
            <w:r>
              <w:rPr>
                <w:rFonts w:hint="eastAsia" w:ascii="宋体" w:hAnsi="宋体" w:eastAsia="宋体" w:cs="宋体"/>
                <w:color w:val="auto"/>
                <w:sz w:val="21"/>
                <w:szCs w:val="21"/>
                <w:highlight w:val="none"/>
                <w:lang w:val="en-US" w:eastAsia="zh-CN"/>
              </w:rPr>
              <w:t>防护等级</w:t>
            </w:r>
          </w:p>
        </w:tc>
        <w:tc>
          <w:tcPr>
            <w:tcW w:w="24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3B7461">
            <w:pPr>
              <w:jc w:val="center"/>
              <w:rPr>
                <w:rFonts w:hint="eastAsia" w:ascii="宋体" w:hAnsi="宋体" w:eastAsia="宋体" w:cs="宋体"/>
                <w:b w:val="0"/>
                <w:bCs w:val="0"/>
                <w:i w:val="0"/>
                <w:color w:val="auto"/>
                <w:sz w:val="21"/>
                <w:szCs w:val="21"/>
                <w:highlight w:val="none"/>
                <w:u w:val="none"/>
                <w:lang w:val="en-US" w:eastAsia="zh-CN"/>
              </w:rPr>
            </w:pPr>
            <w:r>
              <w:rPr>
                <w:rFonts w:hint="eastAsia" w:ascii="宋体" w:hAnsi="宋体" w:eastAsia="宋体" w:cs="宋体"/>
                <w:color w:val="auto"/>
                <w:sz w:val="21"/>
                <w:szCs w:val="21"/>
                <w:highlight w:val="none"/>
                <w:lang w:val="en-US" w:eastAsia="zh-CN"/>
              </w:rPr>
              <w:t xml:space="preserve">IP55 </w:t>
            </w:r>
          </w:p>
        </w:tc>
        <w:tc>
          <w:tcPr>
            <w:tcW w:w="21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5E65C84">
            <w:pPr>
              <w:keepNext w:val="0"/>
              <w:keepLines w:val="0"/>
              <w:widowControl/>
              <w:suppressLineNumbers w:val="0"/>
              <w:jc w:val="center"/>
              <w:textAlignment w:val="center"/>
              <w:rPr>
                <w:rFonts w:hint="eastAsia" w:ascii="宋体" w:hAnsi="宋体" w:eastAsia="宋体" w:cs="宋体"/>
                <w:b w:val="0"/>
                <w:bCs w:val="0"/>
                <w:i w:val="0"/>
                <w:color w:val="auto"/>
                <w:sz w:val="21"/>
                <w:szCs w:val="21"/>
                <w:highlight w:val="none"/>
                <w:u w:val="none"/>
                <w:lang w:val="en-US" w:eastAsia="zh-CN"/>
              </w:rPr>
            </w:pPr>
            <w:r>
              <w:rPr>
                <w:rFonts w:hint="eastAsia" w:ascii="宋体" w:hAnsi="宋体" w:eastAsia="宋体" w:cs="宋体"/>
                <w:color w:val="auto"/>
                <w:sz w:val="21"/>
                <w:szCs w:val="21"/>
                <w:highlight w:val="none"/>
                <w:lang w:val="en-US" w:eastAsia="zh-CN"/>
              </w:rPr>
              <w:t>电机工作制</w:t>
            </w:r>
          </w:p>
        </w:tc>
        <w:tc>
          <w:tcPr>
            <w:tcW w:w="15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3CE451E">
            <w:pPr>
              <w:keepNext w:val="0"/>
              <w:keepLines w:val="0"/>
              <w:widowControl/>
              <w:suppressLineNumbers w:val="0"/>
              <w:jc w:val="center"/>
              <w:textAlignment w:val="center"/>
              <w:rPr>
                <w:rFonts w:hint="default" w:ascii="宋体" w:hAnsi="宋体" w:eastAsia="宋体" w:cs="宋体"/>
                <w:b w:val="0"/>
                <w:bCs w:val="0"/>
                <w:i w:val="0"/>
                <w:color w:val="auto"/>
                <w:kern w:val="0"/>
                <w:sz w:val="21"/>
                <w:szCs w:val="21"/>
                <w:highlight w:val="none"/>
                <w:u w:val="none"/>
                <w:lang w:val="en-US" w:eastAsia="zh-CN" w:bidi="ar"/>
              </w:rPr>
            </w:pPr>
            <w:r>
              <w:rPr>
                <w:rFonts w:hint="eastAsia" w:ascii="宋体" w:hAnsi="宋体" w:eastAsia="宋体" w:cs="宋体"/>
                <w:b w:val="0"/>
                <w:bCs w:val="0"/>
                <w:i w:val="0"/>
                <w:color w:val="auto"/>
                <w:kern w:val="0"/>
                <w:sz w:val="21"/>
                <w:szCs w:val="21"/>
                <w:highlight w:val="none"/>
                <w:u w:val="none"/>
                <w:lang w:val="en-US" w:eastAsia="zh-CN" w:bidi="ar"/>
              </w:rPr>
              <w:t>S</w:t>
            </w:r>
            <w:r>
              <w:rPr>
                <w:rFonts w:hint="eastAsia" w:ascii="宋体" w:hAnsi="宋体" w:cs="宋体"/>
                <w:b w:val="0"/>
                <w:bCs w:val="0"/>
                <w:i w:val="0"/>
                <w:color w:val="auto"/>
                <w:kern w:val="0"/>
                <w:sz w:val="21"/>
                <w:szCs w:val="21"/>
                <w:highlight w:val="none"/>
                <w:u w:val="none"/>
                <w:lang w:val="en-US" w:eastAsia="zh-CN" w:bidi="ar"/>
              </w:rPr>
              <w:t>1</w:t>
            </w:r>
          </w:p>
        </w:tc>
      </w:tr>
      <w:tr w14:paraId="0C26E2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4" w:hRule="atLeast"/>
          <w:jc w:val="center"/>
        </w:trPr>
        <w:tc>
          <w:tcPr>
            <w:tcW w:w="173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BAF2A2D">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安装方式</w:t>
            </w:r>
          </w:p>
        </w:tc>
        <w:tc>
          <w:tcPr>
            <w:tcW w:w="2444"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49B8631">
            <w:pPr>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立式</w:t>
            </w:r>
          </w:p>
        </w:tc>
        <w:tc>
          <w:tcPr>
            <w:tcW w:w="2177"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279742F">
            <w:pPr>
              <w:keepNext w:val="0"/>
              <w:keepLines w:val="0"/>
              <w:widowControl/>
              <w:suppressLineNumbers w:val="0"/>
              <w:ind w:firstLine="630" w:firstLineChars="300"/>
              <w:jc w:val="both"/>
              <w:textAlignment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接线方式</w:t>
            </w:r>
          </w:p>
        </w:tc>
        <w:tc>
          <w:tcPr>
            <w:tcW w:w="158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7B4D2D">
            <w:pPr>
              <w:keepNext w:val="0"/>
              <w:keepLines w:val="0"/>
              <w:widowControl/>
              <w:suppressLineNumbers w:val="0"/>
              <w:jc w:val="center"/>
              <w:textAlignment w:val="center"/>
              <w:rPr>
                <w:rFonts w:hint="default" w:ascii="宋体" w:hAnsi="宋体" w:eastAsia="宋体" w:cs="宋体"/>
                <w:b w:val="0"/>
                <w:bCs w:val="0"/>
                <w:i w:val="0"/>
                <w:color w:val="auto"/>
                <w:kern w:val="0"/>
                <w:sz w:val="21"/>
                <w:szCs w:val="21"/>
                <w:highlight w:val="none"/>
                <w:u w:val="none"/>
                <w:lang w:val="en-US" w:eastAsia="zh-CN" w:bidi="ar"/>
              </w:rPr>
            </w:pPr>
            <w:r>
              <w:rPr>
                <w:rFonts w:hint="eastAsia" w:ascii="宋体" w:hAnsi="宋体" w:cs="宋体"/>
                <w:b w:val="0"/>
                <w:bCs w:val="0"/>
                <w:i w:val="0"/>
                <w:color w:val="auto"/>
                <w:kern w:val="0"/>
                <w:sz w:val="21"/>
                <w:szCs w:val="21"/>
                <w:highlight w:val="none"/>
                <w:u w:val="none"/>
                <w:lang w:val="en-US" w:eastAsia="zh-CN" w:bidi="ar"/>
              </w:rPr>
              <w:t>△</w:t>
            </w:r>
          </w:p>
        </w:tc>
      </w:tr>
    </w:tbl>
    <w:p w14:paraId="02BB4F30">
      <w:pPr>
        <w:adjustRightInd/>
        <w:spacing w:before="0" w:beforeAutospacing="0" w:after="0" w:afterAutospacing="0" w:line="360" w:lineRule="auto"/>
        <w:ind w:left="422" w:hanging="422" w:hangingChars="200"/>
        <w:jc w:val="both"/>
        <w:textAlignment w:val="auto"/>
        <w:rPr>
          <w:rFonts w:hint="eastAsia" w:ascii="宋体" w:hAnsi="宋体" w:eastAsia="宋体" w:cs="宋体"/>
          <w:b/>
          <w:color w:val="auto"/>
          <w:sz w:val="21"/>
          <w:szCs w:val="21"/>
          <w:lang w:val="en-US" w:eastAsia="zh-CN"/>
        </w:rPr>
      </w:pPr>
    </w:p>
    <w:p w14:paraId="7B55958E">
      <w:pPr>
        <w:adjustRightInd/>
        <w:spacing w:before="0" w:beforeAutospacing="0" w:after="0" w:afterAutospacing="0" w:line="360" w:lineRule="auto"/>
        <w:ind w:left="422" w:hanging="422" w:hangingChars="200"/>
        <w:jc w:val="both"/>
        <w:textAlignment w:val="auto"/>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3.4 电机尺寸要求</w:t>
      </w:r>
    </w:p>
    <w:p w14:paraId="44B504E7">
      <w:pPr>
        <w:adjustRightInd/>
        <w:spacing w:before="0" w:beforeAutospacing="0" w:after="0" w:afterAutospacing="0" w:line="360" w:lineRule="auto"/>
        <w:ind w:left="422" w:hanging="422" w:hangingChars="200"/>
        <w:jc w:val="both"/>
        <w:textAlignment w:val="auto"/>
        <w:rPr>
          <w:rFonts w:hint="eastAsia" w:ascii="宋体" w:hAnsi="宋体" w:eastAsia="宋体" w:cs="宋体"/>
          <w:b/>
          <w:color w:val="auto"/>
          <w:sz w:val="21"/>
          <w:szCs w:val="21"/>
          <w:lang w:val="en-US" w:eastAsia="zh-CN"/>
        </w:rPr>
      </w:pPr>
      <w:r>
        <w:rPr>
          <w:rFonts w:hint="eastAsia" w:ascii="宋体" w:hAnsi="宋体" w:cs="宋体"/>
          <w:b/>
          <w:color w:val="auto"/>
          <w:sz w:val="21"/>
          <w:szCs w:val="21"/>
          <w:lang w:val="en-US" w:eastAsia="zh-CN"/>
        </w:rPr>
        <w:t>　　</w:t>
      </w:r>
      <w:r>
        <w:rPr>
          <w:rFonts w:hint="eastAsia" w:ascii="宋体" w:hAnsi="宋体" w:eastAsia="宋体" w:cs="宋体"/>
          <w:color w:val="auto"/>
          <w:sz w:val="21"/>
          <w:szCs w:val="21"/>
          <w:lang w:val="en-US" w:eastAsia="zh-CN"/>
        </w:rPr>
        <w:t>3.4.1</w:t>
      </w:r>
      <w:r>
        <w:rPr>
          <w:rFonts w:hint="eastAsia" w:ascii="宋体" w:hAnsi="宋体" w:cs="宋体"/>
          <w:color w:val="auto"/>
          <w:sz w:val="21"/>
          <w:szCs w:val="21"/>
          <w:lang w:val="en-US" w:eastAsia="zh-CN"/>
        </w:rPr>
        <w:t>　</w:t>
      </w:r>
      <w:r>
        <w:rPr>
          <w:rFonts w:hint="eastAsia" w:ascii="宋体" w:hAnsi="宋体" w:cs="宋体"/>
          <w:spacing w:val="-4"/>
          <w:kern w:val="28"/>
          <w:sz w:val="21"/>
          <w:szCs w:val="21"/>
          <w:lang w:val="en-US" w:eastAsia="zh-CN"/>
        </w:rPr>
        <w:t>电机用于轧机主电机外挂式冷却风机，电机外壳采用铝合金材质，电机总重量不能超过65Kg，绕组采用优质铜线圈。</w:t>
      </w:r>
    </w:p>
    <w:p w14:paraId="09D5E763">
      <w:pPr>
        <w:adjustRightInd/>
        <w:spacing w:before="0" w:beforeAutospacing="0" w:after="0" w:afterAutospacing="0" w:line="360" w:lineRule="auto"/>
        <w:ind w:firstLine="420" w:firstLineChars="200"/>
        <w:jc w:val="both"/>
        <w:textAlignment w:val="auto"/>
        <w:rPr>
          <w:rFonts w:hint="eastAsia" w:ascii="宋体" w:hAnsi="宋体" w:cs="宋体"/>
          <w:spacing w:val="-4"/>
          <w:kern w:val="28"/>
          <w:sz w:val="21"/>
          <w:szCs w:val="21"/>
          <w:lang w:val="en-US" w:eastAsia="zh-CN"/>
        </w:rPr>
      </w:pPr>
      <w:r>
        <w:rPr>
          <w:rFonts w:hint="eastAsia" w:ascii="宋体" w:hAnsi="宋体" w:eastAsia="宋体" w:cs="宋体"/>
          <w:color w:val="auto"/>
          <w:sz w:val="21"/>
          <w:szCs w:val="21"/>
          <w:lang w:val="en-US" w:eastAsia="zh-CN"/>
        </w:rPr>
        <w:t>3.4.</w:t>
      </w:r>
      <w:r>
        <w:rPr>
          <w:rFonts w:hint="eastAsia" w:ascii="宋体" w:hAnsi="宋体" w:cs="宋体"/>
          <w:color w:val="auto"/>
          <w:sz w:val="21"/>
          <w:szCs w:val="21"/>
          <w:lang w:val="en-US" w:eastAsia="zh-CN"/>
        </w:rPr>
        <w:t>２</w:t>
      </w:r>
      <w:r>
        <w:rPr>
          <w:rFonts w:hint="eastAsia" w:ascii="宋体" w:hAnsi="宋体" w:eastAsia="宋体" w:cs="宋体"/>
          <w:color w:val="auto"/>
          <w:sz w:val="21"/>
          <w:szCs w:val="21"/>
          <w:lang w:val="en-US" w:eastAsia="zh-CN"/>
        </w:rPr>
        <w:t xml:space="preserve"> 电机</w:t>
      </w:r>
      <w:r>
        <w:rPr>
          <w:rFonts w:hint="eastAsia" w:ascii="宋体" w:hAnsi="宋体" w:cs="宋体"/>
          <w:color w:val="auto"/>
          <w:sz w:val="21"/>
          <w:szCs w:val="21"/>
          <w:lang w:val="en-US" w:eastAsia="zh-CN"/>
        </w:rPr>
        <w:t>轴径、键槽等外形尺寸按照</w:t>
      </w:r>
      <w:r>
        <w:rPr>
          <w:rFonts w:hint="eastAsia" w:ascii="宋体" w:hAnsi="宋体" w:eastAsia="宋体" w:cs="宋体"/>
          <w:color w:val="auto"/>
          <w:sz w:val="21"/>
          <w:szCs w:val="21"/>
          <w:lang w:val="en-US" w:eastAsia="zh-CN"/>
        </w:rPr>
        <w:t>YE5-132M-4</w:t>
      </w:r>
      <w:r>
        <w:rPr>
          <w:rFonts w:hint="eastAsia" w:ascii="宋体" w:hAnsi="宋体" w:cs="宋体"/>
          <w:color w:val="auto"/>
          <w:sz w:val="21"/>
          <w:szCs w:val="21"/>
          <w:lang w:val="en-US" w:eastAsia="zh-CN"/>
        </w:rPr>
        <w:t>　</w:t>
      </w:r>
      <w:r>
        <w:rPr>
          <w:rFonts w:hint="eastAsia" w:ascii="宋体" w:hAnsi="宋体" w:cs="宋体"/>
          <w:b w:val="0"/>
          <w:bCs w:val="0"/>
          <w:i w:val="0"/>
          <w:color w:val="auto"/>
          <w:kern w:val="0"/>
          <w:sz w:val="21"/>
          <w:szCs w:val="21"/>
          <w:highlight w:val="none"/>
          <w:u w:val="none"/>
          <w:lang w:val="en-US" w:eastAsia="zh-CN" w:bidi="ar"/>
        </w:rPr>
        <w:t>7.5</w:t>
      </w:r>
      <w:r>
        <w:rPr>
          <w:rFonts w:hint="eastAsia" w:ascii="宋体" w:hAnsi="宋体" w:eastAsia="宋体" w:cs="宋体"/>
          <w:b w:val="0"/>
          <w:bCs w:val="0"/>
          <w:i w:val="0"/>
          <w:color w:val="auto"/>
          <w:kern w:val="0"/>
          <w:sz w:val="21"/>
          <w:szCs w:val="21"/>
          <w:highlight w:val="none"/>
          <w:u w:val="none"/>
          <w:lang w:val="en-US" w:eastAsia="zh-CN" w:bidi="ar"/>
        </w:rPr>
        <w:t>k</w:t>
      </w:r>
      <w:r>
        <w:rPr>
          <w:rFonts w:hint="eastAsia" w:ascii="宋体" w:hAnsi="宋体" w:cs="宋体"/>
          <w:b w:val="0"/>
          <w:bCs w:val="0"/>
          <w:i w:val="0"/>
          <w:color w:val="auto"/>
          <w:kern w:val="0"/>
          <w:sz w:val="21"/>
          <w:szCs w:val="21"/>
          <w:highlight w:val="none"/>
          <w:u w:val="none"/>
          <w:lang w:val="en-US" w:eastAsia="zh-CN" w:bidi="ar"/>
        </w:rPr>
        <w:t>W</w:t>
      </w:r>
      <w:r>
        <w:rPr>
          <w:rFonts w:hint="eastAsia" w:ascii="宋体" w:hAnsi="宋体" w:cs="宋体"/>
          <w:color w:val="auto"/>
          <w:sz w:val="21"/>
          <w:szCs w:val="21"/>
          <w:lang w:val="en-US" w:eastAsia="zh-CN"/>
        </w:rPr>
        <w:t>电</w:t>
      </w:r>
      <w:r>
        <w:rPr>
          <w:rFonts w:hint="eastAsia" w:ascii="宋体" w:hAnsi="宋体" w:eastAsia="宋体" w:cs="宋体"/>
          <w:color w:val="auto"/>
          <w:sz w:val="21"/>
          <w:szCs w:val="21"/>
          <w:lang w:val="en-US" w:eastAsia="zh-CN"/>
        </w:rPr>
        <w:t>机</w:t>
      </w:r>
      <w:r>
        <w:rPr>
          <w:rFonts w:hint="eastAsia" w:ascii="宋体" w:hAnsi="宋体" w:cs="宋体"/>
          <w:color w:val="auto"/>
          <w:sz w:val="21"/>
          <w:szCs w:val="21"/>
          <w:lang w:val="en-US" w:eastAsia="zh-CN"/>
        </w:rPr>
        <w:t>安装</w:t>
      </w:r>
      <w:r>
        <w:rPr>
          <w:rFonts w:hint="eastAsia" w:ascii="宋体" w:hAnsi="宋体" w:eastAsia="宋体" w:cs="宋体"/>
          <w:color w:val="auto"/>
          <w:sz w:val="21"/>
          <w:szCs w:val="21"/>
          <w:lang w:val="en-US" w:eastAsia="zh-CN"/>
        </w:rPr>
        <w:t>尺寸制造</w:t>
      </w:r>
      <w:r>
        <w:rPr>
          <w:rFonts w:hint="eastAsia" w:ascii="宋体" w:hAnsi="宋体" w:cs="宋体"/>
          <w:color w:val="auto"/>
          <w:sz w:val="21"/>
          <w:szCs w:val="21"/>
          <w:lang w:val="en-US" w:eastAsia="zh-CN"/>
        </w:rPr>
        <w:t>，电机轴头安装叶轮，此电机</w:t>
      </w:r>
      <w:r>
        <w:rPr>
          <w:rFonts w:hint="eastAsia" w:ascii="宋体" w:hAnsi="宋体" w:cs="宋体"/>
          <w:spacing w:val="-4"/>
          <w:kern w:val="28"/>
          <w:sz w:val="21"/>
          <w:szCs w:val="21"/>
          <w:lang w:val="en-US" w:eastAsia="zh-CN"/>
        </w:rPr>
        <w:t>轴头为空心螺纹型（螺孔直径12mm 孔深50mm)。</w:t>
      </w:r>
    </w:p>
    <w:p w14:paraId="440239F6">
      <w:pPr>
        <w:adjustRightInd/>
        <w:spacing w:before="0" w:beforeAutospacing="0" w:after="0" w:afterAutospacing="0" w:line="360" w:lineRule="auto"/>
        <w:jc w:val="both"/>
        <w:textAlignment w:val="auto"/>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　　</w:t>
      </w:r>
      <w:r>
        <w:rPr>
          <w:rFonts w:hint="eastAsia" w:ascii="宋体" w:hAnsi="宋体" w:eastAsia="宋体" w:cs="宋体"/>
          <w:color w:val="auto"/>
          <w:sz w:val="21"/>
          <w:szCs w:val="21"/>
          <w:lang w:val="en-US" w:eastAsia="zh-CN"/>
        </w:rPr>
        <w:t>3.4.</w:t>
      </w:r>
      <w:r>
        <w:rPr>
          <w:rFonts w:hint="eastAsia" w:ascii="宋体" w:hAnsi="宋体" w:cs="宋体"/>
          <w:color w:val="auto"/>
          <w:sz w:val="21"/>
          <w:szCs w:val="21"/>
          <w:lang w:val="en-US" w:eastAsia="zh-CN"/>
        </w:rPr>
        <w:t>３电机</w:t>
      </w:r>
      <w:r>
        <w:rPr>
          <w:rFonts w:hint="eastAsia" w:ascii="宋体" w:hAnsi="宋体" w:cs="宋体"/>
          <w:spacing w:val="-4"/>
          <w:kern w:val="28"/>
          <w:sz w:val="21"/>
          <w:szCs w:val="21"/>
          <w:lang w:val="en-US" w:eastAsia="zh-CN"/>
        </w:rPr>
        <w:t>安装方式为立式安装，圆形法兰盘</w:t>
      </w:r>
      <w:r>
        <w:rPr>
          <w:rFonts w:hint="eastAsia" w:ascii="宋体" w:hAnsi="宋体" w:cs="宋体"/>
          <w:color w:val="auto"/>
          <w:sz w:val="21"/>
          <w:szCs w:val="21"/>
          <w:lang w:val="en-US" w:eastAsia="zh-CN"/>
        </w:rPr>
        <w:t>。</w:t>
      </w:r>
    </w:p>
    <w:p w14:paraId="3F913730">
      <w:pPr>
        <w:adjustRightInd/>
        <w:spacing w:before="0" w:beforeAutospacing="0" w:after="0" w:afterAutospacing="0" w:line="360" w:lineRule="auto"/>
        <w:ind w:firstLine="420" w:firstLineChars="20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3.4.</w:t>
      </w:r>
      <w:r>
        <w:rPr>
          <w:rFonts w:hint="eastAsia" w:ascii="宋体" w:hAnsi="宋体" w:cs="宋体"/>
          <w:color w:val="auto"/>
          <w:sz w:val="21"/>
          <w:szCs w:val="21"/>
          <w:lang w:val="en-US" w:eastAsia="zh-CN"/>
        </w:rPr>
        <w:t>４</w:t>
      </w:r>
      <w:r>
        <w:rPr>
          <w:rFonts w:hint="eastAsia" w:ascii="宋体" w:hAnsi="宋体" w:eastAsia="宋体" w:cs="宋体"/>
          <w:color w:val="auto"/>
          <w:sz w:val="21"/>
          <w:szCs w:val="21"/>
          <w:lang w:val="en-US" w:eastAsia="zh-CN"/>
        </w:rPr>
        <w:t xml:space="preserve"> </w:t>
      </w:r>
      <w:r>
        <w:rPr>
          <w:rFonts w:hint="eastAsia" w:ascii="宋体" w:hAnsi="宋体" w:cs="宋体"/>
          <w:color w:val="auto"/>
          <w:sz w:val="21"/>
          <w:szCs w:val="21"/>
          <w:lang w:val="en-US" w:eastAsia="zh-CN"/>
        </w:rPr>
        <w:t>此</w:t>
      </w:r>
      <w:r>
        <w:rPr>
          <w:rFonts w:hint="eastAsia" w:ascii="宋体" w:hAnsi="宋体" w:eastAsia="宋体" w:cs="宋体"/>
          <w:color w:val="auto"/>
          <w:sz w:val="21"/>
          <w:szCs w:val="21"/>
          <w:lang w:val="en-US" w:eastAsia="zh-CN"/>
        </w:rPr>
        <w:t>电机</w:t>
      </w:r>
      <w:r>
        <w:rPr>
          <w:rFonts w:hint="eastAsia" w:ascii="宋体" w:hAnsi="宋体" w:cs="宋体"/>
          <w:spacing w:val="-4"/>
          <w:kern w:val="28"/>
          <w:sz w:val="21"/>
          <w:szCs w:val="21"/>
          <w:lang w:val="en-US" w:eastAsia="zh-CN"/>
        </w:rPr>
        <w:t>法兰盘</w:t>
      </w:r>
      <w:r>
        <w:rPr>
          <w:rFonts w:hint="eastAsia" w:ascii="宋体" w:hAnsi="宋体" w:eastAsia="宋体" w:cs="宋体"/>
          <w:color w:val="auto"/>
          <w:sz w:val="21"/>
          <w:szCs w:val="21"/>
          <w:lang w:val="en-US" w:eastAsia="zh-CN"/>
        </w:rPr>
        <w:t>安装尺寸必须严格按照国标尺寸制造</w:t>
      </w:r>
      <w:r>
        <w:rPr>
          <w:rFonts w:hint="eastAsia" w:ascii="宋体" w:hAnsi="宋体" w:cs="宋体"/>
          <w:color w:val="auto"/>
          <w:sz w:val="21"/>
          <w:szCs w:val="21"/>
          <w:lang w:val="en-US" w:eastAsia="zh-CN"/>
        </w:rPr>
        <w:t>，</w:t>
      </w:r>
      <w:r>
        <w:rPr>
          <w:rFonts w:hint="eastAsia" w:ascii="宋体" w:hAnsi="宋体" w:eastAsia="宋体" w:cs="宋体"/>
          <w:color w:val="auto"/>
          <w:sz w:val="21"/>
          <w:szCs w:val="21"/>
          <w:lang w:val="en-US" w:eastAsia="zh-CN"/>
        </w:rPr>
        <w:t>厂家需要到现场进行实际测量</w:t>
      </w:r>
      <w:r>
        <w:rPr>
          <w:rFonts w:hint="eastAsia" w:ascii="宋体" w:hAnsi="宋体" w:cs="宋体"/>
          <w:color w:val="auto"/>
          <w:sz w:val="21"/>
          <w:szCs w:val="21"/>
          <w:lang w:val="en-US" w:eastAsia="zh-CN"/>
        </w:rPr>
        <w:t>确认。</w:t>
      </w:r>
    </w:p>
    <w:p w14:paraId="70A334A6">
      <w:pPr>
        <w:adjustRightInd/>
        <w:spacing w:before="0" w:beforeAutospacing="0" w:after="0" w:afterAutospacing="0" w:line="360" w:lineRule="auto"/>
        <w:ind w:firstLine="0" w:firstLineChars="0"/>
        <w:jc w:val="both"/>
        <w:textAlignment w:val="auto"/>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3.</w:t>
      </w:r>
      <w:r>
        <w:rPr>
          <w:rFonts w:hint="eastAsia" w:ascii="宋体" w:hAnsi="宋体" w:cs="宋体"/>
          <w:b/>
          <w:color w:val="auto"/>
          <w:sz w:val="21"/>
          <w:szCs w:val="21"/>
          <w:lang w:val="en-US" w:eastAsia="zh-CN"/>
        </w:rPr>
        <w:t>5</w:t>
      </w:r>
      <w:r>
        <w:rPr>
          <w:rFonts w:hint="eastAsia" w:ascii="宋体" w:hAnsi="宋体" w:eastAsia="宋体" w:cs="宋体"/>
          <w:b/>
          <w:color w:val="auto"/>
          <w:sz w:val="21"/>
          <w:szCs w:val="21"/>
          <w:lang w:val="en-US" w:eastAsia="zh-CN"/>
        </w:rPr>
        <w:t>提供资料</w:t>
      </w:r>
    </w:p>
    <w:p w14:paraId="4A750A1F">
      <w:pPr>
        <w:adjustRightInd/>
        <w:spacing w:before="0" w:beforeAutospacing="0" w:after="0" w:afterAutospacing="0" w:line="360" w:lineRule="auto"/>
        <w:ind w:firstLine="420" w:firstLineChars="200"/>
        <w:jc w:val="both"/>
        <w:textAlignment w:val="auto"/>
        <w:rPr>
          <w:rFonts w:hint="eastAsia" w:ascii="宋体" w:hAnsi="宋体" w:eastAsia="宋体" w:cs="宋体"/>
          <w:color w:val="auto"/>
          <w:sz w:val="21"/>
          <w:szCs w:val="21"/>
          <w:lang w:val="en-GB" w:eastAsia="zh-CN"/>
        </w:rPr>
      </w:pPr>
      <w:r>
        <w:rPr>
          <w:rFonts w:hint="eastAsia" w:ascii="宋体" w:hAnsi="宋体" w:eastAsia="宋体" w:cs="宋体"/>
          <w:color w:val="auto"/>
          <w:sz w:val="21"/>
          <w:szCs w:val="21"/>
          <w:lang w:val="en-US" w:eastAsia="zh-CN"/>
        </w:rPr>
        <w:t>3.</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en-US" w:eastAsia="zh-CN"/>
        </w:rPr>
        <w:t>.</w:t>
      </w:r>
      <w:r>
        <w:rPr>
          <w:rFonts w:hint="eastAsia" w:ascii="宋体" w:hAnsi="宋体" w:cs="宋体"/>
          <w:color w:val="auto"/>
          <w:sz w:val="21"/>
          <w:szCs w:val="21"/>
          <w:lang w:val="en-US" w:eastAsia="zh-CN"/>
        </w:rPr>
        <w:t>1</w:t>
      </w:r>
      <w:r>
        <w:rPr>
          <w:rFonts w:hint="eastAsia" w:ascii="宋体" w:hAnsi="宋体" w:eastAsia="宋体" w:cs="宋体"/>
          <w:color w:val="auto"/>
          <w:sz w:val="21"/>
          <w:szCs w:val="21"/>
          <w:lang w:val="en-GB" w:eastAsia="zh-CN"/>
        </w:rPr>
        <w:t>乙方在中标后30天内将正确的</w:t>
      </w:r>
      <w:r>
        <w:rPr>
          <w:rFonts w:hint="eastAsia" w:ascii="宋体" w:hAnsi="宋体" w:eastAsia="宋体" w:cs="宋体"/>
          <w:color w:val="auto"/>
          <w:sz w:val="21"/>
          <w:szCs w:val="21"/>
          <w:lang w:val="en-US" w:eastAsia="zh-CN"/>
        </w:rPr>
        <w:t>纸质版或</w:t>
      </w:r>
      <w:r>
        <w:rPr>
          <w:rFonts w:hint="eastAsia" w:ascii="宋体" w:hAnsi="宋体" w:eastAsia="宋体" w:cs="宋体"/>
          <w:color w:val="auto"/>
          <w:sz w:val="21"/>
          <w:szCs w:val="21"/>
          <w:lang w:val="en-GB" w:eastAsia="zh-CN"/>
        </w:rPr>
        <w:t>电子版如下资料提供给甲方：外购件明细表，备件明细表，备件使用说明书，各部分总图、装配图及零件图。</w:t>
      </w:r>
    </w:p>
    <w:p w14:paraId="36D6D0A3">
      <w:pPr>
        <w:adjustRightInd/>
        <w:spacing w:before="0" w:beforeAutospacing="0" w:after="0" w:afterAutospacing="0" w:line="360" w:lineRule="auto"/>
        <w:ind w:firstLine="420" w:firstLineChars="200"/>
        <w:jc w:val="both"/>
        <w:textAlignment w:val="auto"/>
        <w:rPr>
          <w:rFonts w:hint="eastAsia" w:ascii="宋体" w:hAnsi="宋体" w:eastAsia="宋体" w:cs="宋体"/>
          <w:color w:val="auto"/>
          <w:sz w:val="21"/>
          <w:szCs w:val="21"/>
          <w:lang w:val="en-GB" w:eastAsia="zh-CN"/>
        </w:rPr>
      </w:pPr>
      <w:r>
        <w:rPr>
          <w:rFonts w:hint="eastAsia" w:ascii="宋体" w:hAnsi="宋体" w:eastAsia="宋体" w:cs="宋体"/>
          <w:color w:val="auto"/>
          <w:sz w:val="21"/>
          <w:szCs w:val="21"/>
          <w:lang w:val="en-US" w:eastAsia="zh-CN"/>
        </w:rPr>
        <w:t>3.</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en-US" w:eastAsia="zh-CN"/>
        </w:rPr>
        <w:t>.</w:t>
      </w:r>
      <w:r>
        <w:rPr>
          <w:rFonts w:hint="eastAsia" w:ascii="宋体" w:hAnsi="宋体" w:cs="宋体"/>
          <w:color w:val="auto"/>
          <w:sz w:val="21"/>
          <w:szCs w:val="21"/>
          <w:lang w:val="en-US" w:eastAsia="zh-CN"/>
        </w:rPr>
        <w:t>2</w:t>
      </w:r>
      <w:r>
        <w:rPr>
          <w:rFonts w:hint="eastAsia" w:ascii="宋体" w:hAnsi="宋体" w:eastAsia="宋体" w:cs="宋体"/>
          <w:color w:val="auto"/>
          <w:sz w:val="21"/>
          <w:szCs w:val="21"/>
          <w:lang w:val="en-GB" w:eastAsia="zh-CN"/>
        </w:rPr>
        <w:t>提供出厂最终资料。</w:t>
      </w:r>
      <w:r>
        <w:rPr>
          <w:rFonts w:hint="eastAsia" w:ascii="宋体" w:hAnsi="宋体" w:eastAsia="宋体" w:cs="宋体"/>
          <w:color w:val="auto"/>
          <w:sz w:val="21"/>
          <w:szCs w:val="21"/>
          <w:lang w:val="en-US" w:eastAsia="zh-CN"/>
        </w:rPr>
        <w:t>包括：电机</w:t>
      </w:r>
      <w:r>
        <w:rPr>
          <w:rFonts w:hint="eastAsia" w:ascii="宋体" w:hAnsi="宋体" w:eastAsia="宋体" w:cs="宋体"/>
          <w:color w:val="auto"/>
          <w:sz w:val="21"/>
          <w:szCs w:val="21"/>
          <w:lang w:val="en-GB" w:eastAsia="zh-CN"/>
        </w:rPr>
        <w:t>外形图；产品合格证书；产品试验报告；安装使用说明书；运行、检修手册及其有关资料；备品备件等清单；装箱清单</w:t>
      </w:r>
      <w:r>
        <w:rPr>
          <w:rFonts w:hint="eastAsia" w:ascii="宋体" w:hAnsi="宋体" w:eastAsia="宋体" w:cs="宋体"/>
          <w:color w:val="auto"/>
          <w:sz w:val="21"/>
          <w:szCs w:val="21"/>
          <w:lang w:val="en-US" w:eastAsia="zh-CN"/>
        </w:rPr>
        <w:t>等</w:t>
      </w:r>
      <w:r>
        <w:rPr>
          <w:rFonts w:hint="eastAsia" w:ascii="宋体" w:hAnsi="宋体" w:eastAsia="宋体" w:cs="宋体"/>
          <w:color w:val="auto"/>
          <w:sz w:val="21"/>
          <w:szCs w:val="21"/>
          <w:lang w:val="en-GB" w:eastAsia="zh-CN"/>
        </w:rPr>
        <w:t>。</w:t>
      </w:r>
    </w:p>
    <w:p w14:paraId="629E5F48">
      <w:pPr>
        <w:adjustRightInd/>
        <w:spacing w:before="0" w:beforeAutospacing="0" w:after="0" w:afterAutospacing="0" w:line="360" w:lineRule="auto"/>
        <w:ind w:firstLine="420" w:firstLineChars="200"/>
        <w:jc w:val="both"/>
        <w:textAlignment w:val="auto"/>
        <w:rPr>
          <w:rFonts w:hint="eastAsia" w:ascii="宋体" w:hAnsi="宋体" w:eastAsia="宋体" w:cs="宋体"/>
          <w:color w:val="auto"/>
          <w:sz w:val="21"/>
          <w:szCs w:val="21"/>
          <w:lang w:val="en-GB" w:eastAsia="zh-CN"/>
        </w:rPr>
      </w:pPr>
      <w:r>
        <w:rPr>
          <w:rFonts w:hint="eastAsia" w:ascii="宋体" w:hAnsi="宋体" w:eastAsia="宋体" w:cs="宋体"/>
          <w:color w:val="auto"/>
          <w:sz w:val="21"/>
          <w:szCs w:val="21"/>
          <w:lang w:val="en-US" w:eastAsia="zh-CN"/>
        </w:rPr>
        <w:t>3.</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en-US" w:eastAsia="zh-CN"/>
        </w:rPr>
        <w:t>.3有关电动机的随机资料交付(使用说明书、合格证、检验报告随机交付)，加油嘴形式（规格）与推荐使用的加油设备，同时随机资料中应有电机轴承型号。</w:t>
      </w:r>
    </w:p>
    <w:p w14:paraId="134594C6">
      <w:pPr>
        <w:adjustRightInd/>
        <w:spacing w:before="0" w:beforeAutospacing="0" w:after="0" w:afterAutospacing="0" w:line="360" w:lineRule="auto"/>
        <w:ind w:firstLine="420" w:firstLineChars="200"/>
        <w:jc w:val="both"/>
        <w:textAlignment w:val="auto"/>
        <w:rPr>
          <w:rFonts w:hint="eastAsia" w:ascii="宋体" w:hAnsi="宋体" w:eastAsia="宋体" w:cs="宋体"/>
          <w:color w:val="auto"/>
          <w:sz w:val="21"/>
          <w:szCs w:val="21"/>
          <w:lang w:val="en-GB" w:eastAsia="zh-CN"/>
        </w:rPr>
      </w:pPr>
      <w:r>
        <w:rPr>
          <w:rFonts w:hint="eastAsia" w:ascii="宋体" w:hAnsi="宋体" w:eastAsia="宋体" w:cs="宋体"/>
          <w:color w:val="auto"/>
          <w:sz w:val="21"/>
          <w:szCs w:val="21"/>
          <w:lang w:val="en-US" w:eastAsia="zh-CN"/>
        </w:rPr>
        <w:t>3.</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en-US" w:eastAsia="zh-CN"/>
        </w:rPr>
        <w:t>.</w:t>
      </w:r>
      <w:r>
        <w:rPr>
          <w:rFonts w:hint="eastAsia" w:ascii="宋体" w:hAnsi="宋体" w:cs="宋体"/>
          <w:color w:val="auto"/>
          <w:sz w:val="21"/>
          <w:szCs w:val="21"/>
          <w:lang w:val="en-US" w:eastAsia="zh-CN"/>
        </w:rPr>
        <w:t>4</w:t>
      </w:r>
      <w:r>
        <w:rPr>
          <w:rFonts w:hint="eastAsia" w:ascii="宋体" w:hAnsi="宋体" w:eastAsia="宋体" w:cs="宋体"/>
          <w:color w:val="auto"/>
          <w:sz w:val="21"/>
          <w:szCs w:val="21"/>
          <w:lang w:val="en-GB" w:eastAsia="zh-CN"/>
        </w:rPr>
        <w:t>邮寄地址：</w:t>
      </w:r>
    </w:p>
    <w:p w14:paraId="2740AF9D">
      <w:pPr>
        <w:adjustRightInd/>
        <w:spacing w:before="0" w:beforeAutospacing="0" w:after="0" w:afterAutospacing="0" w:line="360" w:lineRule="auto"/>
        <w:ind w:firstLine="420" w:firstLineChars="200"/>
        <w:jc w:val="both"/>
        <w:textAlignment w:val="auto"/>
        <w:rPr>
          <w:rFonts w:hint="eastAsia" w:ascii="宋体" w:hAnsi="宋体" w:eastAsia="宋体" w:cs="宋体"/>
          <w:color w:val="auto"/>
          <w:sz w:val="21"/>
          <w:szCs w:val="21"/>
          <w:lang w:val="en-GB"/>
        </w:rPr>
      </w:pPr>
      <w:r>
        <w:rPr>
          <w:rFonts w:hint="eastAsia" w:ascii="宋体" w:hAnsi="宋体" w:eastAsia="宋体" w:cs="宋体"/>
          <w:color w:val="auto"/>
          <w:sz w:val="21"/>
          <w:szCs w:val="21"/>
          <w:lang w:val="en-GB"/>
        </w:rPr>
        <w:t>甲方邮寄信息：甘肃酒钢</w:t>
      </w:r>
      <w:r>
        <w:rPr>
          <w:rFonts w:hint="eastAsia" w:ascii="宋体" w:hAnsi="宋体" w:eastAsia="宋体" w:cs="宋体"/>
          <w:color w:val="auto"/>
          <w:sz w:val="21"/>
          <w:szCs w:val="21"/>
          <w:highlight w:val="none"/>
          <w:lang w:val="en-GB"/>
        </w:rPr>
        <w:t>集团宏兴股份</w:t>
      </w:r>
      <w:r>
        <w:rPr>
          <w:rFonts w:hint="eastAsia" w:ascii="宋体" w:hAnsi="宋体" w:cs="宋体"/>
          <w:color w:val="auto"/>
          <w:sz w:val="21"/>
          <w:szCs w:val="21"/>
          <w:highlight w:val="none"/>
          <w:lang w:val="en-US" w:eastAsia="zh-CN"/>
        </w:rPr>
        <w:t>宏博新材料</w:t>
      </w:r>
      <w:r>
        <w:rPr>
          <w:rFonts w:hint="eastAsia" w:ascii="宋体" w:hAnsi="宋体" w:eastAsia="宋体" w:cs="宋体"/>
          <w:color w:val="auto"/>
          <w:sz w:val="21"/>
          <w:szCs w:val="21"/>
          <w:highlight w:val="none"/>
          <w:lang w:val="en-GB"/>
        </w:rPr>
        <w:t>公司</w:t>
      </w:r>
      <w:r>
        <w:rPr>
          <w:rFonts w:hint="eastAsia" w:ascii="宋体" w:hAnsi="宋体" w:cs="宋体"/>
          <w:color w:val="auto"/>
          <w:sz w:val="21"/>
          <w:szCs w:val="21"/>
          <w:highlight w:val="none"/>
          <w:lang w:val="en-US" w:eastAsia="zh-CN"/>
        </w:rPr>
        <w:t>中板</w:t>
      </w:r>
      <w:r>
        <w:rPr>
          <w:rFonts w:hint="eastAsia" w:ascii="宋体" w:hAnsi="宋体" w:eastAsia="宋体" w:cs="宋体"/>
          <w:color w:val="auto"/>
          <w:sz w:val="21"/>
          <w:szCs w:val="21"/>
          <w:highlight w:val="none"/>
          <w:lang w:val="en-GB"/>
        </w:rPr>
        <w:t>；</w:t>
      </w:r>
    </w:p>
    <w:p w14:paraId="6C8BE923">
      <w:pPr>
        <w:adjustRightInd/>
        <w:spacing w:before="0" w:beforeAutospacing="0" w:after="0" w:afterAutospacing="0" w:line="360" w:lineRule="auto"/>
        <w:ind w:firstLine="420" w:firstLineChars="200"/>
        <w:jc w:val="both"/>
        <w:textAlignment w:val="auto"/>
        <w:rPr>
          <w:rFonts w:hint="eastAsia" w:ascii="宋体" w:hAnsi="宋体" w:eastAsia="宋体" w:cs="宋体"/>
          <w:color w:val="auto"/>
          <w:sz w:val="21"/>
          <w:szCs w:val="21"/>
          <w:lang w:val="en-GB"/>
        </w:rPr>
      </w:pPr>
      <w:r>
        <w:rPr>
          <w:rFonts w:hint="eastAsia" w:ascii="宋体" w:hAnsi="宋体" w:eastAsia="宋体" w:cs="宋体"/>
          <w:color w:val="auto"/>
          <w:sz w:val="21"/>
          <w:szCs w:val="21"/>
          <w:lang w:val="en-GB"/>
        </w:rPr>
        <w:t>邮政编码：735100；</w:t>
      </w:r>
    </w:p>
    <w:p w14:paraId="4617E3FB">
      <w:pPr>
        <w:adjustRightInd/>
        <w:spacing w:before="0" w:beforeAutospacing="0" w:after="0" w:afterAutospacing="0" w:line="360" w:lineRule="auto"/>
        <w:ind w:firstLine="420" w:firstLineChars="200"/>
        <w:jc w:val="both"/>
        <w:textAlignment w:val="auto"/>
        <w:rPr>
          <w:rFonts w:hint="eastAsia" w:ascii="宋体" w:hAnsi="宋体" w:eastAsia="宋体" w:cs="宋体"/>
          <w:color w:val="auto"/>
          <w:sz w:val="21"/>
          <w:szCs w:val="21"/>
          <w:lang w:val="en-GB"/>
        </w:rPr>
      </w:pPr>
      <w:r>
        <w:rPr>
          <w:rFonts w:hint="eastAsia" w:ascii="宋体" w:hAnsi="宋体" w:eastAsia="宋体" w:cs="宋体"/>
          <w:color w:val="auto"/>
          <w:sz w:val="21"/>
          <w:szCs w:val="21"/>
          <w:lang w:val="en-GB"/>
        </w:rPr>
        <w:t>收件人：</w:t>
      </w:r>
      <w:r>
        <w:rPr>
          <w:rFonts w:hint="eastAsia" w:ascii="宋体" w:hAnsi="宋体" w:eastAsia="宋体" w:cs="宋体"/>
          <w:color w:val="auto"/>
          <w:sz w:val="21"/>
          <w:szCs w:val="21"/>
          <w:lang w:val="en-GB" w:eastAsia="zh-CN"/>
        </w:rPr>
        <w:t>王立刚</w:t>
      </w:r>
      <w:r>
        <w:rPr>
          <w:rFonts w:hint="eastAsia" w:ascii="宋体" w:hAnsi="宋体" w:eastAsia="宋体" w:cs="宋体"/>
          <w:color w:val="auto"/>
          <w:sz w:val="21"/>
          <w:szCs w:val="21"/>
          <w:lang w:val="en-GB"/>
        </w:rPr>
        <w:t>；</w:t>
      </w:r>
      <w:r>
        <w:rPr>
          <w:rFonts w:hint="eastAsia" w:ascii="宋体" w:hAnsi="宋体" w:eastAsia="宋体" w:cs="宋体"/>
          <w:color w:val="auto"/>
          <w:sz w:val="21"/>
          <w:szCs w:val="21"/>
          <w:lang w:val="en-US" w:eastAsia="zh-CN"/>
        </w:rPr>
        <w:t>电话：18193795677；</w:t>
      </w:r>
      <w:r>
        <w:rPr>
          <w:rFonts w:hint="eastAsia" w:ascii="宋体" w:hAnsi="宋体" w:eastAsia="宋体" w:cs="宋体"/>
          <w:color w:val="auto"/>
          <w:sz w:val="21"/>
          <w:szCs w:val="21"/>
          <w:lang w:val="en-GB"/>
        </w:rPr>
        <w:t>电子邮箱：</w:t>
      </w:r>
      <w:r>
        <w:rPr>
          <w:rFonts w:hint="eastAsia" w:ascii="宋体" w:hAnsi="宋体" w:eastAsia="宋体" w:cs="宋体"/>
          <w:color w:val="auto"/>
          <w:sz w:val="21"/>
          <w:szCs w:val="21"/>
          <w:lang w:val="en-US" w:eastAsia="zh-CN"/>
        </w:rPr>
        <w:fldChar w:fldCharType="begin"/>
      </w:r>
      <w:r>
        <w:rPr>
          <w:rFonts w:hint="eastAsia" w:ascii="宋体" w:hAnsi="宋体" w:eastAsia="宋体" w:cs="宋体"/>
          <w:color w:val="auto"/>
          <w:sz w:val="21"/>
          <w:szCs w:val="21"/>
          <w:lang w:val="en-US" w:eastAsia="zh-CN"/>
        </w:rPr>
        <w:instrText xml:space="preserve"> HYPERLINK "mailto:wangligang1@jiugang.com。" </w:instrText>
      </w:r>
      <w:r>
        <w:rPr>
          <w:rFonts w:hint="eastAsia" w:ascii="宋体" w:hAnsi="宋体" w:eastAsia="宋体" w:cs="宋体"/>
          <w:color w:val="auto"/>
          <w:sz w:val="21"/>
          <w:szCs w:val="21"/>
          <w:lang w:val="en-US" w:eastAsia="zh-CN"/>
        </w:rPr>
        <w:fldChar w:fldCharType="separate"/>
      </w:r>
      <w:r>
        <w:rPr>
          <w:rFonts w:hint="eastAsia" w:ascii="宋体" w:hAnsi="宋体" w:eastAsia="宋体" w:cs="宋体"/>
          <w:color w:val="auto"/>
          <w:sz w:val="21"/>
          <w:szCs w:val="21"/>
          <w:lang w:val="en-US" w:eastAsia="zh-CN"/>
        </w:rPr>
        <w:t>wangligang1</w:t>
      </w:r>
      <w:r>
        <w:rPr>
          <w:rFonts w:hint="eastAsia" w:ascii="宋体" w:hAnsi="宋体" w:eastAsia="宋体" w:cs="宋体"/>
          <w:color w:val="auto"/>
          <w:sz w:val="21"/>
          <w:szCs w:val="21"/>
          <w:lang w:val="en-GB"/>
        </w:rPr>
        <w:t>@jiugang.com。</w:t>
      </w:r>
      <w:r>
        <w:rPr>
          <w:rFonts w:hint="eastAsia" w:ascii="宋体" w:hAnsi="宋体" w:eastAsia="宋体" w:cs="宋体"/>
          <w:color w:val="auto"/>
          <w:sz w:val="21"/>
          <w:szCs w:val="21"/>
          <w:lang w:val="en-US" w:eastAsia="zh-CN"/>
        </w:rPr>
        <w:fldChar w:fldCharType="end"/>
      </w:r>
    </w:p>
    <w:p w14:paraId="27D81A1B">
      <w:pPr>
        <w:tabs>
          <w:tab w:val="left" w:pos="540"/>
          <w:tab w:val="left" w:pos="720"/>
          <w:tab w:val="left" w:pos="1080"/>
        </w:tabs>
        <w:adjustRightInd/>
        <w:spacing w:before="0" w:beforeAutospacing="0" w:after="0" w:afterAutospacing="0" w:line="360" w:lineRule="auto"/>
        <w:ind w:firstLine="0" w:firstLineChars="0"/>
        <w:jc w:val="both"/>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3.</w:t>
      </w:r>
      <w:r>
        <w:rPr>
          <w:rFonts w:hint="eastAsia" w:ascii="宋体" w:hAnsi="宋体" w:eastAsia="宋体" w:cs="宋体"/>
          <w:b/>
          <w:color w:val="auto"/>
          <w:sz w:val="21"/>
          <w:szCs w:val="21"/>
          <w:lang w:val="en-US" w:eastAsia="zh-CN"/>
        </w:rPr>
        <w:t>5</w:t>
      </w:r>
      <w:r>
        <w:rPr>
          <w:rFonts w:hint="eastAsia" w:ascii="宋体" w:hAnsi="宋体" w:eastAsia="宋体" w:cs="宋体"/>
          <w:b/>
          <w:color w:val="auto"/>
          <w:sz w:val="21"/>
          <w:szCs w:val="21"/>
        </w:rPr>
        <w:t>质量验收</w:t>
      </w:r>
    </w:p>
    <w:p w14:paraId="24400603">
      <w:pPr>
        <w:tabs>
          <w:tab w:val="left" w:pos="540"/>
          <w:tab w:val="left" w:pos="720"/>
          <w:tab w:val="left" w:pos="1080"/>
        </w:tabs>
        <w:adjustRightInd/>
        <w:spacing w:before="0" w:beforeAutospacing="0" w:after="0" w:afterAutospacing="0" w:line="360" w:lineRule="auto"/>
        <w:ind w:firstLine="420" w:firstLineChars="200"/>
        <w:jc w:val="both"/>
        <w:textAlignment w:val="auto"/>
        <w:rPr>
          <w:rFonts w:hint="default" w:ascii="宋体" w:hAnsi="宋体" w:eastAsia="宋体" w:cs="宋体"/>
          <w:color w:val="auto"/>
          <w:sz w:val="21"/>
          <w:szCs w:val="21"/>
          <w:lang w:val="en-US"/>
        </w:rPr>
      </w:pPr>
      <w:r>
        <w:rPr>
          <w:rFonts w:hint="eastAsia" w:ascii="宋体" w:hAnsi="宋体" w:eastAsia="宋体" w:cs="宋体"/>
          <w:color w:val="auto"/>
          <w:sz w:val="21"/>
          <w:szCs w:val="21"/>
          <w:lang w:val="en-US" w:eastAsia="zh-CN"/>
        </w:rPr>
        <w:t>电机到货后经酒钢</w:t>
      </w:r>
      <w:r>
        <w:rPr>
          <w:rFonts w:hint="default" w:ascii="宋体" w:hAnsi="宋体" w:eastAsia="宋体" w:cs="宋体"/>
          <w:color w:val="auto"/>
          <w:sz w:val="21"/>
          <w:szCs w:val="21"/>
          <w:lang w:val="en-US" w:eastAsia="zh-CN"/>
        </w:rPr>
        <w:fldChar w:fldCharType="begin"/>
      </w:r>
      <w:r>
        <w:rPr>
          <w:rFonts w:hint="default" w:ascii="宋体" w:hAnsi="宋体" w:eastAsia="宋体" w:cs="宋体"/>
          <w:color w:val="auto"/>
          <w:sz w:val="21"/>
          <w:szCs w:val="21"/>
          <w:lang w:val="en-US" w:eastAsia="zh-CN"/>
        </w:rPr>
        <w:instrText xml:space="preserve"> HYPERLINK "https://portal.jiugang.com/jg/addresslist/javascript:void(0)" \o "宏兴股份公司" </w:instrText>
      </w:r>
      <w:r>
        <w:rPr>
          <w:rFonts w:hint="default" w:ascii="宋体" w:hAnsi="宋体" w:eastAsia="宋体" w:cs="宋体"/>
          <w:color w:val="auto"/>
          <w:sz w:val="21"/>
          <w:szCs w:val="21"/>
          <w:lang w:val="en-US" w:eastAsia="zh-CN"/>
        </w:rPr>
        <w:fldChar w:fldCharType="separate"/>
      </w:r>
      <w:r>
        <w:rPr>
          <w:rFonts w:hint="default" w:ascii="宋体" w:hAnsi="宋体" w:eastAsia="宋体" w:cs="宋体"/>
          <w:color w:val="auto"/>
          <w:sz w:val="21"/>
          <w:szCs w:val="21"/>
          <w:lang w:val="en-US" w:eastAsia="zh-CN"/>
        </w:rPr>
        <w:t>宏兴股份公司</w:t>
      </w:r>
      <w:r>
        <w:rPr>
          <w:rFonts w:hint="default" w:ascii="宋体" w:hAnsi="宋体" w:eastAsia="宋体" w:cs="宋体"/>
          <w:color w:val="auto"/>
          <w:sz w:val="21"/>
          <w:szCs w:val="21"/>
          <w:lang w:val="en-US" w:eastAsia="zh-CN"/>
        </w:rPr>
        <w:fldChar w:fldCharType="end"/>
      </w:r>
      <w:r>
        <w:rPr>
          <w:rFonts w:hint="eastAsia" w:ascii="宋体" w:hAnsi="宋体" w:eastAsia="宋体" w:cs="宋体"/>
          <w:color w:val="auto"/>
          <w:sz w:val="21"/>
          <w:szCs w:val="21"/>
          <w:lang w:val="en-US" w:eastAsia="zh-CN"/>
        </w:rPr>
        <w:t>检修工程部</w:t>
      </w:r>
      <w:r>
        <w:rPr>
          <w:rFonts w:hint="default" w:ascii="宋体" w:hAnsi="宋体" w:eastAsia="宋体" w:cs="宋体"/>
          <w:color w:val="auto"/>
          <w:sz w:val="21"/>
          <w:szCs w:val="21"/>
          <w:lang w:val="en-US" w:eastAsia="zh-CN"/>
        </w:rPr>
        <w:fldChar w:fldCharType="begin"/>
      </w:r>
      <w:r>
        <w:rPr>
          <w:rFonts w:hint="default" w:ascii="宋体" w:hAnsi="宋体" w:eastAsia="宋体" w:cs="宋体"/>
          <w:color w:val="auto"/>
          <w:sz w:val="21"/>
          <w:szCs w:val="21"/>
          <w:lang w:val="en-US" w:eastAsia="zh-CN"/>
        </w:rPr>
        <w:instrText xml:space="preserve"> HYPERLINK "https://portal.jiugang.com/jg/addresslist/javascript:void(0)" \o "电器修造作业区" </w:instrText>
      </w:r>
      <w:r>
        <w:rPr>
          <w:rFonts w:hint="default" w:ascii="宋体" w:hAnsi="宋体" w:eastAsia="宋体" w:cs="宋体"/>
          <w:color w:val="auto"/>
          <w:sz w:val="21"/>
          <w:szCs w:val="21"/>
          <w:lang w:val="en-US" w:eastAsia="zh-CN"/>
        </w:rPr>
        <w:fldChar w:fldCharType="separate"/>
      </w:r>
      <w:r>
        <w:rPr>
          <w:rFonts w:hint="default" w:ascii="宋体" w:hAnsi="宋体" w:eastAsia="宋体" w:cs="宋体"/>
          <w:color w:val="auto"/>
          <w:sz w:val="21"/>
          <w:szCs w:val="21"/>
          <w:lang w:val="en-US" w:eastAsia="zh-CN"/>
        </w:rPr>
        <w:t>电器修造作业区</w:t>
      </w:r>
      <w:r>
        <w:rPr>
          <w:rFonts w:hint="default" w:ascii="宋体" w:hAnsi="宋体" w:eastAsia="宋体" w:cs="宋体"/>
          <w:color w:val="auto"/>
          <w:sz w:val="21"/>
          <w:szCs w:val="21"/>
          <w:lang w:val="en-US" w:eastAsia="zh-CN"/>
        </w:rPr>
        <w:fldChar w:fldCharType="end"/>
      </w:r>
      <w:r>
        <w:rPr>
          <w:rFonts w:hint="eastAsia" w:ascii="宋体" w:hAnsi="宋体" w:eastAsia="宋体" w:cs="宋体"/>
          <w:color w:val="auto"/>
          <w:sz w:val="21"/>
          <w:szCs w:val="21"/>
          <w:lang w:val="en-US" w:eastAsia="zh-CN"/>
        </w:rPr>
        <w:t>进行检验验收，检验合格后办理入库手续。</w:t>
      </w:r>
    </w:p>
    <w:p w14:paraId="1EF83EB3">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firstLine="0" w:firstLineChars="0"/>
        <w:textAlignment w:val="baseline"/>
        <w:rPr>
          <w:rFonts w:hint="eastAsia" w:ascii="宋体" w:hAnsi="宋体" w:eastAsia="宋体" w:cs="宋体"/>
          <w:b/>
          <w:bCs w:val="0"/>
          <w:color w:val="auto"/>
          <w:sz w:val="21"/>
          <w:szCs w:val="21"/>
          <w:lang w:val="en-US" w:eastAsia="zh-CN"/>
        </w:rPr>
      </w:pPr>
      <w:r>
        <w:rPr>
          <w:rFonts w:hint="eastAsia" w:ascii="宋体" w:hAnsi="宋体" w:eastAsia="宋体" w:cs="宋体"/>
          <w:b/>
          <w:bCs w:val="0"/>
          <w:color w:val="auto"/>
          <w:sz w:val="21"/>
          <w:szCs w:val="21"/>
          <w:lang w:val="en-US" w:eastAsia="zh-CN"/>
        </w:rPr>
        <w:t>四、质保期要求</w:t>
      </w:r>
    </w:p>
    <w:p w14:paraId="14BA6DA9">
      <w:pPr>
        <w:spacing w:line="360" w:lineRule="auto"/>
        <w:ind w:firstLine="420" w:firstLineChars="200"/>
        <w:rPr>
          <w:rFonts w:hint="eastAsia" w:ascii="仿宋" w:hAnsi="仿宋" w:eastAsia="仿宋" w:cs="仿宋"/>
          <w:b/>
          <w:bCs/>
          <w:color w:val="auto"/>
          <w:kern w:val="0"/>
          <w:sz w:val="28"/>
          <w:szCs w:val="28"/>
          <w:lang w:val="en-US" w:eastAsia="zh-CN"/>
        </w:rPr>
      </w:pPr>
      <w:r>
        <w:rPr>
          <w:rFonts w:hint="eastAsia" w:ascii="宋体" w:hAnsi="宋体"/>
          <w:color w:val="auto"/>
          <w:sz w:val="21"/>
          <w:szCs w:val="21"/>
        </w:rPr>
        <w:t>质量保质期为12个月，正常使用寿命不得低于</w:t>
      </w:r>
      <w:r>
        <w:rPr>
          <w:rFonts w:hint="eastAsia" w:ascii="宋体" w:hAnsi="宋体"/>
          <w:color w:val="auto"/>
          <w:sz w:val="21"/>
          <w:szCs w:val="21"/>
          <w:lang w:val="en-US" w:eastAsia="zh-CN"/>
        </w:rPr>
        <w:t>3</w:t>
      </w:r>
      <w:r>
        <w:rPr>
          <w:rFonts w:hint="eastAsia" w:ascii="宋体" w:hAnsi="宋体"/>
          <w:color w:val="auto"/>
          <w:sz w:val="21"/>
          <w:szCs w:val="21"/>
        </w:rPr>
        <w:t>年。</w:t>
      </w:r>
    </w:p>
    <w:p w14:paraId="4FAF3938">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firstLine="0" w:firstLineChars="0"/>
        <w:textAlignment w:val="baseline"/>
        <w:rPr>
          <w:rFonts w:hint="eastAsia" w:ascii="宋体" w:hAnsi="宋体" w:eastAsia="宋体" w:cs="宋体"/>
          <w:b/>
          <w:bCs w:val="0"/>
          <w:color w:val="auto"/>
          <w:sz w:val="21"/>
          <w:szCs w:val="21"/>
          <w:lang w:val="en-US" w:eastAsia="zh-CN"/>
        </w:rPr>
      </w:pPr>
      <w:r>
        <w:rPr>
          <w:rFonts w:hint="eastAsia" w:ascii="宋体" w:hAnsi="宋体" w:eastAsia="宋体" w:cs="宋体"/>
          <w:b/>
          <w:bCs w:val="0"/>
          <w:color w:val="auto"/>
          <w:sz w:val="21"/>
          <w:szCs w:val="21"/>
          <w:lang w:val="en-US" w:eastAsia="zh-CN"/>
        </w:rPr>
        <w:t>五、售后服务要求</w:t>
      </w:r>
    </w:p>
    <w:p w14:paraId="115CCE9F">
      <w:pPr>
        <w:spacing w:line="360" w:lineRule="auto"/>
        <w:rPr>
          <w:rFonts w:ascii="宋体" w:hAnsi="宋体"/>
          <w:color w:val="auto"/>
          <w:sz w:val="21"/>
          <w:szCs w:val="21"/>
        </w:rPr>
      </w:pPr>
      <w:r>
        <w:rPr>
          <w:rFonts w:hint="eastAsia" w:ascii="宋体" w:hAnsi="宋体"/>
          <w:color w:val="auto"/>
          <w:sz w:val="21"/>
          <w:szCs w:val="21"/>
          <w:lang w:val="en-US" w:eastAsia="zh-CN"/>
        </w:rPr>
        <w:t>5.</w:t>
      </w:r>
      <w:r>
        <w:rPr>
          <w:rFonts w:hint="eastAsia" w:ascii="宋体" w:hAnsi="宋体"/>
          <w:color w:val="auto"/>
          <w:sz w:val="21"/>
          <w:szCs w:val="21"/>
        </w:rPr>
        <w:t>1乙方提供终身技术支持。</w:t>
      </w:r>
    </w:p>
    <w:p w14:paraId="3EB361A1">
      <w:pPr>
        <w:spacing w:line="360" w:lineRule="auto"/>
        <w:rPr>
          <w:rFonts w:ascii="宋体" w:hAnsi="宋体"/>
          <w:color w:val="auto"/>
          <w:sz w:val="21"/>
          <w:szCs w:val="21"/>
        </w:rPr>
      </w:pPr>
      <w:r>
        <w:rPr>
          <w:rFonts w:hint="eastAsia" w:ascii="宋体" w:hAnsi="宋体"/>
          <w:color w:val="auto"/>
          <w:sz w:val="21"/>
          <w:szCs w:val="21"/>
          <w:lang w:val="en-US" w:eastAsia="zh-CN"/>
        </w:rPr>
        <w:t>5.2</w:t>
      </w:r>
      <w:r>
        <w:rPr>
          <w:rFonts w:hint="eastAsia" w:ascii="宋体" w:hAnsi="宋体"/>
          <w:color w:val="auto"/>
          <w:sz w:val="21"/>
          <w:szCs w:val="21"/>
        </w:rPr>
        <w:t>乙方产品在运行中若出现质量问题，</w:t>
      </w:r>
      <w:r>
        <w:rPr>
          <w:rFonts w:ascii="宋体" w:hAnsi="宋体"/>
          <w:color w:val="auto"/>
          <w:sz w:val="21"/>
          <w:szCs w:val="21"/>
        </w:rPr>
        <w:t>48</w:t>
      </w:r>
      <w:r>
        <w:rPr>
          <w:rFonts w:hint="eastAsia" w:ascii="宋体" w:hAnsi="宋体"/>
          <w:color w:val="auto"/>
          <w:sz w:val="21"/>
          <w:szCs w:val="21"/>
        </w:rPr>
        <w:t>小时之内赶赴现场解决，并负责无偿处理，直至恢复设备使用性能。</w:t>
      </w:r>
    </w:p>
    <w:p w14:paraId="6184882D">
      <w:pPr>
        <w:spacing w:line="360" w:lineRule="auto"/>
        <w:rPr>
          <w:rFonts w:ascii="宋体" w:hAnsi="宋体"/>
          <w:color w:val="auto"/>
          <w:sz w:val="21"/>
          <w:szCs w:val="21"/>
        </w:rPr>
      </w:pPr>
      <w:r>
        <w:rPr>
          <w:rFonts w:hint="eastAsia" w:ascii="宋体" w:hAnsi="宋体"/>
          <w:color w:val="auto"/>
          <w:sz w:val="21"/>
          <w:szCs w:val="21"/>
          <w:lang w:val="en-US" w:eastAsia="zh-CN"/>
        </w:rPr>
        <w:t>5.3</w:t>
      </w:r>
      <w:r>
        <w:rPr>
          <w:rFonts w:hint="eastAsia" w:ascii="宋体" w:hAnsi="宋体"/>
          <w:color w:val="auto"/>
          <w:sz w:val="21"/>
          <w:szCs w:val="21"/>
        </w:rPr>
        <w:t>产品自上线投用之日计起</w:t>
      </w:r>
      <w:r>
        <w:rPr>
          <w:rFonts w:ascii="宋体" w:hAnsi="宋体"/>
          <w:color w:val="auto"/>
          <w:sz w:val="21"/>
          <w:szCs w:val="21"/>
        </w:rPr>
        <w:t>12</w:t>
      </w:r>
      <w:r>
        <w:rPr>
          <w:rFonts w:hint="eastAsia" w:ascii="宋体" w:hAnsi="宋体"/>
          <w:color w:val="auto"/>
          <w:sz w:val="21"/>
          <w:szCs w:val="21"/>
        </w:rPr>
        <w:t>个月内若出现质量问题造成损坏，由乙方免费更换同型号电机或修理恢复性能，更换或修理恢复性能后需再次经酒钢检修工程部进行检测合格并出具合格证。</w:t>
      </w:r>
    </w:p>
    <w:p w14:paraId="41625D84">
      <w:pPr>
        <w:spacing w:line="360" w:lineRule="auto"/>
        <w:rPr>
          <w:rFonts w:hint="eastAsia" w:ascii="宋体" w:hAnsi="宋体"/>
          <w:color w:val="auto"/>
          <w:sz w:val="21"/>
          <w:szCs w:val="21"/>
        </w:rPr>
      </w:pPr>
      <w:r>
        <w:rPr>
          <w:rFonts w:hint="eastAsia" w:ascii="宋体" w:hAnsi="宋体"/>
          <w:color w:val="auto"/>
          <w:sz w:val="21"/>
          <w:szCs w:val="21"/>
          <w:lang w:val="en-US" w:eastAsia="zh-CN"/>
        </w:rPr>
        <w:t>5.4</w:t>
      </w:r>
      <w:r>
        <w:rPr>
          <w:rFonts w:hint="eastAsia" w:ascii="宋体" w:hAnsi="宋体"/>
          <w:color w:val="auto"/>
          <w:sz w:val="21"/>
          <w:szCs w:val="21"/>
        </w:rPr>
        <w:t>质保期内如因设备本身制造引起的质量问题，发生的费用由乙方承担（含更换、修理），对甲方造成的损失，甲方有进一步进行要求赔偿的权利。质量保证期外如果出现设备问题，甲方需要乙方提供技术服务时、乙方应及时无偿提供现场技术服务或远程技术支持。</w:t>
      </w:r>
    </w:p>
    <w:p w14:paraId="04AF4D3A">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firstLine="0" w:firstLineChars="0"/>
        <w:textAlignment w:val="baseline"/>
        <w:rPr>
          <w:rFonts w:hint="eastAsia" w:ascii="宋体" w:hAnsi="宋体" w:eastAsia="宋体" w:cs="宋体"/>
          <w:b/>
          <w:bCs w:val="0"/>
          <w:color w:val="auto"/>
          <w:sz w:val="21"/>
          <w:szCs w:val="21"/>
          <w:lang w:val="en-US" w:eastAsia="zh-CN"/>
        </w:rPr>
      </w:pPr>
      <w:r>
        <w:rPr>
          <w:rFonts w:hint="eastAsia" w:ascii="宋体" w:hAnsi="宋体" w:eastAsia="宋体" w:cs="宋体"/>
          <w:b/>
          <w:bCs w:val="0"/>
          <w:color w:val="auto"/>
          <w:sz w:val="21"/>
          <w:szCs w:val="21"/>
          <w:lang w:val="en-US" w:eastAsia="zh-CN"/>
        </w:rPr>
        <w:t>六、双方责任</w:t>
      </w:r>
    </w:p>
    <w:p w14:paraId="50E20694">
      <w:pPr>
        <w:tabs>
          <w:tab w:val="left" w:pos="1080"/>
        </w:tabs>
        <w:adjustRightInd/>
        <w:spacing w:before="0" w:beforeAutospacing="0" w:after="0" w:afterAutospacing="0" w:line="360" w:lineRule="auto"/>
        <w:ind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6.1甲方责任</w:t>
      </w:r>
    </w:p>
    <w:p w14:paraId="4A440648">
      <w:pPr>
        <w:keepNext w:val="0"/>
        <w:keepLines w:val="0"/>
        <w:pageBreakBefore w:val="0"/>
        <w:widowControl w:val="0"/>
        <w:numPr>
          <w:ilvl w:val="0"/>
          <w:numId w:val="0"/>
        </w:numPr>
        <w:tabs>
          <w:tab w:val="left" w:pos="540"/>
          <w:tab w:val="left" w:pos="720"/>
        </w:tabs>
        <w:kinsoku/>
        <w:wordWrap/>
        <w:overflowPunct/>
        <w:topLinePunct w:val="0"/>
        <w:autoSpaceDE/>
        <w:autoSpaceDN/>
        <w:bidi w:val="0"/>
        <w:adjustRightInd/>
        <w:snapToGrid/>
        <w:spacing w:before="0" w:beforeAutospacing="0" w:after="0" w:afterAutospacing="0" w:line="360" w:lineRule="auto"/>
        <w:ind w:left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6.1.1因甲方错误提供运行环境参数及物料技术参数导致的采购异议问题，有甲方承担所有责任。</w:t>
      </w:r>
    </w:p>
    <w:p w14:paraId="2FF3A63E">
      <w:pPr>
        <w:keepNext w:val="0"/>
        <w:keepLines w:val="0"/>
        <w:pageBreakBefore w:val="0"/>
        <w:widowControl w:val="0"/>
        <w:numPr>
          <w:ilvl w:val="0"/>
          <w:numId w:val="0"/>
        </w:numPr>
        <w:tabs>
          <w:tab w:val="left" w:pos="540"/>
          <w:tab w:val="left" w:pos="720"/>
        </w:tabs>
        <w:kinsoku/>
        <w:wordWrap/>
        <w:overflowPunct/>
        <w:topLinePunct w:val="0"/>
        <w:autoSpaceDE/>
        <w:autoSpaceDN/>
        <w:bidi w:val="0"/>
        <w:adjustRightInd/>
        <w:snapToGrid/>
        <w:spacing w:before="0" w:beforeAutospacing="0" w:after="0" w:afterAutospacing="0" w:line="360" w:lineRule="auto"/>
        <w:ind w:left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6.1.2质保期内因甲方未按使用说明书要求使用和维护造成的设备损坏情况，由甲方承担所有责任。</w:t>
      </w:r>
    </w:p>
    <w:p w14:paraId="6C0F2944">
      <w:pPr>
        <w:tabs>
          <w:tab w:val="left" w:pos="1080"/>
        </w:tabs>
        <w:adjustRightInd/>
        <w:spacing w:before="0" w:beforeAutospacing="0" w:after="0" w:afterAutospacing="0" w:line="360" w:lineRule="auto"/>
        <w:ind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6.2乙方责任</w:t>
      </w:r>
    </w:p>
    <w:p w14:paraId="7A824C09">
      <w:pPr>
        <w:keepNext w:val="0"/>
        <w:keepLines w:val="0"/>
        <w:pageBreakBefore w:val="0"/>
        <w:widowControl w:val="0"/>
        <w:numPr>
          <w:ilvl w:val="0"/>
          <w:numId w:val="0"/>
        </w:numPr>
        <w:tabs>
          <w:tab w:val="left" w:pos="540"/>
          <w:tab w:val="left" w:pos="720"/>
        </w:tabs>
        <w:kinsoku/>
        <w:wordWrap/>
        <w:overflowPunct/>
        <w:topLinePunct w:val="0"/>
        <w:autoSpaceDE/>
        <w:autoSpaceDN/>
        <w:bidi w:val="0"/>
        <w:adjustRightInd/>
        <w:snapToGrid/>
        <w:spacing w:before="0" w:beforeAutospacing="0" w:after="0" w:afterAutospacing="0" w:line="360" w:lineRule="auto"/>
        <w:ind w:left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6.2.1因乙方疏忽或预前确认不到位造成的错误供货由乙方承担所有事后处理责任。</w:t>
      </w:r>
    </w:p>
    <w:p w14:paraId="15D40ED4">
      <w:pPr>
        <w:keepNext w:val="0"/>
        <w:keepLines w:val="0"/>
        <w:pageBreakBefore w:val="0"/>
        <w:widowControl w:val="0"/>
        <w:numPr>
          <w:ilvl w:val="0"/>
          <w:numId w:val="0"/>
        </w:numPr>
        <w:tabs>
          <w:tab w:val="left" w:pos="540"/>
          <w:tab w:val="left" w:pos="720"/>
        </w:tabs>
        <w:kinsoku/>
        <w:wordWrap/>
        <w:overflowPunct/>
        <w:topLinePunct w:val="0"/>
        <w:autoSpaceDE/>
        <w:autoSpaceDN/>
        <w:bidi w:val="0"/>
        <w:adjustRightInd/>
        <w:snapToGrid/>
        <w:spacing w:before="0" w:beforeAutospacing="0" w:after="0" w:afterAutospacing="0" w:line="360" w:lineRule="auto"/>
        <w:ind w:left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6.2.2乙方未按此合同所述条款进行供货或服务造成的损失由乙方承担所有责任。</w:t>
      </w:r>
    </w:p>
    <w:p w14:paraId="65F9B5BC">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firstLine="0" w:firstLineChars="0"/>
        <w:textAlignment w:val="baseline"/>
        <w:rPr>
          <w:rFonts w:hint="eastAsia" w:ascii="宋体" w:hAnsi="宋体" w:eastAsia="宋体" w:cs="宋体"/>
          <w:b/>
          <w:bCs w:val="0"/>
          <w:color w:val="auto"/>
          <w:sz w:val="21"/>
          <w:szCs w:val="21"/>
          <w:lang w:val="en-US" w:eastAsia="zh-CN"/>
        </w:rPr>
      </w:pPr>
      <w:r>
        <w:rPr>
          <w:rFonts w:hint="eastAsia" w:ascii="宋体" w:hAnsi="宋体" w:eastAsia="宋体" w:cs="宋体"/>
          <w:b/>
          <w:bCs w:val="0"/>
          <w:color w:val="auto"/>
          <w:sz w:val="21"/>
          <w:szCs w:val="21"/>
          <w:lang w:val="en-US" w:eastAsia="zh-CN"/>
        </w:rPr>
        <w:t>七、 双方确定因履行本协议应遵守的保密义务如下</w:t>
      </w:r>
    </w:p>
    <w:p w14:paraId="762A6C48">
      <w:pPr>
        <w:spacing w:line="360" w:lineRule="auto"/>
        <w:rPr>
          <w:rFonts w:hint="eastAsia" w:ascii="宋体" w:hAnsi="宋体" w:eastAsia="宋体" w:cs="Times New Roman"/>
          <w:color w:val="auto"/>
          <w:sz w:val="21"/>
          <w:szCs w:val="21"/>
          <w:lang w:val="sq-AL" w:eastAsia="zh-CN"/>
        </w:rPr>
      </w:pPr>
      <w:r>
        <w:rPr>
          <w:rFonts w:hint="eastAsia" w:ascii="宋体" w:hAnsi="宋体" w:eastAsia="宋体" w:cs="Times New Roman"/>
          <w:color w:val="auto"/>
          <w:sz w:val="21"/>
          <w:szCs w:val="21"/>
          <w:lang w:val="en-US" w:eastAsia="zh-CN"/>
        </w:rPr>
        <w:t>7.1</w:t>
      </w:r>
      <w:r>
        <w:rPr>
          <w:rFonts w:hint="eastAsia" w:ascii="宋体" w:hAnsi="宋体" w:eastAsia="宋体" w:cs="Times New Roman"/>
          <w:color w:val="auto"/>
          <w:sz w:val="21"/>
          <w:szCs w:val="21"/>
          <w:lang w:val="sq-AL" w:eastAsia="zh-CN"/>
        </w:rPr>
        <w:t>在本设备范围内由</w:t>
      </w:r>
      <w:r>
        <w:rPr>
          <w:rFonts w:hint="eastAsia" w:ascii="宋体" w:hAnsi="宋体" w:eastAsia="宋体" w:cs="宋体"/>
          <w:color w:val="auto"/>
          <w:sz w:val="21"/>
          <w:szCs w:val="21"/>
        </w:rPr>
        <w:t>乙方</w:t>
      </w:r>
      <w:r>
        <w:rPr>
          <w:rFonts w:hint="eastAsia" w:ascii="宋体" w:hAnsi="宋体" w:eastAsia="宋体" w:cs="Times New Roman"/>
          <w:color w:val="auto"/>
          <w:sz w:val="21"/>
          <w:szCs w:val="21"/>
          <w:lang w:val="sq-AL" w:eastAsia="zh-CN"/>
        </w:rPr>
        <w:t>提供给</w:t>
      </w:r>
      <w:r>
        <w:rPr>
          <w:rFonts w:hint="eastAsia" w:ascii="宋体" w:hAnsi="宋体" w:eastAsia="宋体" w:cs="宋体"/>
          <w:color w:val="auto"/>
          <w:sz w:val="21"/>
          <w:szCs w:val="21"/>
        </w:rPr>
        <w:t>甲方</w:t>
      </w:r>
      <w:r>
        <w:rPr>
          <w:rFonts w:hint="eastAsia" w:ascii="宋体" w:hAnsi="宋体" w:eastAsia="宋体" w:cs="Times New Roman"/>
          <w:color w:val="auto"/>
          <w:sz w:val="21"/>
          <w:szCs w:val="21"/>
          <w:lang w:val="sq-AL" w:eastAsia="zh-CN"/>
        </w:rPr>
        <w:t>的所有资料、专有技术及有关图纸，以下称“技术资料”属于</w:t>
      </w:r>
      <w:r>
        <w:rPr>
          <w:rFonts w:hint="eastAsia" w:ascii="宋体" w:hAnsi="宋体" w:eastAsia="宋体" w:cs="宋体"/>
          <w:color w:val="auto"/>
          <w:sz w:val="21"/>
          <w:szCs w:val="21"/>
        </w:rPr>
        <w:t>乙方</w:t>
      </w:r>
      <w:r>
        <w:rPr>
          <w:rFonts w:hint="eastAsia" w:ascii="宋体" w:hAnsi="宋体" w:eastAsia="宋体" w:cs="Times New Roman"/>
          <w:color w:val="auto"/>
          <w:sz w:val="21"/>
          <w:szCs w:val="21"/>
          <w:lang w:val="sq-AL" w:eastAsia="zh-CN"/>
        </w:rPr>
        <w:t>的知识产权。</w:t>
      </w:r>
      <w:r>
        <w:rPr>
          <w:rFonts w:hint="eastAsia" w:ascii="宋体" w:hAnsi="宋体" w:eastAsia="宋体" w:cs="宋体"/>
          <w:color w:val="auto"/>
          <w:sz w:val="21"/>
          <w:szCs w:val="21"/>
        </w:rPr>
        <w:t>甲方</w:t>
      </w:r>
      <w:r>
        <w:rPr>
          <w:rFonts w:hint="eastAsia" w:ascii="宋体" w:hAnsi="宋体" w:eastAsia="宋体" w:cs="Times New Roman"/>
          <w:color w:val="auto"/>
          <w:sz w:val="21"/>
          <w:szCs w:val="21"/>
          <w:lang w:val="sq-AL" w:eastAsia="zh-CN"/>
        </w:rPr>
        <w:t>承诺对</w:t>
      </w:r>
      <w:r>
        <w:rPr>
          <w:rFonts w:hint="eastAsia" w:ascii="宋体" w:hAnsi="宋体" w:eastAsia="宋体" w:cs="宋体"/>
          <w:color w:val="auto"/>
          <w:sz w:val="21"/>
          <w:szCs w:val="21"/>
        </w:rPr>
        <w:t>乙方</w:t>
      </w:r>
      <w:r>
        <w:rPr>
          <w:rFonts w:hint="eastAsia" w:ascii="宋体" w:hAnsi="宋体" w:eastAsia="宋体" w:cs="Times New Roman"/>
          <w:color w:val="auto"/>
          <w:sz w:val="21"/>
          <w:szCs w:val="21"/>
          <w:lang w:val="sq-AL" w:eastAsia="zh-CN"/>
        </w:rPr>
        <w:t>所提供的任何资料、专有技术及有关图纸以及设备或设计有关的任何项目的知识产权，都不向第三方转让。</w:t>
      </w:r>
    </w:p>
    <w:p w14:paraId="11E2B7D9">
      <w:pPr>
        <w:spacing w:line="360" w:lineRule="auto"/>
        <w:rPr>
          <w:rFonts w:hint="eastAsia" w:ascii="宋体" w:hAnsi="宋体" w:eastAsia="宋体" w:cs="Times New Roman"/>
          <w:color w:val="auto"/>
          <w:sz w:val="21"/>
          <w:szCs w:val="21"/>
          <w:lang w:val="sq-AL" w:eastAsia="zh-CN"/>
        </w:rPr>
      </w:pPr>
      <w:r>
        <w:rPr>
          <w:rFonts w:hint="eastAsia" w:ascii="宋体" w:hAnsi="宋体" w:eastAsia="宋体" w:cs="Times New Roman"/>
          <w:color w:val="auto"/>
          <w:sz w:val="21"/>
          <w:szCs w:val="21"/>
          <w:lang w:val="en-US" w:eastAsia="zh-CN"/>
        </w:rPr>
        <w:t>7.2</w:t>
      </w:r>
      <w:r>
        <w:rPr>
          <w:rFonts w:hint="eastAsia" w:ascii="宋体" w:hAnsi="宋体" w:eastAsia="宋体" w:cs="Times New Roman"/>
          <w:color w:val="auto"/>
          <w:sz w:val="21"/>
          <w:szCs w:val="21"/>
          <w:lang w:val="sq-AL" w:eastAsia="zh-CN"/>
        </w:rPr>
        <w:t>、保密期限</w:t>
      </w:r>
    </w:p>
    <w:p w14:paraId="372D44E3">
      <w:pPr>
        <w:spacing w:line="360" w:lineRule="auto"/>
        <w:rPr>
          <w:rFonts w:hint="eastAsia" w:ascii="宋体" w:hAnsi="宋体" w:eastAsia="宋体" w:cs="Times New Roman"/>
          <w:color w:val="auto"/>
          <w:sz w:val="21"/>
          <w:szCs w:val="21"/>
          <w:lang w:val="sq-AL" w:eastAsia="zh-CN"/>
        </w:rPr>
      </w:pPr>
      <w:r>
        <w:rPr>
          <w:rFonts w:hint="eastAsia" w:ascii="宋体" w:hAnsi="宋体" w:eastAsia="宋体" w:cs="Times New Roman"/>
          <w:color w:val="auto"/>
          <w:sz w:val="21"/>
          <w:szCs w:val="21"/>
          <w:lang w:val="sq-AL" w:eastAsia="zh-CN"/>
        </w:rPr>
        <w:t>从</w:t>
      </w:r>
      <w:r>
        <w:rPr>
          <w:rFonts w:hint="eastAsia" w:ascii="宋体" w:hAnsi="宋体" w:eastAsia="宋体" w:cs="宋体"/>
          <w:color w:val="auto"/>
          <w:sz w:val="21"/>
          <w:szCs w:val="21"/>
        </w:rPr>
        <w:t>乙方</w:t>
      </w:r>
      <w:r>
        <w:rPr>
          <w:rFonts w:hint="eastAsia" w:ascii="宋体" w:hAnsi="宋体" w:eastAsia="宋体" w:cs="Times New Roman"/>
          <w:color w:val="auto"/>
          <w:sz w:val="21"/>
          <w:szCs w:val="21"/>
          <w:lang w:val="sq-AL" w:eastAsia="zh-CN"/>
        </w:rPr>
        <w:t>向</w:t>
      </w:r>
      <w:r>
        <w:rPr>
          <w:rFonts w:hint="eastAsia" w:ascii="宋体" w:hAnsi="宋体" w:eastAsia="宋体" w:cs="宋体"/>
          <w:color w:val="auto"/>
          <w:sz w:val="21"/>
          <w:szCs w:val="21"/>
        </w:rPr>
        <w:t>甲方</w:t>
      </w:r>
      <w:r>
        <w:rPr>
          <w:rFonts w:hint="eastAsia" w:ascii="宋体" w:hAnsi="宋体" w:eastAsia="宋体" w:cs="Times New Roman"/>
          <w:color w:val="auto"/>
          <w:sz w:val="21"/>
          <w:szCs w:val="21"/>
          <w:lang w:val="sq-AL" w:eastAsia="zh-CN"/>
        </w:rPr>
        <w:t>提供图纸之日起，</w:t>
      </w:r>
      <w:r>
        <w:rPr>
          <w:rFonts w:hint="eastAsia" w:ascii="宋体" w:hAnsi="宋体" w:eastAsia="宋体" w:cs="Times New Roman"/>
          <w:color w:val="auto"/>
          <w:sz w:val="21"/>
          <w:szCs w:val="21"/>
          <w:lang w:val="en-US" w:eastAsia="zh-CN"/>
        </w:rPr>
        <w:t>5</w:t>
      </w:r>
      <w:r>
        <w:rPr>
          <w:rFonts w:hint="eastAsia" w:ascii="宋体" w:hAnsi="宋体" w:eastAsia="宋体" w:cs="Times New Roman"/>
          <w:color w:val="auto"/>
          <w:sz w:val="21"/>
          <w:szCs w:val="21"/>
          <w:lang w:val="sq-AL" w:eastAsia="zh-CN"/>
        </w:rPr>
        <w:t>年内未经</w:t>
      </w:r>
      <w:r>
        <w:rPr>
          <w:rFonts w:hint="eastAsia" w:ascii="宋体" w:hAnsi="宋体" w:eastAsia="宋体" w:cs="宋体"/>
          <w:color w:val="auto"/>
          <w:sz w:val="21"/>
          <w:szCs w:val="21"/>
        </w:rPr>
        <w:t>乙方</w:t>
      </w:r>
      <w:r>
        <w:rPr>
          <w:rFonts w:hint="eastAsia" w:ascii="宋体" w:hAnsi="宋体" w:eastAsia="宋体" w:cs="Times New Roman"/>
          <w:color w:val="auto"/>
          <w:sz w:val="21"/>
          <w:szCs w:val="21"/>
          <w:lang w:val="sq-AL" w:eastAsia="zh-CN"/>
        </w:rPr>
        <w:t>正式书面通知，</w:t>
      </w:r>
      <w:r>
        <w:rPr>
          <w:rFonts w:hint="eastAsia" w:ascii="宋体" w:hAnsi="宋体" w:eastAsia="宋体" w:cs="宋体"/>
          <w:color w:val="auto"/>
          <w:sz w:val="21"/>
          <w:szCs w:val="21"/>
        </w:rPr>
        <w:t>甲方</w:t>
      </w:r>
      <w:r>
        <w:rPr>
          <w:rFonts w:hint="eastAsia" w:ascii="宋体" w:hAnsi="宋体" w:eastAsia="宋体" w:cs="Times New Roman"/>
          <w:color w:val="auto"/>
          <w:sz w:val="21"/>
          <w:szCs w:val="21"/>
          <w:lang w:val="sq-AL" w:eastAsia="zh-CN"/>
        </w:rPr>
        <w:t>不能将此技术公开或转让。</w:t>
      </w:r>
    </w:p>
    <w:p w14:paraId="1024BBF8">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firstLine="0" w:firstLineChars="0"/>
        <w:textAlignment w:val="baseline"/>
        <w:rPr>
          <w:rFonts w:hint="eastAsia" w:ascii="宋体" w:hAnsi="宋体" w:eastAsia="宋体" w:cs="宋体"/>
          <w:b/>
          <w:bCs w:val="0"/>
          <w:color w:val="auto"/>
          <w:sz w:val="21"/>
          <w:szCs w:val="21"/>
          <w:lang w:val="en-US" w:eastAsia="zh-CN"/>
        </w:rPr>
      </w:pPr>
      <w:r>
        <w:rPr>
          <w:rFonts w:hint="eastAsia" w:ascii="宋体" w:hAnsi="宋体" w:eastAsia="宋体" w:cs="宋体"/>
          <w:b/>
          <w:bCs w:val="0"/>
          <w:color w:val="auto"/>
          <w:sz w:val="21"/>
          <w:szCs w:val="21"/>
          <w:lang w:val="en-US" w:eastAsia="zh-CN"/>
        </w:rPr>
        <w:t>八、违约责任</w:t>
      </w:r>
    </w:p>
    <w:p w14:paraId="385B3AE6">
      <w:pPr>
        <w:spacing w:line="360" w:lineRule="auto"/>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8.1乙方需在合同签订之日起</w:t>
      </w:r>
      <w:r>
        <w:rPr>
          <w:rFonts w:hint="eastAsia" w:ascii="宋体" w:hAnsi="宋体" w:cs="Times New Roman"/>
          <w:color w:val="auto"/>
          <w:sz w:val="21"/>
          <w:szCs w:val="21"/>
          <w:lang w:val="en-US" w:eastAsia="zh-CN"/>
        </w:rPr>
        <w:t>3</w:t>
      </w:r>
      <w:r>
        <w:rPr>
          <w:rFonts w:hint="eastAsia" w:ascii="宋体" w:hAnsi="宋体" w:eastAsia="宋体" w:cs="Times New Roman"/>
          <w:color w:val="auto"/>
          <w:sz w:val="21"/>
          <w:szCs w:val="21"/>
          <w:lang w:val="en-US" w:eastAsia="zh-CN"/>
        </w:rPr>
        <w:t>个月内交货。</w:t>
      </w:r>
    </w:p>
    <w:p w14:paraId="070EC9CC">
      <w:pPr>
        <w:spacing w:line="360" w:lineRule="auto"/>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8.2交货地点：甘肃酒钢集团宏兴钢铁股份有限公司储运部物资总库。</w:t>
      </w:r>
    </w:p>
    <w:p w14:paraId="247CA98B">
      <w:pPr>
        <w:keepNext w:val="0"/>
        <w:keepLines w:val="0"/>
        <w:pageBreakBefore w:val="0"/>
        <w:widowControl w:val="0"/>
        <w:kinsoku/>
        <w:wordWrap/>
        <w:overflowPunct/>
        <w:topLinePunct w:val="0"/>
        <w:autoSpaceDE/>
        <w:autoSpaceDN/>
        <w:bidi w:val="0"/>
        <w:adjustRightInd w:val="0"/>
        <w:snapToGrid/>
        <w:spacing w:beforeAutospacing="0" w:afterAutospacing="0" w:line="360" w:lineRule="auto"/>
        <w:ind w:firstLine="0" w:firstLineChars="0"/>
        <w:textAlignment w:val="baseline"/>
        <w:rPr>
          <w:rFonts w:hint="eastAsia" w:ascii="宋体" w:hAnsi="宋体" w:eastAsia="宋体" w:cs="宋体"/>
          <w:b/>
          <w:bCs w:val="0"/>
          <w:color w:val="auto"/>
          <w:sz w:val="21"/>
          <w:szCs w:val="21"/>
          <w:lang w:val="en-US" w:eastAsia="zh-CN"/>
        </w:rPr>
      </w:pPr>
      <w:r>
        <w:rPr>
          <w:rFonts w:hint="eastAsia" w:ascii="宋体" w:hAnsi="宋体" w:eastAsia="宋体" w:cs="宋体"/>
          <w:b/>
          <w:bCs w:val="0"/>
          <w:color w:val="auto"/>
          <w:sz w:val="21"/>
          <w:szCs w:val="21"/>
          <w:lang w:val="en-US" w:eastAsia="zh-CN"/>
        </w:rPr>
        <w:t>九、其它</w:t>
      </w:r>
    </w:p>
    <w:p w14:paraId="26F71BC1">
      <w:pPr>
        <w:tabs>
          <w:tab w:val="left" w:pos="567"/>
        </w:tabs>
        <w:spacing w:before="0" w:beforeAutospacing="0" w:after="0" w:afterAutospacing="0" w:line="360" w:lineRule="auto"/>
        <w:ind w:left="0" w:leftChars="0" w:firstLine="420" w:firstLineChars="200"/>
        <w:rPr>
          <w:rFonts w:hint="eastAsia" w:ascii="宋体" w:hAnsi="宋体" w:eastAsia="宋体" w:cs="Times New Roman"/>
          <w:bCs/>
          <w:sz w:val="21"/>
          <w:szCs w:val="21"/>
          <w:highlight w:val="none"/>
        </w:rPr>
      </w:pPr>
      <w:r>
        <w:rPr>
          <w:rFonts w:hint="eastAsia" w:ascii="宋体" w:hAnsi="宋体" w:eastAsia="宋体" w:cs="Times New Roman"/>
          <w:bCs/>
          <w:sz w:val="21"/>
          <w:szCs w:val="21"/>
          <w:highlight w:val="none"/>
          <w:lang w:val="en-US" w:eastAsia="zh-CN"/>
        </w:rPr>
        <w:t>1.</w:t>
      </w:r>
      <w:r>
        <w:rPr>
          <w:rFonts w:hint="eastAsia" w:ascii="宋体" w:hAnsi="宋体" w:eastAsia="宋体" w:cs="Times New Roman"/>
          <w:bCs/>
          <w:sz w:val="21"/>
          <w:szCs w:val="21"/>
          <w:highlight w:val="none"/>
        </w:rPr>
        <w:t>本</w:t>
      </w:r>
      <w:r>
        <w:rPr>
          <w:rFonts w:hint="eastAsia" w:ascii="宋体" w:hAnsi="宋体" w:eastAsia="宋体" w:cs="Times New Roman"/>
          <w:bCs/>
          <w:sz w:val="21"/>
          <w:szCs w:val="21"/>
          <w:highlight w:val="none"/>
          <w:lang w:eastAsia="zh-CN"/>
        </w:rPr>
        <w:t>规格书</w:t>
      </w:r>
      <w:r>
        <w:rPr>
          <w:rFonts w:hint="eastAsia" w:ascii="宋体" w:hAnsi="宋体" w:eastAsia="宋体" w:cs="Times New Roman"/>
          <w:bCs/>
          <w:sz w:val="21"/>
          <w:szCs w:val="21"/>
          <w:highlight w:val="none"/>
        </w:rPr>
        <w:t>中未尽事宜，双方协商解决。</w:t>
      </w:r>
    </w:p>
    <w:p w14:paraId="6C4CE247">
      <w:pPr>
        <w:tabs>
          <w:tab w:val="left" w:pos="567"/>
        </w:tabs>
        <w:spacing w:before="0" w:beforeAutospacing="0" w:after="0" w:afterAutospacing="0" w:line="360" w:lineRule="auto"/>
        <w:ind w:left="0" w:leftChars="0" w:firstLine="420" w:firstLineChars="200"/>
        <w:rPr>
          <w:rFonts w:hint="eastAsia" w:ascii="宋体" w:hAnsi="宋体" w:eastAsia="宋体" w:cs="Times New Roman"/>
          <w:bCs/>
          <w:sz w:val="21"/>
          <w:szCs w:val="21"/>
          <w:highlight w:val="none"/>
        </w:rPr>
      </w:pPr>
      <w:r>
        <w:rPr>
          <w:rFonts w:hint="eastAsia" w:ascii="宋体" w:hAnsi="宋体" w:eastAsia="宋体" w:cs="Times New Roman"/>
          <w:bCs/>
          <w:sz w:val="21"/>
          <w:szCs w:val="21"/>
          <w:highlight w:val="none"/>
          <w:lang w:val="en-US" w:eastAsia="zh-CN"/>
        </w:rPr>
        <w:t>2.</w:t>
      </w:r>
      <w:r>
        <w:rPr>
          <w:rFonts w:hint="eastAsia" w:ascii="宋体" w:hAnsi="宋体" w:eastAsia="宋体" w:cs="Times New Roman"/>
          <w:bCs/>
          <w:sz w:val="21"/>
          <w:szCs w:val="21"/>
          <w:highlight w:val="none"/>
        </w:rPr>
        <w:t>本</w:t>
      </w:r>
      <w:r>
        <w:rPr>
          <w:rFonts w:hint="eastAsia" w:ascii="宋体" w:hAnsi="宋体" w:eastAsia="宋体" w:cs="Times New Roman"/>
          <w:bCs/>
          <w:sz w:val="21"/>
          <w:szCs w:val="21"/>
          <w:highlight w:val="none"/>
          <w:lang w:eastAsia="zh-CN"/>
        </w:rPr>
        <w:t>规格书</w:t>
      </w:r>
      <w:r>
        <w:rPr>
          <w:rFonts w:hint="eastAsia" w:ascii="宋体" w:hAnsi="宋体" w:eastAsia="宋体" w:cs="Times New Roman"/>
          <w:bCs/>
          <w:sz w:val="21"/>
          <w:szCs w:val="21"/>
          <w:highlight w:val="none"/>
        </w:rPr>
        <w:t>一式四份，甲方三份，乙方一份。</w:t>
      </w:r>
    </w:p>
    <w:p w14:paraId="0C43D7BB">
      <w:pPr>
        <w:tabs>
          <w:tab w:val="left" w:pos="567"/>
        </w:tabs>
        <w:spacing w:before="0" w:beforeAutospacing="0" w:after="0" w:afterAutospacing="0" w:line="360" w:lineRule="auto"/>
        <w:ind w:left="0" w:leftChars="0" w:firstLine="420" w:firstLineChars="200"/>
        <w:rPr>
          <w:rFonts w:hint="eastAsia" w:ascii="宋体" w:hAnsi="宋体" w:eastAsia="宋体" w:cs="Times New Roman"/>
          <w:bCs/>
          <w:sz w:val="21"/>
          <w:szCs w:val="21"/>
          <w:highlight w:val="none"/>
          <w:lang w:eastAsia="zh-CN"/>
        </w:rPr>
      </w:pPr>
      <w:r>
        <w:rPr>
          <w:rFonts w:hint="eastAsia" w:ascii="宋体" w:hAnsi="宋体" w:eastAsia="宋体" w:cs="Times New Roman"/>
          <w:bCs/>
          <w:sz w:val="21"/>
          <w:szCs w:val="21"/>
          <w:highlight w:val="none"/>
          <w:lang w:val="en-US" w:eastAsia="zh-CN"/>
        </w:rPr>
        <w:t>3.若</w:t>
      </w:r>
      <w:r>
        <w:rPr>
          <w:rFonts w:hint="eastAsia" w:ascii="宋体" w:hAnsi="宋体" w:eastAsia="宋体" w:cs="Times New Roman"/>
          <w:bCs/>
          <w:sz w:val="21"/>
          <w:szCs w:val="21"/>
          <w:highlight w:val="none"/>
          <w:lang w:eastAsia="zh-CN"/>
        </w:rPr>
        <w:t>乙方</w:t>
      </w:r>
      <w:r>
        <w:rPr>
          <w:rFonts w:hint="eastAsia" w:ascii="宋体" w:hAnsi="宋体" w:eastAsia="宋体" w:cs="Times New Roman"/>
          <w:bCs/>
          <w:sz w:val="21"/>
          <w:szCs w:val="21"/>
          <w:highlight w:val="none"/>
          <w:lang w:val="en-US" w:eastAsia="zh-CN"/>
        </w:rPr>
        <w:t>公司不能中标，则本技术规格书自动失效，双方互不承担任何责任。</w:t>
      </w:r>
    </w:p>
    <w:p w14:paraId="281B80A2">
      <w:pPr>
        <w:tabs>
          <w:tab w:val="left" w:pos="567"/>
        </w:tabs>
        <w:spacing w:before="0" w:beforeAutospacing="0" w:after="0" w:afterAutospacing="0" w:line="360" w:lineRule="auto"/>
        <w:ind w:left="0" w:leftChars="0" w:firstLine="420" w:firstLineChars="200"/>
        <w:rPr>
          <w:rFonts w:hint="eastAsia" w:ascii="宋体" w:hAnsi="宋体" w:eastAsia="宋体" w:cs="Times New Roman"/>
          <w:bCs/>
          <w:sz w:val="21"/>
          <w:szCs w:val="21"/>
          <w:highlight w:val="none"/>
          <w:lang w:val="en-US" w:eastAsia="zh-CN"/>
        </w:rPr>
      </w:pPr>
      <w:r>
        <w:rPr>
          <w:rFonts w:hint="eastAsia" w:ascii="宋体" w:hAnsi="宋体" w:eastAsia="宋体" w:cs="Times New Roman"/>
          <w:bCs/>
          <w:sz w:val="21"/>
          <w:szCs w:val="21"/>
          <w:highlight w:val="none"/>
          <w:lang w:val="en-US" w:eastAsia="zh-CN"/>
        </w:rPr>
        <w:t>4.本</w:t>
      </w:r>
      <w:r>
        <w:rPr>
          <w:rFonts w:hint="eastAsia" w:ascii="宋体" w:hAnsi="宋体" w:eastAsia="宋体" w:cs="Times New Roman"/>
          <w:bCs/>
          <w:sz w:val="21"/>
          <w:szCs w:val="21"/>
          <w:highlight w:val="none"/>
          <w:lang w:eastAsia="zh-CN"/>
        </w:rPr>
        <w:t>规格书</w:t>
      </w:r>
      <w:r>
        <w:rPr>
          <w:rFonts w:hint="eastAsia" w:ascii="宋体" w:hAnsi="宋体" w:eastAsia="宋体" w:cs="Times New Roman"/>
          <w:bCs/>
          <w:sz w:val="21"/>
          <w:szCs w:val="21"/>
          <w:highlight w:val="none"/>
          <w:lang w:val="en-US" w:eastAsia="zh-CN"/>
        </w:rPr>
        <w:t>内容经由甲乙双方与     年  月  日  时-  时通过     方式商定。</w:t>
      </w:r>
    </w:p>
    <w:p w14:paraId="03FE9AE7">
      <w:pPr>
        <w:tabs>
          <w:tab w:val="left" w:pos="567"/>
        </w:tabs>
        <w:spacing w:before="0" w:beforeAutospacing="0" w:after="0" w:afterAutospacing="0" w:line="360" w:lineRule="auto"/>
        <w:ind w:left="0" w:leftChars="0" w:firstLine="420" w:firstLineChars="200"/>
        <w:rPr>
          <w:rFonts w:hint="eastAsia" w:ascii="宋体" w:hAnsi="宋体" w:eastAsia="宋体" w:cs="Times New Roman"/>
          <w:bCs/>
          <w:sz w:val="21"/>
          <w:szCs w:val="21"/>
          <w:highlight w:val="none"/>
          <w:lang w:val="en-US" w:eastAsia="zh-CN"/>
        </w:rPr>
      </w:pPr>
      <w:r>
        <w:rPr>
          <w:rFonts w:hint="eastAsia" w:ascii="宋体" w:hAnsi="宋体" w:eastAsia="宋体" w:cs="Times New Roman"/>
          <w:bCs/>
          <w:sz w:val="21"/>
          <w:szCs w:val="21"/>
          <w:highlight w:val="none"/>
          <w:lang w:val="en-US" w:eastAsia="zh-CN"/>
        </w:rPr>
        <w:t>5.甲乙双方应当就签订本</w:t>
      </w:r>
      <w:r>
        <w:rPr>
          <w:rFonts w:hint="eastAsia" w:ascii="宋体" w:hAnsi="宋体" w:eastAsia="宋体" w:cs="Times New Roman"/>
          <w:bCs/>
          <w:sz w:val="21"/>
          <w:szCs w:val="21"/>
          <w:highlight w:val="none"/>
          <w:lang w:eastAsia="zh-CN"/>
        </w:rPr>
        <w:t>规格书</w:t>
      </w:r>
      <w:r>
        <w:rPr>
          <w:rFonts w:hint="eastAsia" w:ascii="宋体" w:hAnsi="宋体" w:eastAsia="宋体" w:cs="Times New Roman"/>
          <w:bCs/>
          <w:sz w:val="21"/>
          <w:szCs w:val="21"/>
          <w:highlight w:val="none"/>
          <w:lang w:val="en-US" w:eastAsia="zh-CN"/>
        </w:rPr>
        <w:t>的相关事宜保密，不得将签订主体、时间、内容等信息透露给其他第三人。</w:t>
      </w:r>
    </w:p>
    <w:p w14:paraId="004F7704">
      <w:pPr>
        <w:pStyle w:val="8"/>
        <w:rPr>
          <w:rFonts w:hint="eastAsia"/>
        </w:rPr>
      </w:pPr>
    </w:p>
    <w:p w14:paraId="32FE9482">
      <w:pPr>
        <w:keepNext w:val="0"/>
        <w:keepLines w:val="0"/>
        <w:pageBreakBefore w:val="0"/>
        <w:widowControl w:val="0"/>
        <w:tabs>
          <w:tab w:val="left" w:pos="1943"/>
        </w:tabs>
        <w:kinsoku/>
        <w:wordWrap/>
        <w:overflowPunct/>
        <w:topLinePunct w:val="0"/>
        <w:autoSpaceDE/>
        <w:autoSpaceDN/>
        <w:bidi w:val="0"/>
        <w:spacing w:line="600" w:lineRule="exact"/>
        <w:ind w:left="0" w:leftChars="0" w:firstLine="0" w:firstLineChars="0"/>
        <w:rPr>
          <w:rFonts w:hint="eastAsia" w:ascii="仿宋" w:hAnsi="仿宋" w:eastAsia="仿宋" w:cs="仿宋"/>
          <w:b/>
          <w:color w:val="auto"/>
          <w:sz w:val="32"/>
          <w:szCs w:val="32"/>
          <w:highlight w:val="none"/>
        </w:rPr>
      </w:pPr>
      <w:bookmarkStart w:id="0" w:name="_GoBack"/>
      <w:bookmarkEnd w:id="0"/>
      <w:r>
        <w:rPr>
          <w:rFonts w:hint="eastAsia" w:ascii="仿宋" w:hAnsi="仿宋" w:eastAsia="仿宋" w:cs="仿宋"/>
          <w:b/>
          <w:color w:val="auto"/>
          <w:sz w:val="32"/>
          <w:szCs w:val="32"/>
          <w:highlight w:val="none"/>
        </w:rPr>
        <w:t>甲方</w:t>
      </w:r>
      <w:r>
        <w:rPr>
          <w:rFonts w:hint="eastAsia" w:ascii="仿宋" w:hAnsi="仿宋" w:eastAsia="仿宋" w:cs="仿宋"/>
          <w:b/>
          <w:color w:val="auto"/>
          <w:sz w:val="32"/>
          <w:szCs w:val="32"/>
          <w:highlight w:val="none"/>
          <w:lang w:eastAsia="zh-CN"/>
        </w:rPr>
        <w:t>单位名称</w:t>
      </w:r>
      <w:r>
        <w:rPr>
          <w:rFonts w:hint="eastAsia" w:ascii="仿宋" w:hAnsi="仿宋" w:eastAsia="仿宋" w:cs="仿宋"/>
          <w:b/>
          <w:color w:val="auto"/>
          <w:sz w:val="32"/>
          <w:szCs w:val="32"/>
          <w:highlight w:val="none"/>
        </w:rPr>
        <w:t>：</w:t>
      </w:r>
      <w:r>
        <w:rPr>
          <w:rFonts w:hint="eastAsia" w:ascii="仿宋" w:hAnsi="仿宋" w:eastAsia="仿宋" w:cs="仿宋"/>
          <w:b/>
          <w:color w:val="auto"/>
          <w:sz w:val="32"/>
          <w:szCs w:val="32"/>
          <w:highlight w:val="none"/>
          <w:lang w:eastAsia="zh-CN"/>
        </w:rPr>
        <w:t>甘肃</w:t>
      </w:r>
      <w:r>
        <w:rPr>
          <w:rFonts w:hint="eastAsia" w:ascii="仿宋" w:hAnsi="仿宋" w:eastAsia="仿宋" w:cs="仿宋"/>
          <w:b/>
          <w:color w:val="auto"/>
          <w:sz w:val="32"/>
          <w:szCs w:val="32"/>
          <w:highlight w:val="none"/>
        </w:rPr>
        <w:t>酒钢集团宏兴</w:t>
      </w:r>
      <w:r>
        <w:rPr>
          <w:rFonts w:hint="eastAsia" w:ascii="仿宋" w:hAnsi="仿宋" w:eastAsia="仿宋" w:cs="仿宋"/>
          <w:b/>
          <w:color w:val="auto"/>
          <w:sz w:val="32"/>
          <w:szCs w:val="32"/>
          <w:highlight w:val="none"/>
          <w:lang w:eastAsia="zh-CN"/>
        </w:rPr>
        <w:t>钢铁</w:t>
      </w:r>
      <w:r>
        <w:rPr>
          <w:rFonts w:hint="eastAsia" w:ascii="仿宋" w:hAnsi="仿宋" w:eastAsia="仿宋" w:cs="仿宋"/>
          <w:b/>
          <w:color w:val="auto"/>
          <w:sz w:val="32"/>
          <w:szCs w:val="32"/>
          <w:highlight w:val="none"/>
        </w:rPr>
        <w:t>股份</w:t>
      </w:r>
      <w:r>
        <w:rPr>
          <w:rFonts w:hint="eastAsia" w:ascii="仿宋" w:hAnsi="仿宋" w:eastAsia="仿宋" w:cs="仿宋"/>
          <w:b/>
          <w:color w:val="auto"/>
          <w:sz w:val="32"/>
          <w:szCs w:val="32"/>
          <w:highlight w:val="none"/>
          <w:lang w:eastAsia="zh-CN"/>
        </w:rPr>
        <w:t>有限</w:t>
      </w:r>
      <w:r>
        <w:rPr>
          <w:rFonts w:hint="eastAsia" w:ascii="仿宋" w:hAnsi="仿宋" w:eastAsia="仿宋" w:cs="仿宋"/>
          <w:b/>
          <w:color w:val="auto"/>
          <w:sz w:val="32"/>
          <w:szCs w:val="32"/>
          <w:highlight w:val="none"/>
        </w:rPr>
        <w:t xml:space="preserve">公司    </w:t>
      </w:r>
    </w:p>
    <w:p w14:paraId="6C695649">
      <w:pPr>
        <w:keepNext w:val="0"/>
        <w:keepLines w:val="0"/>
        <w:pageBreakBefore w:val="0"/>
        <w:widowControl w:val="0"/>
        <w:tabs>
          <w:tab w:val="left" w:pos="1943"/>
        </w:tabs>
        <w:kinsoku/>
        <w:wordWrap/>
        <w:overflowPunct/>
        <w:topLinePunct w:val="0"/>
        <w:autoSpaceDE/>
        <w:autoSpaceDN/>
        <w:bidi w:val="0"/>
        <w:spacing w:line="600" w:lineRule="exact"/>
        <w:ind w:left="0" w:leftChars="0" w:firstLine="0" w:firstLineChars="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甲方代表：</w:t>
      </w:r>
      <w:r>
        <w:rPr>
          <w:rFonts w:hint="eastAsia" w:ascii="仿宋" w:hAnsi="仿宋" w:eastAsia="仿宋" w:cs="仿宋"/>
          <w:b/>
          <w:color w:val="auto"/>
          <w:sz w:val="32"/>
          <w:szCs w:val="32"/>
          <w:highlight w:val="none"/>
          <w:lang w:val="en-US" w:eastAsia="zh-CN"/>
        </w:rPr>
        <w:t xml:space="preserve">                               </w:t>
      </w:r>
      <w:r>
        <w:rPr>
          <w:rFonts w:hint="eastAsia" w:ascii="仿宋" w:hAnsi="仿宋" w:eastAsia="仿宋" w:cs="仿宋"/>
          <w:b/>
          <w:color w:val="auto"/>
          <w:sz w:val="32"/>
          <w:szCs w:val="32"/>
          <w:highlight w:val="none"/>
        </w:rPr>
        <w:t>年   月   日</w:t>
      </w:r>
    </w:p>
    <w:p w14:paraId="149E4621">
      <w:pPr>
        <w:keepNext w:val="0"/>
        <w:keepLines w:val="0"/>
        <w:pageBreakBefore w:val="0"/>
        <w:widowControl w:val="0"/>
        <w:tabs>
          <w:tab w:val="left" w:pos="1943"/>
        </w:tabs>
        <w:kinsoku/>
        <w:wordWrap/>
        <w:overflowPunct/>
        <w:topLinePunct w:val="0"/>
        <w:autoSpaceDE/>
        <w:autoSpaceDN/>
        <w:bidi w:val="0"/>
        <w:spacing w:before="0" w:beforeAutospacing="0" w:after="0" w:afterAutospacing="0" w:line="600" w:lineRule="exact"/>
        <w:ind w:left="0" w:leftChars="0" w:firstLine="0" w:firstLineChars="0"/>
        <w:rPr>
          <w:rFonts w:hint="eastAsia" w:ascii="仿宋" w:hAnsi="仿宋" w:eastAsia="仿宋" w:cs="仿宋"/>
          <w:b/>
          <w:color w:val="auto"/>
          <w:sz w:val="32"/>
          <w:szCs w:val="32"/>
          <w:highlight w:val="none"/>
        </w:rPr>
      </w:pPr>
    </w:p>
    <w:p w14:paraId="7392B391">
      <w:pPr>
        <w:keepNext w:val="0"/>
        <w:keepLines w:val="0"/>
        <w:pageBreakBefore w:val="0"/>
        <w:widowControl w:val="0"/>
        <w:tabs>
          <w:tab w:val="left" w:pos="1943"/>
        </w:tabs>
        <w:kinsoku/>
        <w:wordWrap/>
        <w:overflowPunct/>
        <w:topLinePunct w:val="0"/>
        <w:autoSpaceDE/>
        <w:autoSpaceDN/>
        <w:bidi w:val="0"/>
        <w:spacing w:before="0" w:beforeAutospacing="0" w:after="0" w:afterAutospacing="0" w:line="600" w:lineRule="exact"/>
        <w:ind w:left="0" w:leftChars="0" w:firstLine="0" w:firstLineChars="0"/>
        <w:rPr>
          <w:rFonts w:hint="eastAsia" w:ascii="仿宋" w:hAnsi="仿宋" w:eastAsia="仿宋" w:cs="仿宋"/>
          <w:b/>
          <w:color w:val="auto"/>
          <w:sz w:val="32"/>
          <w:szCs w:val="32"/>
          <w:highlight w:val="none"/>
        </w:rPr>
      </w:pPr>
    </w:p>
    <w:p w14:paraId="34108302">
      <w:pPr>
        <w:keepNext w:val="0"/>
        <w:keepLines w:val="0"/>
        <w:pageBreakBefore w:val="0"/>
        <w:widowControl w:val="0"/>
        <w:tabs>
          <w:tab w:val="left" w:pos="1943"/>
        </w:tabs>
        <w:kinsoku/>
        <w:wordWrap/>
        <w:overflowPunct/>
        <w:topLinePunct w:val="0"/>
        <w:autoSpaceDE/>
        <w:autoSpaceDN/>
        <w:bidi w:val="0"/>
        <w:spacing w:before="0" w:beforeAutospacing="0" w:after="0" w:afterAutospacing="0" w:line="600" w:lineRule="exact"/>
        <w:ind w:left="0" w:leftChars="0" w:firstLine="0" w:firstLineChars="0"/>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rPr>
        <w:t>乙方</w:t>
      </w:r>
      <w:r>
        <w:rPr>
          <w:rFonts w:hint="eastAsia" w:ascii="仿宋" w:hAnsi="仿宋" w:eastAsia="仿宋" w:cs="仿宋"/>
          <w:b/>
          <w:color w:val="auto"/>
          <w:sz w:val="32"/>
          <w:szCs w:val="32"/>
          <w:highlight w:val="none"/>
          <w:lang w:eastAsia="zh-CN"/>
        </w:rPr>
        <w:t>单位名称</w:t>
      </w:r>
      <w:r>
        <w:rPr>
          <w:rFonts w:hint="eastAsia" w:ascii="仿宋" w:hAnsi="仿宋" w:eastAsia="仿宋" w:cs="仿宋"/>
          <w:b/>
          <w:color w:val="auto"/>
          <w:sz w:val="32"/>
          <w:szCs w:val="32"/>
          <w:highlight w:val="none"/>
        </w:rPr>
        <w:t>：</w:t>
      </w:r>
    </w:p>
    <w:p w14:paraId="482CF26C">
      <w:pPr>
        <w:keepNext w:val="0"/>
        <w:keepLines w:val="0"/>
        <w:pageBreakBefore w:val="0"/>
        <w:widowControl w:val="0"/>
        <w:kinsoku/>
        <w:wordWrap/>
        <w:overflowPunct/>
        <w:topLinePunct w:val="0"/>
        <w:autoSpaceDE/>
        <w:autoSpaceDN/>
        <w:bidi w:val="0"/>
        <w:spacing w:line="600" w:lineRule="exact"/>
        <w:ind w:left="0" w:leftChars="0" w:firstLine="0" w:firstLineChars="0"/>
        <w:rPr>
          <w:rFonts w:hint="eastAsia" w:ascii="仿宋" w:hAnsi="仿宋" w:eastAsia="仿宋" w:cs="仿宋"/>
          <w:color w:val="auto"/>
          <w:sz w:val="32"/>
          <w:szCs w:val="32"/>
          <w:highlight w:val="none"/>
        </w:rPr>
      </w:pPr>
      <w:r>
        <w:rPr>
          <w:rFonts w:hint="eastAsia" w:ascii="仿宋" w:hAnsi="仿宋" w:eastAsia="仿宋" w:cs="仿宋"/>
          <w:b/>
          <w:color w:val="auto"/>
          <w:sz w:val="32"/>
          <w:szCs w:val="32"/>
          <w:highlight w:val="none"/>
        </w:rPr>
        <w:t>乙方代表：</w:t>
      </w:r>
      <w:r>
        <w:rPr>
          <w:rFonts w:hint="eastAsia" w:ascii="仿宋" w:hAnsi="仿宋" w:eastAsia="仿宋" w:cs="仿宋"/>
          <w:b/>
          <w:color w:val="auto"/>
          <w:sz w:val="32"/>
          <w:szCs w:val="32"/>
          <w:highlight w:val="none"/>
          <w:lang w:val="en-US" w:eastAsia="zh-CN"/>
        </w:rPr>
        <w:t xml:space="preserve">                               </w:t>
      </w:r>
      <w:r>
        <w:rPr>
          <w:rFonts w:hint="eastAsia" w:ascii="仿宋" w:hAnsi="仿宋" w:eastAsia="仿宋" w:cs="仿宋"/>
          <w:b/>
          <w:color w:val="auto"/>
          <w:sz w:val="32"/>
          <w:szCs w:val="32"/>
          <w:highlight w:val="none"/>
        </w:rPr>
        <w:t>年   月   日</w:t>
      </w:r>
    </w:p>
    <w:p w14:paraId="07C8BFFF">
      <w:pPr>
        <w:keepNext w:val="0"/>
        <w:keepLines w:val="0"/>
        <w:pageBreakBefore w:val="0"/>
        <w:widowControl w:val="0"/>
        <w:kinsoku/>
        <w:wordWrap/>
        <w:overflowPunct/>
        <w:topLinePunct w:val="0"/>
        <w:autoSpaceDE/>
        <w:autoSpaceDN/>
        <w:bidi w:val="0"/>
        <w:adjustRightInd w:val="0"/>
        <w:snapToGrid/>
        <w:spacing w:line="480" w:lineRule="auto"/>
        <w:textAlignment w:val="baseline"/>
        <w:rPr>
          <w:rFonts w:hint="eastAsia" w:ascii="宋体" w:hAnsi="宋体"/>
          <w:b/>
          <w:color w:val="auto"/>
          <w:sz w:val="28"/>
          <w:szCs w:val="28"/>
        </w:rPr>
      </w:pPr>
    </w:p>
    <w:sectPr>
      <w:headerReference r:id="rId5" w:type="default"/>
      <w:footerReference r:id="rId6" w:type="default"/>
      <w:pgSz w:w="11907" w:h="16840"/>
      <w:pgMar w:top="1417" w:right="1418" w:bottom="1417" w:left="1418" w:header="567" w:footer="510" w:gutter="0"/>
      <w:pgNumType w:fmt="decimal"/>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embedRegular r:id="rId1" w:fontKey="{C2002368-6A90-4234-A2E7-C698BBDB6416}"/>
  </w:font>
  <w:font w:name="华文中宋">
    <w:panose1 w:val="02010600040101010101"/>
    <w:charset w:val="86"/>
    <w:family w:val="auto"/>
    <w:pitch w:val="default"/>
    <w:sig w:usb0="00000287" w:usb1="080F0000" w:usb2="00000000" w:usb3="00000000" w:csb0="0004009F" w:csb1="DFD70000"/>
    <w:embedRegular r:id="rId2" w:fontKey="{9FE9F6FD-D8D5-4B4F-A145-4530C5A5F17B}"/>
  </w:font>
  <w:font w:name="WPSEMBED4">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FB22F">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F2F40F6">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Jom5dHdAQAAvgMAAA4AAAAAAAAA&#10;AQAgAAAAHgEAAGRycy9lMm9Eb2MueG1sUEsFBgAAAAAGAAYAWQEAAG0FAAAAAA==&#10;">
              <v:fill on="f" focussize="0,0"/>
              <v:stroke on="f"/>
              <v:imagedata o:title=""/>
              <o:lock v:ext="edit" aspectratio="f"/>
              <v:textbox inset="0mm,0mm,0mm,0mm" style="mso-fit-shape-to-text:t;">
                <w:txbxContent>
                  <w:p w14:paraId="3F2F40F6">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A8567B">
    <w:pPr>
      <w:pStyle w:val="9"/>
      <w:ind w:left="0" w:leftChars="0" w:firstLine="0" w:firstLineChars="0"/>
      <w:jc w:val="left"/>
      <w:rPr>
        <w:rFonts w:hint="default"/>
        <w:u w:val="single" w:color="7F7F7F"/>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CEB718"/>
    <w:multiLevelType w:val="multilevel"/>
    <w:tmpl w:val="A4CEB718"/>
    <w:lvl w:ilvl="0" w:tentative="0">
      <w:start w:val="1"/>
      <w:numFmt w:val="chineseCounting"/>
      <w:pStyle w:val="3"/>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B6EB83E9"/>
    <w:multiLevelType w:val="multilevel"/>
    <w:tmpl w:val="B6EB83E9"/>
    <w:lvl w:ilvl="0" w:tentative="0">
      <w:start w:val="1"/>
      <w:numFmt w:val="decimal"/>
      <w:lvlText w:val="%1."/>
      <w:lvlJc w:val="left"/>
      <w:pPr>
        <w:ind w:left="425" w:hanging="425"/>
      </w:pPr>
      <w:rPr>
        <w:rFonts w:hint="default"/>
      </w:rPr>
    </w:lvl>
    <w:lvl w:ilvl="1" w:tentative="0">
      <w:start w:val="1"/>
      <w:numFmt w:val="decimal"/>
      <w:lvlText w:val="%1.%2."/>
      <w:lvlJc w:val="left"/>
      <w:pPr>
        <w:ind w:left="850" w:hanging="453"/>
      </w:pPr>
      <w:rPr>
        <w:rFonts w:hint="default"/>
      </w:rPr>
    </w:lvl>
    <w:lvl w:ilvl="2" w:tentative="0">
      <w:start w:val="1"/>
      <w:numFmt w:val="decimal"/>
      <w:suff w:val="space"/>
      <w:lvlText w:val="3.1.%3"/>
      <w:lvlJc w:val="left"/>
      <w:pPr>
        <w:tabs>
          <w:tab w:val="left" w:pos="0"/>
        </w:tabs>
        <w:ind w:left="0" w:leftChars="0" w:firstLine="40" w:firstLineChars="0"/>
      </w:pPr>
      <w:rPr>
        <w:rFonts w:hint="default" w:ascii="宋体" w:hAnsi="宋体" w:eastAsia="宋体" w:cs="宋体"/>
        <w:sz w:val="21"/>
        <w:szCs w:val="10"/>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2">
    <w:nsid w:val="E54AF191"/>
    <w:multiLevelType w:val="singleLevel"/>
    <w:tmpl w:val="E54AF191"/>
    <w:lvl w:ilvl="0" w:tentative="0">
      <w:start w:val="1"/>
      <w:numFmt w:val="decimal"/>
      <w:suff w:val="nothing"/>
      <w:lvlText w:val="%1、"/>
      <w:lvlJc w:val="left"/>
    </w:lvl>
  </w:abstractNum>
  <w:abstractNum w:abstractNumId="3">
    <w:nsid w:val="0EEE79D9"/>
    <w:multiLevelType w:val="multilevel"/>
    <w:tmpl w:val="0EEE79D9"/>
    <w:lvl w:ilvl="0" w:tentative="0">
      <w:start w:val="1"/>
      <w:numFmt w:val="decimal"/>
      <w:lvlText w:val="1.%1"/>
      <w:lvlJc w:val="left"/>
      <w:pPr>
        <w:tabs>
          <w:tab w:val="left" w:pos="0"/>
        </w:tabs>
        <w:ind w:left="0" w:firstLine="0"/>
      </w:pPr>
      <w:rPr>
        <w:rFonts w:hint="default"/>
      </w:rPr>
    </w:lvl>
    <w:lvl w:ilvl="1" w:tentative="0">
      <w:start w:val="1"/>
      <w:numFmt w:val="decimal"/>
      <w:lvlText w:val="%2、"/>
      <w:lvlJc w:val="left"/>
      <w:pPr>
        <w:tabs>
          <w:tab w:val="left" w:pos="1260"/>
        </w:tabs>
        <w:ind w:left="126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161475DE"/>
    <w:multiLevelType w:val="multilevel"/>
    <w:tmpl w:val="161475DE"/>
    <w:lvl w:ilvl="0" w:tentative="0">
      <w:start w:val="1"/>
      <w:numFmt w:val="decimal"/>
      <w:lvlText w:val="%1."/>
      <w:lvlJc w:val="left"/>
      <w:pPr>
        <w:ind w:left="425" w:hanging="425"/>
      </w:pPr>
      <w:rPr>
        <w:rFonts w:hint="default"/>
      </w:rPr>
    </w:lvl>
    <w:lvl w:ilvl="1" w:tentative="0">
      <w:start w:val="1"/>
      <w:numFmt w:val="decimal"/>
      <w:lvlText w:val="%1.%2."/>
      <w:lvlJc w:val="left"/>
      <w:pPr>
        <w:ind w:left="850" w:hanging="453"/>
      </w:pPr>
      <w:rPr>
        <w:rFonts w:hint="default"/>
      </w:rPr>
    </w:lvl>
    <w:lvl w:ilvl="2" w:tentative="0">
      <w:start w:val="1"/>
      <w:numFmt w:val="decimal"/>
      <w:suff w:val="space"/>
      <w:lvlText w:val="3.2.%3"/>
      <w:lvlJc w:val="left"/>
      <w:pPr>
        <w:tabs>
          <w:tab w:val="left" w:pos="0"/>
        </w:tabs>
        <w:ind w:left="0" w:leftChars="0" w:firstLine="40" w:firstLineChars="0"/>
      </w:pPr>
      <w:rPr>
        <w:rFonts w:hint="default" w:ascii="宋体" w:hAnsi="宋体" w:eastAsia="宋体" w:cs="宋体"/>
        <w:sz w:val="21"/>
        <w:szCs w:val="10"/>
      </w:rPr>
    </w:lvl>
    <w:lvl w:ilvl="3" w:tentative="0">
      <w:start w:val="1"/>
      <w:numFmt w:val="decimal"/>
      <w:lvlText w:val="%1.%2.%3.%4."/>
      <w:lvlJc w:val="left"/>
      <w:pPr>
        <w:ind w:left="2053" w:hanging="853"/>
      </w:pPr>
      <w:rPr>
        <w:rFonts w:hint="default"/>
      </w:rPr>
    </w:lvl>
    <w:lvl w:ilvl="4" w:tentative="0">
      <w:start w:val="1"/>
      <w:numFmt w:val="decimal"/>
      <w:lvlText w:val="%1.%2.%3.%4.%5."/>
      <w:lvlJc w:val="left"/>
      <w:pPr>
        <w:ind w:left="2495" w:hanging="895"/>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5">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17"/>
      <w:suff w:val="nothing"/>
      <w:lvlText w:val="%1%2　"/>
      <w:lvlJc w:val="left"/>
      <w:pPr>
        <w:ind w:left="0" w:firstLine="0"/>
      </w:pPr>
      <w:rPr>
        <w:rFonts w:hint="eastAsia" w:ascii="黑体" w:hAnsi="Times New Roman" w:eastAsia="黑体"/>
        <w:b w:val="0"/>
        <w:i w:val="0"/>
        <w:sz w:val="21"/>
      </w:rPr>
    </w:lvl>
    <w:lvl w:ilvl="2" w:tentative="0">
      <w:start w:val="1"/>
      <w:numFmt w:val="decimal"/>
      <w:pStyle w:val="16"/>
      <w:suff w:val="nothing"/>
      <w:lvlText w:val="%1%2.%3　"/>
      <w:lvlJc w:val="left"/>
      <w:pPr>
        <w:ind w:left="113" w:hanging="113"/>
      </w:pPr>
      <w:rPr>
        <w:rFonts w:hint="eastAsia" w:ascii="黑体" w:hAnsi="Times New Roman" w:eastAsia="黑体"/>
        <w:b w:val="0"/>
        <w:i w:val="0"/>
        <w:sz w:val="21"/>
      </w:rPr>
    </w:lvl>
    <w:lvl w:ilvl="3" w:tentative="0">
      <w:start w:val="1"/>
      <w:numFmt w:val="decimal"/>
      <w:suff w:val="nothing"/>
      <w:lvlText w:val="%1%2.%3.%4　"/>
      <w:lvlJc w:val="left"/>
      <w:pPr>
        <w:ind w:left="937" w:hanging="227"/>
      </w:pPr>
      <w:rPr>
        <w:rFonts w:hint="eastAsia" w:ascii="宋体" w:hAnsi="宋体" w:eastAsia="宋体"/>
        <w:b w:val="0"/>
        <w:i w:val="0"/>
        <w:color w:val="auto"/>
        <w:sz w:val="21"/>
      </w:rPr>
    </w:lvl>
    <w:lvl w:ilvl="4" w:tentative="0">
      <w:start w:val="1"/>
      <w:numFmt w:val="decimal"/>
      <w:suff w:val="nothing"/>
      <w:lvlText w:val="%1%2.%3.%4.%5　"/>
      <w:lvlJc w:val="left"/>
      <w:pPr>
        <w:ind w:left="1058" w:hanging="113"/>
      </w:pPr>
      <w:rPr>
        <w:rFonts w:hint="eastAsia" w:ascii="宋体" w:hAnsi="宋体" w:eastAsia="宋体"/>
        <w:b w:val="0"/>
        <w:i w:val="0"/>
        <w:sz w:val="21"/>
      </w:rPr>
    </w:lvl>
    <w:lvl w:ilvl="5" w:tentative="0">
      <w:start w:val="1"/>
      <w:numFmt w:val="decimal"/>
      <w:suff w:val="nothing"/>
      <w:lvlText w:val="%1%2.%3.%4.%5.%6　"/>
      <w:lvlJc w:val="left"/>
      <w:pPr>
        <w:ind w:left="0" w:firstLine="0"/>
      </w:pPr>
      <w:rPr>
        <w:rFonts w:hint="eastAsia" w:ascii="宋体" w:hAnsi="宋体" w:eastAsia="宋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 w:numId="2">
    <w:abstractNumId w:val="5"/>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M1Y2RjNTdlMzBhMjcwNzBlNGQ1MGUwNmVhZjg0YjgifQ=="/>
    <w:docVar w:name="KSO_WPS_MARK_KEY" w:val="213480a1-91aa-4224-aad4-b9ebffe64bcd"/>
  </w:docVars>
  <w:rsids>
    <w:rsidRoot w:val="001331D1"/>
    <w:rsid w:val="0001141A"/>
    <w:rsid w:val="00011D2D"/>
    <w:rsid w:val="00015F2E"/>
    <w:rsid w:val="000161F4"/>
    <w:rsid w:val="00020B3A"/>
    <w:rsid w:val="0002671B"/>
    <w:rsid w:val="00026B8C"/>
    <w:rsid w:val="00030650"/>
    <w:rsid w:val="000405F4"/>
    <w:rsid w:val="00044089"/>
    <w:rsid w:val="00073D67"/>
    <w:rsid w:val="00082193"/>
    <w:rsid w:val="00083E20"/>
    <w:rsid w:val="00097072"/>
    <w:rsid w:val="000A414C"/>
    <w:rsid w:val="000B06D8"/>
    <w:rsid w:val="000B23DC"/>
    <w:rsid w:val="000B6A55"/>
    <w:rsid w:val="000B6F45"/>
    <w:rsid w:val="000C5F2D"/>
    <w:rsid w:val="000D35C1"/>
    <w:rsid w:val="000D6A86"/>
    <w:rsid w:val="000F428C"/>
    <w:rsid w:val="00106F3E"/>
    <w:rsid w:val="0011177C"/>
    <w:rsid w:val="00113F0B"/>
    <w:rsid w:val="0011702A"/>
    <w:rsid w:val="00131B9B"/>
    <w:rsid w:val="001331D1"/>
    <w:rsid w:val="00144FC6"/>
    <w:rsid w:val="00153B2F"/>
    <w:rsid w:val="001567A3"/>
    <w:rsid w:val="00156C8D"/>
    <w:rsid w:val="00164158"/>
    <w:rsid w:val="00172490"/>
    <w:rsid w:val="00184042"/>
    <w:rsid w:val="00186466"/>
    <w:rsid w:val="00193576"/>
    <w:rsid w:val="001962EB"/>
    <w:rsid w:val="001967AF"/>
    <w:rsid w:val="001B3474"/>
    <w:rsid w:val="001B6AFA"/>
    <w:rsid w:val="001C7153"/>
    <w:rsid w:val="001D63F8"/>
    <w:rsid w:val="001E2ACE"/>
    <w:rsid w:val="001E321F"/>
    <w:rsid w:val="00204007"/>
    <w:rsid w:val="00204D42"/>
    <w:rsid w:val="002067B3"/>
    <w:rsid w:val="00211DEE"/>
    <w:rsid w:val="00217D0A"/>
    <w:rsid w:val="00217DD3"/>
    <w:rsid w:val="0022361B"/>
    <w:rsid w:val="002275F7"/>
    <w:rsid w:val="00236A26"/>
    <w:rsid w:val="00244551"/>
    <w:rsid w:val="00260F6D"/>
    <w:rsid w:val="002836F9"/>
    <w:rsid w:val="00297CCA"/>
    <w:rsid w:val="002C05C6"/>
    <w:rsid w:val="002C3386"/>
    <w:rsid w:val="002C525B"/>
    <w:rsid w:val="002F72D0"/>
    <w:rsid w:val="0031664E"/>
    <w:rsid w:val="00327905"/>
    <w:rsid w:val="003325B5"/>
    <w:rsid w:val="00352F04"/>
    <w:rsid w:val="00354922"/>
    <w:rsid w:val="0036256B"/>
    <w:rsid w:val="00366AC2"/>
    <w:rsid w:val="003670B9"/>
    <w:rsid w:val="00374DD4"/>
    <w:rsid w:val="0037633F"/>
    <w:rsid w:val="0038300F"/>
    <w:rsid w:val="003B01F1"/>
    <w:rsid w:val="003B7AFD"/>
    <w:rsid w:val="003C0E1F"/>
    <w:rsid w:val="003C52D3"/>
    <w:rsid w:val="003D0B80"/>
    <w:rsid w:val="003D2287"/>
    <w:rsid w:val="003D4857"/>
    <w:rsid w:val="003E17F8"/>
    <w:rsid w:val="003F25C0"/>
    <w:rsid w:val="003F2EFD"/>
    <w:rsid w:val="003F7080"/>
    <w:rsid w:val="004071AB"/>
    <w:rsid w:val="00410F66"/>
    <w:rsid w:val="00416EB6"/>
    <w:rsid w:val="004242C2"/>
    <w:rsid w:val="00442EB8"/>
    <w:rsid w:val="00450156"/>
    <w:rsid w:val="004520B7"/>
    <w:rsid w:val="0045428B"/>
    <w:rsid w:val="0047019F"/>
    <w:rsid w:val="0047768F"/>
    <w:rsid w:val="00486FCC"/>
    <w:rsid w:val="00487128"/>
    <w:rsid w:val="00490EF5"/>
    <w:rsid w:val="00490F65"/>
    <w:rsid w:val="0049364E"/>
    <w:rsid w:val="004945A2"/>
    <w:rsid w:val="004A42FA"/>
    <w:rsid w:val="004C0E64"/>
    <w:rsid w:val="004C63EB"/>
    <w:rsid w:val="004C7B70"/>
    <w:rsid w:val="004D142A"/>
    <w:rsid w:val="004D1F05"/>
    <w:rsid w:val="004F535E"/>
    <w:rsid w:val="00502D0B"/>
    <w:rsid w:val="00502D1A"/>
    <w:rsid w:val="005113A4"/>
    <w:rsid w:val="00522E2C"/>
    <w:rsid w:val="0052562A"/>
    <w:rsid w:val="00530D3F"/>
    <w:rsid w:val="005439D8"/>
    <w:rsid w:val="00572FD1"/>
    <w:rsid w:val="00581B09"/>
    <w:rsid w:val="00585271"/>
    <w:rsid w:val="0059132F"/>
    <w:rsid w:val="005972C8"/>
    <w:rsid w:val="005A1BD7"/>
    <w:rsid w:val="005A1FA9"/>
    <w:rsid w:val="005B5D70"/>
    <w:rsid w:val="005B5DA3"/>
    <w:rsid w:val="005C2522"/>
    <w:rsid w:val="005D1801"/>
    <w:rsid w:val="005D1C91"/>
    <w:rsid w:val="005D20A3"/>
    <w:rsid w:val="005D2BEC"/>
    <w:rsid w:val="005D414D"/>
    <w:rsid w:val="005D74BD"/>
    <w:rsid w:val="005E3038"/>
    <w:rsid w:val="005E37EE"/>
    <w:rsid w:val="005F16E4"/>
    <w:rsid w:val="00600E9A"/>
    <w:rsid w:val="006023C1"/>
    <w:rsid w:val="00630914"/>
    <w:rsid w:val="00635321"/>
    <w:rsid w:val="006367EC"/>
    <w:rsid w:val="0065108C"/>
    <w:rsid w:val="00660A86"/>
    <w:rsid w:val="00671967"/>
    <w:rsid w:val="00672405"/>
    <w:rsid w:val="00680719"/>
    <w:rsid w:val="0068570C"/>
    <w:rsid w:val="006911F9"/>
    <w:rsid w:val="006943A1"/>
    <w:rsid w:val="00694BBC"/>
    <w:rsid w:val="006B71C2"/>
    <w:rsid w:val="006E7C5B"/>
    <w:rsid w:val="006E7FCF"/>
    <w:rsid w:val="006F26BE"/>
    <w:rsid w:val="006F5273"/>
    <w:rsid w:val="00703A27"/>
    <w:rsid w:val="0070748A"/>
    <w:rsid w:val="007111B8"/>
    <w:rsid w:val="00715FFC"/>
    <w:rsid w:val="00745620"/>
    <w:rsid w:val="00750DFA"/>
    <w:rsid w:val="00757599"/>
    <w:rsid w:val="00761C2C"/>
    <w:rsid w:val="0076769B"/>
    <w:rsid w:val="00767716"/>
    <w:rsid w:val="0077229C"/>
    <w:rsid w:val="00773F1E"/>
    <w:rsid w:val="0078588E"/>
    <w:rsid w:val="007909CB"/>
    <w:rsid w:val="007A52CE"/>
    <w:rsid w:val="007B6C35"/>
    <w:rsid w:val="007C7D26"/>
    <w:rsid w:val="007D463B"/>
    <w:rsid w:val="007F4FB4"/>
    <w:rsid w:val="00800B80"/>
    <w:rsid w:val="008020A6"/>
    <w:rsid w:val="008073D8"/>
    <w:rsid w:val="0081435B"/>
    <w:rsid w:val="00817585"/>
    <w:rsid w:val="00833984"/>
    <w:rsid w:val="00834CAE"/>
    <w:rsid w:val="00835F54"/>
    <w:rsid w:val="00850AE1"/>
    <w:rsid w:val="00861B49"/>
    <w:rsid w:val="00873108"/>
    <w:rsid w:val="008731B3"/>
    <w:rsid w:val="00882AE2"/>
    <w:rsid w:val="008C07C5"/>
    <w:rsid w:val="008C2545"/>
    <w:rsid w:val="008E0A6B"/>
    <w:rsid w:val="008E1BB8"/>
    <w:rsid w:val="008F5650"/>
    <w:rsid w:val="009008B6"/>
    <w:rsid w:val="00912ACD"/>
    <w:rsid w:val="0091312E"/>
    <w:rsid w:val="009153DD"/>
    <w:rsid w:val="00923942"/>
    <w:rsid w:val="0093311E"/>
    <w:rsid w:val="00962804"/>
    <w:rsid w:val="009730C1"/>
    <w:rsid w:val="0098523F"/>
    <w:rsid w:val="0099323A"/>
    <w:rsid w:val="00997A20"/>
    <w:rsid w:val="009B0F66"/>
    <w:rsid w:val="009B2796"/>
    <w:rsid w:val="009B7315"/>
    <w:rsid w:val="009C086A"/>
    <w:rsid w:val="009C38F6"/>
    <w:rsid w:val="009C6BF7"/>
    <w:rsid w:val="009E20F8"/>
    <w:rsid w:val="009E626E"/>
    <w:rsid w:val="00A16921"/>
    <w:rsid w:val="00A20293"/>
    <w:rsid w:val="00A20B8E"/>
    <w:rsid w:val="00A27EBF"/>
    <w:rsid w:val="00A4719B"/>
    <w:rsid w:val="00A8267D"/>
    <w:rsid w:val="00A96D93"/>
    <w:rsid w:val="00A96FC8"/>
    <w:rsid w:val="00AB1B44"/>
    <w:rsid w:val="00AB6F8E"/>
    <w:rsid w:val="00AD568A"/>
    <w:rsid w:val="00AE61C5"/>
    <w:rsid w:val="00AF3582"/>
    <w:rsid w:val="00B011D9"/>
    <w:rsid w:val="00B05B1E"/>
    <w:rsid w:val="00B131BE"/>
    <w:rsid w:val="00B263B2"/>
    <w:rsid w:val="00B41C27"/>
    <w:rsid w:val="00B43160"/>
    <w:rsid w:val="00B431A2"/>
    <w:rsid w:val="00B5054B"/>
    <w:rsid w:val="00B636E0"/>
    <w:rsid w:val="00B71740"/>
    <w:rsid w:val="00B73354"/>
    <w:rsid w:val="00B76E25"/>
    <w:rsid w:val="00BA04D0"/>
    <w:rsid w:val="00BA1F7F"/>
    <w:rsid w:val="00BA209D"/>
    <w:rsid w:val="00BB28B5"/>
    <w:rsid w:val="00BB3325"/>
    <w:rsid w:val="00BB7DA0"/>
    <w:rsid w:val="00BC3FC0"/>
    <w:rsid w:val="00BE24DA"/>
    <w:rsid w:val="00BF552C"/>
    <w:rsid w:val="00C03E60"/>
    <w:rsid w:val="00C0713D"/>
    <w:rsid w:val="00C12502"/>
    <w:rsid w:val="00C1570B"/>
    <w:rsid w:val="00C1592D"/>
    <w:rsid w:val="00C16413"/>
    <w:rsid w:val="00C24A1A"/>
    <w:rsid w:val="00C36127"/>
    <w:rsid w:val="00C5084D"/>
    <w:rsid w:val="00C53649"/>
    <w:rsid w:val="00C65F5C"/>
    <w:rsid w:val="00C66D50"/>
    <w:rsid w:val="00C737B8"/>
    <w:rsid w:val="00C75496"/>
    <w:rsid w:val="00C81112"/>
    <w:rsid w:val="00CA4949"/>
    <w:rsid w:val="00CB4A8A"/>
    <w:rsid w:val="00CC3A80"/>
    <w:rsid w:val="00CC4F96"/>
    <w:rsid w:val="00CE3B2A"/>
    <w:rsid w:val="00CF1626"/>
    <w:rsid w:val="00CF294A"/>
    <w:rsid w:val="00CF4029"/>
    <w:rsid w:val="00CF7A50"/>
    <w:rsid w:val="00D026D1"/>
    <w:rsid w:val="00D2770C"/>
    <w:rsid w:val="00D3717A"/>
    <w:rsid w:val="00D374A2"/>
    <w:rsid w:val="00D40197"/>
    <w:rsid w:val="00D62AD6"/>
    <w:rsid w:val="00D80490"/>
    <w:rsid w:val="00D83EEC"/>
    <w:rsid w:val="00D95DA2"/>
    <w:rsid w:val="00DA27A9"/>
    <w:rsid w:val="00DA311D"/>
    <w:rsid w:val="00DA3619"/>
    <w:rsid w:val="00DC645E"/>
    <w:rsid w:val="00DC6B07"/>
    <w:rsid w:val="00DD0E39"/>
    <w:rsid w:val="00DD1660"/>
    <w:rsid w:val="00DF4835"/>
    <w:rsid w:val="00E0363B"/>
    <w:rsid w:val="00E041C8"/>
    <w:rsid w:val="00E340AA"/>
    <w:rsid w:val="00E4427D"/>
    <w:rsid w:val="00E60D06"/>
    <w:rsid w:val="00E6470F"/>
    <w:rsid w:val="00E7613C"/>
    <w:rsid w:val="00E772E1"/>
    <w:rsid w:val="00E82B12"/>
    <w:rsid w:val="00E84882"/>
    <w:rsid w:val="00E95DFA"/>
    <w:rsid w:val="00E96B63"/>
    <w:rsid w:val="00EA0056"/>
    <w:rsid w:val="00EB371C"/>
    <w:rsid w:val="00ED3DFB"/>
    <w:rsid w:val="00ED6515"/>
    <w:rsid w:val="00EE7A8F"/>
    <w:rsid w:val="00EF0BCB"/>
    <w:rsid w:val="00EF7504"/>
    <w:rsid w:val="00F12F94"/>
    <w:rsid w:val="00F13A36"/>
    <w:rsid w:val="00F22DF5"/>
    <w:rsid w:val="00F279AB"/>
    <w:rsid w:val="00F40E6D"/>
    <w:rsid w:val="00F43E09"/>
    <w:rsid w:val="00F53617"/>
    <w:rsid w:val="00F53FAC"/>
    <w:rsid w:val="00F66875"/>
    <w:rsid w:val="00F673E3"/>
    <w:rsid w:val="00F72744"/>
    <w:rsid w:val="00F72C73"/>
    <w:rsid w:val="00F85155"/>
    <w:rsid w:val="00FA22EB"/>
    <w:rsid w:val="00FC3052"/>
    <w:rsid w:val="00FC4AB8"/>
    <w:rsid w:val="00FD3F6E"/>
    <w:rsid w:val="00FE0478"/>
    <w:rsid w:val="00FE271D"/>
    <w:rsid w:val="00FF0F0F"/>
    <w:rsid w:val="01277263"/>
    <w:rsid w:val="02CB1DD3"/>
    <w:rsid w:val="04090D29"/>
    <w:rsid w:val="04DB4BD9"/>
    <w:rsid w:val="04FE7DE4"/>
    <w:rsid w:val="05AD06A5"/>
    <w:rsid w:val="063B3638"/>
    <w:rsid w:val="06864B8E"/>
    <w:rsid w:val="06F96155"/>
    <w:rsid w:val="07C15933"/>
    <w:rsid w:val="07C71961"/>
    <w:rsid w:val="08412DC5"/>
    <w:rsid w:val="0874242B"/>
    <w:rsid w:val="08E120D5"/>
    <w:rsid w:val="09982317"/>
    <w:rsid w:val="0A98549C"/>
    <w:rsid w:val="0A9D666F"/>
    <w:rsid w:val="0D2668A2"/>
    <w:rsid w:val="0DC3019B"/>
    <w:rsid w:val="0E1E5330"/>
    <w:rsid w:val="0E40747A"/>
    <w:rsid w:val="0E6A0C63"/>
    <w:rsid w:val="0E934A48"/>
    <w:rsid w:val="0FE4089C"/>
    <w:rsid w:val="10246669"/>
    <w:rsid w:val="102C77E1"/>
    <w:rsid w:val="12455641"/>
    <w:rsid w:val="12C619F4"/>
    <w:rsid w:val="12E3158A"/>
    <w:rsid w:val="140355C2"/>
    <w:rsid w:val="14E12187"/>
    <w:rsid w:val="15F077AC"/>
    <w:rsid w:val="160663D4"/>
    <w:rsid w:val="167B494E"/>
    <w:rsid w:val="16A2325A"/>
    <w:rsid w:val="16DF5613"/>
    <w:rsid w:val="1700207A"/>
    <w:rsid w:val="17394AF3"/>
    <w:rsid w:val="17745965"/>
    <w:rsid w:val="18312739"/>
    <w:rsid w:val="18694D75"/>
    <w:rsid w:val="186F4A5A"/>
    <w:rsid w:val="1991739F"/>
    <w:rsid w:val="19A42FD7"/>
    <w:rsid w:val="19BC1A8F"/>
    <w:rsid w:val="19EE425D"/>
    <w:rsid w:val="1A604812"/>
    <w:rsid w:val="1B3B7139"/>
    <w:rsid w:val="1B780DE1"/>
    <w:rsid w:val="1B9211AC"/>
    <w:rsid w:val="1BB03F4D"/>
    <w:rsid w:val="1BD86885"/>
    <w:rsid w:val="1D8F232B"/>
    <w:rsid w:val="1DBF08FB"/>
    <w:rsid w:val="1E460940"/>
    <w:rsid w:val="1E710802"/>
    <w:rsid w:val="1F05467D"/>
    <w:rsid w:val="1F3025BA"/>
    <w:rsid w:val="20DB643C"/>
    <w:rsid w:val="21377015"/>
    <w:rsid w:val="222C4E00"/>
    <w:rsid w:val="22476E17"/>
    <w:rsid w:val="22513B6F"/>
    <w:rsid w:val="235613AB"/>
    <w:rsid w:val="24B30C45"/>
    <w:rsid w:val="24C044DA"/>
    <w:rsid w:val="24D665AE"/>
    <w:rsid w:val="24DC6388"/>
    <w:rsid w:val="254E3827"/>
    <w:rsid w:val="25680E10"/>
    <w:rsid w:val="264F4304"/>
    <w:rsid w:val="27065E00"/>
    <w:rsid w:val="27976CF6"/>
    <w:rsid w:val="281F026C"/>
    <w:rsid w:val="285B47F8"/>
    <w:rsid w:val="293A1B59"/>
    <w:rsid w:val="29D91491"/>
    <w:rsid w:val="2A603A9D"/>
    <w:rsid w:val="2A8F27AC"/>
    <w:rsid w:val="2A973F62"/>
    <w:rsid w:val="2B3D3BA8"/>
    <w:rsid w:val="2BC33FD8"/>
    <w:rsid w:val="2BF57C61"/>
    <w:rsid w:val="2CB02768"/>
    <w:rsid w:val="2CB52F4D"/>
    <w:rsid w:val="2E2744D6"/>
    <w:rsid w:val="2F6C023B"/>
    <w:rsid w:val="2FC72B60"/>
    <w:rsid w:val="30036C12"/>
    <w:rsid w:val="308167EF"/>
    <w:rsid w:val="30AF699D"/>
    <w:rsid w:val="30ED2C6C"/>
    <w:rsid w:val="31820166"/>
    <w:rsid w:val="31945827"/>
    <w:rsid w:val="319C48EE"/>
    <w:rsid w:val="32760A27"/>
    <w:rsid w:val="32EE5112"/>
    <w:rsid w:val="330C763F"/>
    <w:rsid w:val="331E3330"/>
    <w:rsid w:val="33356193"/>
    <w:rsid w:val="341013F7"/>
    <w:rsid w:val="344C063B"/>
    <w:rsid w:val="34A075E3"/>
    <w:rsid w:val="34C64400"/>
    <w:rsid w:val="3570679C"/>
    <w:rsid w:val="35CF6878"/>
    <w:rsid w:val="36CF347B"/>
    <w:rsid w:val="37196AD6"/>
    <w:rsid w:val="3792299D"/>
    <w:rsid w:val="387D5EF8"/>
    <w:rsid w:val="393173E2"/>
    <w:rsid w:val="39667CE8"/>
    <w:rsid w:val="39B822CE"/>
    <w:rsid w:val="3A2A31CC"/>
    <w:rsid w:val="3AC577F8"/>
    <w:rsid w:val="3B7346FF"/>
    <w:rsid w:val="3C203460"/>
    <w:rsid w:val="3C92049D"/>
    <w:rsid w:val="3D1C0953"/>
    <w:rsid w:val="3D4B7117"/>
    <w:rsid w:val="3DD779AC"/>
    <w:rsid w:val="3DE418E4"/>
    <w:rsid w:val="3DED1624"/>
    <w:rsid w:val="3E956943"/>
    <w:rsid w:val="3F9625DF"/>
    <w:rsid w:val="4057269D"/>
    <w:rsid w:val="40D4771C"/>
    <w:rsid w:val="4105425B"/>
    <w:rsid w:val="41A17464"/>
    <w:rsid w:val="41CC3184"/>
    <w:rsid w:val="4218602D"/>
    <w:rsid w:val="42356F39"/>
    <w:rsid w:val="429C7BE4"/>
    <w:rsid w:val="42BF630F"/>
    <w:rsid w:val="42E26175"/>
    <w:rsid w:val="43057235"/>
    <w:rsid w:val="45652BBF"/>
    <w:rsid w:val="45E30A63"/>
    <w:rsid w:val="45F572E4"/>
    <w:rsid w:val="464A035C"/>
    <w:rsid w:val="468F05E0"/>
    <w:rsid w:val="46C7182E"/>
    <w:rsid w:val="46D070A9"/>
    <w:rsid w:val="46E0490E"/>
    <w:rsid w:val="47514A22"/>
    <w:rsid w:val="47521AF5"/>
    <w:rsid w:val="47D760C9"/>
    <w:rsid w:val="48011AB6"/>
    <w:rsid w:val="483F5076"/>
    <w:rsid w:val="488105AA"/>
    <w:rsid w:val="49B95283"/>
    <w:rsid w:val="4A1946C3"/>
    <w:rsid w:val="4A755582"/>
    <w:rsid w:val="4AD57E52"/>
    <w:rsid w:val="4DB74AEE"/>
    <w:rsid w:val="4DDA5F5B"/>
    <w:rsid w:val="4F5630B7"/>
    <w:rsid w:val="4F610775"/>
    <w:rsid w:val="4FD45721"/>
    <w:rsid w:val="500A7791"/>
    <w:rsid w:val="515F573B"/>
    <w:rsid w:val="51A55799"/>
    <w:rsid w:val="51C37CC3"/>
    <w:rsid w:val="521F097E"/>
    <w:rsid w:val="52575E39"/>
    <w:rsid w:val="52DE7FEA"/>
    <w:rsid w:val="530079B5"/>
    <w:rsid w:val="53040620"/>
    <w:rsid w:val="53610DA9"/>
    <w:rsid w:val="53A05032"/>
    <w:rsid w:val="546D5D37"/>
    <w:rsid w:val="54AD2BD2"/>
    <w:rsid w:val="55067F3A"/>
    <w:rsid w:val="551556A5"/>
    <w:rsid w:val="556A329D"/>
    <w:rsid w:val="55916FC3"/>
    <w:rsid w:val="571F2B3A"/>
    <w:rsid w:val="57BB5BEC"/>
    <w:rsid w:val="58B33F35"/>
    <w:rsid w:val="59446862"/>
    <w:rsid w:val="598853C1"/>
    <w:rsid w:val="59B91C47"/>
    <w:rsid w:val="59FA619C"/>
    <w:rsid w:val="5AA85A88"/>
    <w:rsid w:val="5AAC7EE9"/>
    <w:rsid w:val="5B1E078A"/>
    <w:rsid w:val="5C8B69BC"/>
    <w:rsid w:val="5CA96D95"/>
    <w:rsid w:val="5CD03CA2"/>
    <w:rsid w:val="5CE943C9"/>
    <w:rsid w:val="5CF250B6"/>
    <w:rsid w:val="5D145A74"/>
    <w:rsid w:val="5D246470"/>
    <w:rsid w:val="5E106D14"/>
    <w:rsid w:val="5E35065C"/>
    <w:rsid w:val="5E666CEB"/>
    <w:rsid w:val="5E7F1F35"/>
    <w:rsid w:val="5ECF2D75"/>
    <w:rsid w:val="5EDB510B"/>
    <w:rsid w:val="5EF2254D"/>
    <w:rsid w:val="5F3A772A"/>
    <w:rsid w:val="5F715B03"/>
    <w:rsid w:val="5FA310BD"/>
    <w:rsid w:val="5FC40E92"/>
    <w:rsid w:val="5FC565C3"/>
    <w:rsid w:val="60452CD4"/>
    <w:rsid w:val="60977F3A"/>
    <w:rsid w:val="60BD0CA7"/>
    <w:rsid w:val="61304593"/>
    <w:rsid w:val="626A1C9A"/>
    <w:rsid w:val="62E53885"/>
    <w:rsid w:val="6529459B"/>
    <w:rsid w:val="659B647C"/>
    <w:rsid w:val="66794A10"/>
    <w:rsid w:val="668B28D6"/>
    <w:rsid w:val="66DD508C"/>
    <w:rsid w:val="67105872"/>
    <w:rsid w:val="675B5EC3"/>
    <w:rsid w:val="67EA70B7"/>
    <w:rsid w:val="68191463"/>
    <w:rsid w:val="6837248C"/>
    <w:rsid w:val="687221D0"/>
    <w:rsid w:val="68882C04"/>
    <w:rsid w:val="68E57D0D"/>
    <w:rsid w:val="694C7395"/>
    <w:rsid w:val="6A3A4B7D"/>
    <w:rsid w:val="6B6A2B79"/>
    <w:rsid w:val="6B730F24"/>
    <w:rsid w:val="6CCD00C2"/>
    <w:rsid w:val="6D92277D"/>
    <w:rsid w:val="6DB41BED"/>
    <w:rsid w:val="6E8678AB"/>
    <w:rsid w:val="6ED22F0F"/>
    <w:rsid w:val="6F3F5890"/>
    <w:rsid w:val="6F7A57C4"/>
    <w:rsid w:val="6FCD57F0"/>
    <w:rsid w:val="70E60321"/>
    <w:rsid w:val="71042905"/>
    <w:rsid w:val="710B6BAC"/>
    <w:rsid w:val="712831B2"/>
    <w:rsid w:val="726C5429"/>
    <w:rsid w:val="72CA1F5C"/>
    <w:rsid w:val="73441F01"/>
    <w:rsid w:val="73885491"/>
    <w:rsid w:val="73D71D5F"/>
    <w:rsid w:val="73F44D98"/>
    <w:rsid w:val="7472219E"/>
    <w:rsid w:val="7474214C"/>
    <w:rsid w:val="74D47BEE"/>
    <w:rsid w:val="74FF18E6"/>
    <w:rsid w:val="75B4336E"/>
    <w:rsid w:val="760B46BC"/>
    <w:rsid w:val="76E00627"/>
    <w:rsid w:val="772C7BF2"/>
    <w:rsid w:val="773151D7"/>
    <w:rsid w:val="77966E0D"/>
    <w:rsid w:val="7910744A"/>
    <w:rsid w:val="791323F9"/>
    <w:rsid w:val="7A3A5A9A"/>
    <w:rsid w:val="7AB7745D"/>
    <w:rsid w:val="7B735A7A"/>
    <w:rsid w:val="7C265E8D"/>
    <w:rsid w:val="7C483576"/>
    <w:rsid w:val="7C83377F"/>
    <w:rsid w:val="7CB51A73"/>
    <w:rsid w:val="7D207D56"/>
    <w:rsid w:val="7D4E1821"/>
    <w:rsid w:val="7F6B26FE"/>
    <w:rsid w:val="7FC3097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3">
    <w:name w:val="heading 1"/>
    <w:basedOn w:val="1"/>
    <w:next w:val="1"/>
    <w:qFormat/>
    <w:uiPriority w:val="0"/>
    <w:pPr>
      <w:keepNext/>
      <w:keepLines/>
      <w:numPr>
        <w:ilvl w:val="0"/>
        <w:numId w:val="1"/>
      </w:numPr>
      <w:spacing w:before="340" w:beforeLines="0" w:beforeAutospacing="0" w:after="330" w:afterLines="0" w:afterAutospacing="0" w:line="576" w:lineRule="auto"/>
      <w:ind w:firstLine="0" w:firstLineChars="0"/>
      <w:outlineLvl w:val="0"/>
    </w:pPr>
    <w:rPr>
      <w:b/>
      <w:kern w:val="44"/>
      <w:sz w:val="44"/>
    </w:rPr>
  </w:style>
  <w:style w:type="paragraph" w:styleId="4">
    <w:name w:val="heading 4"/>
    <w:basedOn w:val="5"/>
    <w:next w:val="1"/>
    <w:qFormat/>
    <w:uiPriority w:val="0"/>
    <w:pPr>
      <w:keepNext w:val="0"/>
      <w:keepLines w:val="0"/>
      <w:adjustRightInd w:val="0"/>
      <w:spacing w:line="240" w:lineRule="auto"/>
      <w:textAlignment w:val="baseline"/>
      <w:outlineLvl w:val="3"/>
    </w:pPr>
    <w:rPr>
      <w:rFonts w:ascii="仿宋" w:hAnsi="仿宋" w:cs="宋体"/>
      <w:b/>
      <w:bCs w:val="0"/>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widowControl w:val="0"/>
      <w:adjustRightInd w:val="0"/>
      <w:spacing w:line="360" w:lineRule="atLeast"/>
      <w:ind w:firstLine="420"/>
      <w:textAlignment w:val="baseline"/>
    </w:pPr>
    <w:rPr>
      <w:sz w:val="24"/>
    </w:rPr>
  </w:style>
  <w:style w:type="paragraph" w:customStyle="1" w:styleId="5">
    <w:name w:val="00 正文"/>
    <w:basedOn w:val="1"/>
    <w:qFormat/>
    <w:uiPriority w:val="0"/>
    <w:pPr>
      <w:adjustRightInd w:val="0"/>
      <w:textAlignment w:val="baseline"/>
    </w:pPr>
    <w:rPr>
      <w:rFonts w:hAnsi="宋体"/>
      <w:bCs/>
      <w:kern w:val="2"/>
      <w:sz w:val="24"/>
    </w:rPr>
  </w:style>
  <w:style w:type="paragraph" w:styleId="6">
    <w:name w:val="annotation text"/>
    <w:basedOn w:val="1"/>
    <w:qFormat/>
    <w:uiPriority w:val="0"/>
    <w:pPr>
      <w:textAlignment w:val="auto"/>
    </w:pPr>
    <w:rPr>
      <w:rFonts w:ascii="宋体" w:hAnsi="宋体"/>
    </w:rPr>
  </w:style>
  <w:style w:type="paragraph" w:styleId="7">
    <w:name w:val="Plain Text"/>
    <w:basedOn w:val="1"/>
    <w:qFormat/>
    <w:uiPriority w:val="0"/>
    <w:pPr>
      <w:adjustRightInd/>
      <w:spacing w:line="240" w:lineRule="auto"/>
      <w:jc w:val="both"/>
      <w:textAlignment w:val="auto"/>
    </w:pPr>
    <w:rPr>
      <w:rFonts w:ascii="宋体" w:hAnsi="Courier New"/>
      <w:kern w:val="2"/>
      <w:sz w:val="21"/>
    </w:rPr>
  </w:style>
  <w:style w:type="paragraph" w:styleId="8">
    <w:name w:val="footer"/>
    <w:basedOn w:val="1"/>
    <w:qFormat/>
    <w:uiPriority w:val="0"/>
    <w:pPr>
      <w:tabs>
        <w:tab w:val="center" w:pos="4153"/>
        <w:tab w:val="right" w:pos="8306"/>
      </w:tabs>
      <w:snapToGrid w:val="0"/>
      <w:spacing w:line="240" w:lineRule="atLeast"/>
    </w:pPr>
    <w:rPr>
      <w:sz w:val="18"/>
      <w:szCs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2">
    <w:name w:val="page number"/>
    <w:basedOn w:val="11"/>
    <w:autoRedefine/>
    <w:qFormat/>
    <w:uiPriority w:val="0"/>
  </w:style>
  <w:style w:type="character" w:styleId="13">
    <w:name w:val="FollowedHyperlink"/>
    <w:basedOn w:val="11"/>
    <w:qFormat/>
    <w:uiPriority w:val="0"/>
    <w:rPr>
      <w:rFonts w:ascii="Arial" w:hAnsi="Arial" w:eastAsia="Arial" w:cs="Arial"/>
      <w:color w:val="800080"/>
      <w:sz w:val="21"/>
      <w:szCs w:val="21"/>
      <w:u w:val="none"/>
    </w:rPr>
  </w:style>
  <w:style w:type="character" w:styleId="14">
    <w:name w:val="Hyperlink"/>
    <w:basedOn w:val="11"/>
    <w:qFormat/>
    <w:uiPriority w:val="0"/>
    <w:rPr>
      <w:rFonts w:hint="default" w:ascii="Arial" w:hAnsi="Arial" w:eastAsia="Arial" w:cs="Arial"/>
      <w:color w:val="0000FF"/>
      <w:sz w:val="21"/>
      <w:szCs w:val="21"/>
      <w:u w:val="none"/>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6">
    <w:name w:val="一级条标题"/>
    <w:basedOn w:val="17"/>
    <w:next w:val="18"/>
    <w:qFormat/>
    <w:uiPriority w:val="0"/>
    <w:pPr>
      <w:numPr>
        <w:ilvl w:val="2"/>
      </w:numPr>
      <w:spacing w:beforeLines="0" w:afterLines="0"/>
      <w:outlineLvl w:val="2"/>
    </w:pPr>
  </w:style>
  <w:style w:type="paragraph" w:customStyle="1" w:styleId="17">
    <w:name w:val="章标题"/>
    <w:next w:val="18"/>
    <w:qFormat/>
    <w:uiPriority w:val="0"/>
    <w:pPr>
      <w:numPr>
        <w:ilvl w:val="1"/>
        <w:numId w:val="2"/>
      </w:numPr>
      <w:spacing w:beforeLines="50" w:afterLines="50"/>
      <w:jc w:val="both"/>
      <w:outlineLvl w:val="1"/>
    </w:pPr>
    <w:rPr>
      <w:rFonts w:ascii="黑体" w:hAnsi="Calibri" w:eastAsia="黑体" w:cs="Times New Roman"/>
      <w:sz w:val="21"/>
      <w:szCs w:val="22"/>
      <w:lang w:val="en-US" w:eastAsia="zh-CN" w:bidi="ar-SA"/>
    </w:rPr>
  </w:style>
  <w:style w:type="paragraph" w:customStyle="1" w:styleId="18">
    <w:name w:val="段"/>
    <w:autoRedefine/>
    <w:qFormat/>
    <w:uiPriority w:val="0"/>
    <w:pPr>
      <w:ind w:firstLine="200" w:firstLineChars="200"/>
      <w:jc w:val="both"/>
    </w:pPr>
    <w:rPr>
      <w:rFonts w:ascii="宋体" w:hAnsi="Calibri" w:eastAsia="宋体" w:cs="Times New Roman"/>
      <w:sz w:val="21"/>
      <w:szCs w:val="22"/>
      <w:lang w:val="en-US" w:eastAsia="zh-CN" w:bidi="ar-SA"/>
    </w:rPr>
  </w:style>
  <w:style w:type="paragraph" w:customStyle="1" w:styleId="19">
    <w:name w:val="reader-word-layer reader-word-s2-6"/>
    <w:basedOn w:val="1"/>
    <w:qFormat/>
    <w:uiPriority w:val="0"/>
    <w:pPr>
      <w:widowControl/>
      <w:adjustRightInd/>
      <w:spacing w:before="100" w:beforeAutospacing="1" w:after="100" w:afterAutospacing="1" w:line="240" w:lineRule="auto"/>
      <w:textAlignment w:val="auto"/>
    </w:pPr>
    <w:rPr>
      <w:rFonts w:ascii="宋体" w:hAnsi="宋体" w:cs="宋体"/>
      <w:szCs w:val="24"/>
    </w:rPr>
  </w:style>
  <w:style w:type="paragraph" w:customStyle="1" w:styleId="20">
    <w:name w:val="reader-word-layer reader-word-s2-3"/>
    <w:basedOn w:val="1"/>
    <w:qFormat/>
    <w:uiPriority w:val="0"/>
    <w:pPr>
      <w:widowControl/>
      <w:adjustRightInd/>
      <w:spacing w:before="100" w:beforeAutospacing="1" w:after="100" w:afterAutospacing="1" w:line="240" w:lineRule="auto"/>
      <w:textAlignment w:val="auto"/>
    </w:pPr>
    <w:rPr>
      <w:rFonts w:ascii="宋体" w:hAnsi="宋体" w:cs="宋体"/>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Lenovo (Beijing) Limited</Company>
  <Pages>6</Pages>
  <Words>3083</Words>
  <Characters>3407</Characters>
  <Lines>16</Lines>
  <Paragraphs>4</Paragraphs>
  <TotalTime>0</TotalTime>
  <ScaleCrop>false</ScaleCrop>
  <LinksUpToDate>false</LinksUpToDate>
  <CharactersWithSpaces>3552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2017-02-07T08:18:00Z</dcterms:created>
  <dc:creator>中板保障作业区</dc:creator>
  <cp:lastModifiedBy>远</cp:lastModifiedBy>
  <dcterms:modified xsi:type="dcterms:W3CDTF">2026-03-31T01:08:07Z</dcterms:modified>
  <dc:title>甘肃酒钢集团××××（单位）</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28E4881F50344F35A62B604FB8FD356F_13</vt:lpwstr>
  </property>
  <property fmtid="{D5CDD505-2E9C-101B-9397-08002B2CF9AE}" pid="4" name="KSOTemplateDocerSaveRecord">
    <vt:lpwstr>eyJoZGlkIjoiZDJmNjJhM2FjZDkxODliY2FmNjdlYjE4NDIxNTBlZmUiLCJ1c2VySWQiOiIzNTY2MjE3ODgifQ==</vt:lpwstr>
  </property>
</Properties>
</file>