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0D119F">
      <w:pPr>
        <w:ind w:firstLine="480"/>
      </w:pPr>
    </w:p>
    <w:p w14:paraId="2758BB7F">
      <w:pPr>
        <w:spacing w:line="360" w:lineRule="auto"/>
        <w:ind w:left="0" w:leftChars="0" w:firstLine="0" w:firstLineChars="0"/>
        <w:jc w:val="center"/>
        <w:outlineLvl w:val="9"/>
        <w:rPr>
          <w:rFonts w:hint="eastAsia" w:ascii="黑体" w:hAnsi="黑体" w:eastAsia="黑体"/>
          <w:b/>
          <w:sz w:val="52"/>
          <w:szCs w:val="52"/>
        </w:rPr>
      </w:pPr>
      <w:r>
        <w:rPr>
          <w:rFonts w:hint="eastAsia" w:ascii="黑体" w:hAnsi="黑体" w:eastAsia="黑体"/>
          <w:b/>
          <w:sz w:val="52"/>
          <w:szCs w:val="52"/>
        </w:rPr>
        <w:t xml:space="preserve"> </w:t>
      </w:r>
    </w:p>
    <w:p w14:paraId="18137254">
      <w:pPr>
        <w:pStyle w:val="2"/>
        <w:rPr>
          <w:rFonts w:hint="eastAsia"/>
        </w:rPr>
      </w:pPr>
    </w:p>
    <w:p w14:paraId="2BDE8827">
      <w:pPr>
        <w:spacing w:line="360" w:lineRule="auto"/>
        <w:ind w:left="0" w:leftChars="0" w:firstLine="0" w:firstLineChars="0"/>
        <w:jc w:val="center"/>
        <w:outlineLvl w:val="9"/>
        <w:rPr>
          <w:rFonts w:hint="eastAsia" w:ascii="仿宋" w:hAnsi="仿宋" w:eastAsia="仿宋" w:cs="仿宋"/>
          <w:b/>
          <w:bCs w:val="0"/>
          <w:kern w:val="0"/>
          <w:sz w:val="44"/>
          <w:szCs w:val="44"/>
          <w:highlight w:val="none"/>
          <w:lang w:val="en-US" w:eastAsia="zh-CN"/>
        </w:rPr>
      </w:pPr>
      <w:r>
        <w:rPr>
          <w:rFonts w:hint="eastAsia" w:ascii="仿宋" w:hAnsi="仿宋" w:eastAsia="仿宋" w:cs="仿宋"/>
          <w:b/>
          <w:bCs w:val="0"/>
          <w:kern w:val="0"/>
          <w:sz w:val="44"/>
          <w:szCs w:val="44"/>
          <w:highlight w:val="none"/>
          <w:lang w:val="en-US" w:eastAsia="zh-CN"/>
        </w:rPr>
        <w:t xml:space="preserve"> 宏联自控公司</w:t>
      </w:r>
    </w:p>
    <w:p w14:paraId="7E8D2FF0">
      <w:pPr>
        <w:spacing w:line="360" w:lineRule="auto"/>
        <w:ind w:left="0" w:leftChars="0" w:firstLine="0" w:firstLineChars="0"/>
        <w:jc w:val="center"/>
        <w:outlineLvl w:val="9"/>
        <w:rPr>
          <w:rFonts w:hint="default" w:ascii="仿宋" w:hAnsi="仿宋" w:eastAsia="仿宋" w:cs="仿宋"/>
          <w:b/>
          <w:bCs w:val="0"/>
          <w:kern w:val="0"/>
          <w:sz w:val="44"/>
          <w:szCs w:val="44"/>
          <w:highlight w:val="none"/>
          <w:lang w:val="en-US" w:eastAsia="zh-CN"/>
        </w:rPr>
      </w:pPr>
      <w:r>
        <w:rPr>
          <w:rFonts w:hint="eastAsia" w:ascii="仿宋" w:hAnsi="仿宋" w:eastAsia="仿宋" w:cs="仿宋"/>
          <w:b/>
          <w:bCs w:val="0"/>
          <w:kern w:val="0"/>
          <w:sz w:val="44"/>
          <w:szCs w:val="44"/>
          <w:highlight w:val="none"/>
          <w:lang w:val="en-US" w:eastAsia="zh-CN"/>
        </w:rPr>
        <w:t>综保及综保后台完善采购</w:t>
      </w:r>
    </w:p>
    <w:p w14:paraId="75DC0C73">
      <w:pPr>
        <w:adjustRightInd w:val="0"/>
        <w:snapToGrid w:val="0"/>
        <w:spacing w:line="360" w:lineRule="auto"/>
        <w:ind w:right="2" w:rightChars="1"/>
        <w:jc w:val="center"/>
        <w:textAlignment w:val="baseline"/>
        <w:outlineLvl w:val="9"/>
        <w:rPr>
          <w:rFonts w:hint="eastAsia" w:ascii="宋体" w:hAnsi="宋体"/>
          <w:b/>
          <w:kern w:val="0"/>
          <w:sz w:val="36"/>
          <w:szCs w:val="36"/>
          <w:highlight w:val="none"/>
          <w:lang w:val="en-US" w:eastAsia="zh-CN"/>
        </w:rPr>
      </w:pPr>
    </w:p>
    <w:p w14:paraId="573D1FDA">
      <w:pPr>
        <w:pStyle w:val="25"/>
        <w:rPr>
          <w:rFonts w:hint="default"/>
          <w:highlight w:val="none"/>
          <w:lang w:val="en-US"/>
        </w:rPr>
      </w:pPr>
    </w:p>
    <w:p w14:paraId="530A5AC3">
      <w:pPr>
        <w:adjustRightInd w:val="0"/>
        <w:snapToGrid w:val="0"/>
        <w:spacing w:line="360" w:lineRule="auto"/>
        <w:ind w:right="2" w:rightChars="1"/>
        <w:jc w:val="center"/>
        <w:textAlignment w:val="baseline"/>
        <w:rPr>
          <w:rFonts w:hint="eastAsia" w:ascii="宋体" w:hAnsi="宋体"/>
          <w:b/>
          <w:kern w:val="0"/>
          <w:sz w:val="36"/>
          <w:szCs w:val="36"/>
          <w:highlight w:val="none"/>
        </w:rPr>
      </w:pPr>
    </w:p>
    <w:p w14:paraId="06757EEC">
      <w:pPr>
        <w:adjustRightInd w:val="0"/>
        <w:snapToGrid w:val="0"/>
        <w:spacing w:line="360" w:lineRule="auto"/>
        <w:ind w:right="2" w:rightChars="1"/>
        <w:jc w:val="center"/>
        <w:textAlignment w:val="baseline"/>
        <w:rPr>
          <w:rFonts w:hint="eastAsia" w:ascii="宋体" w:hAnsi="宋体"/>
          <w:b/>
          <w:kern w:val="0"/>
          <w:sz w:val="36"/>
          <w:szCs w:val="36"/>
          <w:highlight w:val="none"/>
        </w:rPr>
      </w:pPr>
    </w:p>
    <w:p w14:paraId="03B33671">
      <w:pPr>
        <w:adjustRightInd w:val="0"/>
        <w:snapToGrid w:val="0"/>
        <w:spacing w:line="360" w:lineRule="auto"/>
        <w:ind w:right="2" w:rightChars="1"/>
        <w:jc w:val="center"/>
        <w:textAlignment w:val="baseline"/>
        <w:rPr>
          <w:rFonts w:hint="eastAsia" w:ascii="宋体" w:hAnsi="宋体"/>
          <w:b/>
          <w:kern w:val="0"/>
          <w:sz w:val="36"/>
          <w:szCs w:val="36"/>
          <w:highlight w:val="none"/>
        </w:rPr>
      </w:pPr>
    </w:p>
    <w:p w14:paraId="5E379B92">
      <w:pPr>
        <w:ind w:firstLine="3975" w:firstLineChars="900"/>
        <w:rPr>
          <w:rFonts w:hint="eastAsia" w:ascii="仿宋" w:hAnsi="仿宋" w:eastAsia="仿宋" w:cs="仿宋"/>
          <w:b/>
          <w:bCs/>
          <w:sz w:val="28"/>
          <w:szCs w:val="28"/>
          <w:highlight w:val="none"/>
          <w:lang w:val="en-US" w:eastAsia="zh-CN"/>
        </w:rPr>
      </w:pPr>
      <w:r>
        <w:rPr>
          <w:rFonts w:hint="eastAsia" w:ascii="仿宋" w:hAnsi="仿宋" w:eastAsia="仿宋" w:cs="仿宋"/>
          <w:b/>
          <w:bCs/>
          <w:sz w:val="44"/>
          <w:szCs w:val="44"/>
          <w:highlight w:val="none"/>
        </w:rPr>
        <w:t>技术规格书</w:t>
      </w:r>
    </w:p>
    <w:p w14:paraId="024EA49F">
      <w:pPr>
        <w:snapToGrid w:val="0"/>
        <w:spacing w:line="360" w:lineRule="auto"/>
        <w:ind w:right="2" w:rightChars="1" w:firstLine="904" w:firstLineChars="250"/>
        <w:rPr>
          <w:rFonts w:hint="default" w:ascii="宋体" w:hAnsi="宋体" w:eastAsia="宋体" w:cs="Times New Roman"/>
          <w:b/>
          <w:kern w:val="0"/>
          <w:sz w:val="36"/>
          <w:szCs w:val="36"/>
          <w:highlight w:val="none"/>
          <w:lang w:val="en-US" w:eastAsia="zh-CN"/>
        </w:rPr>
      </w:pPr>
    </w:p>
    <w:p w14:paraId="3803C708">
      <w:pPr>
        <w:pStyle w:val="25"/>
        <w:ind w:left="0" w:leftChars="0" w:firstLine="0" w:firstLineChars="0"/>
        <w:rPr>
          <w:rFonts w:hint="default" w:eastAsia="宋体"/>
          <w:highlight w:val="none"/>
          <w:lang w:val="en-US" w:eastAsia="zh-CN"/>
        </w:rPr>
      </w:pPr>
    </w:p>
    <w:p w14:paraId="08BB0BD3">
      <w:pPr>
        <w:adjustRightInd w:val="0"/>
        <w:snapToGrid w:val="0"/>
        <w:spacing w:line="360" w:lineRule="auto"/>
        <w:ind w:right="2" w:rightChars="1"/>
        <w:jc w:val="center"/>
        <w:textAlignment w:val="baseline"/>
        <w:rPr>
          <w:rFonts w:hint="eastAsia" w:ascii="宋体" w:hAnsi="宋体"/>
          <w:b/>
          <w:kern w:val="0"/>
          <w:sz w:val="36"/>
          <w:szCs w:val="36"/>
          <w:highlight w:val="none"/>
        </w:rPr>
      </w:pPr>
    </w:p>
    <w:p w14:paraId="38739A0D">
      <w:pPr>
        <w:snapToGrid w:val="0"/>
        <w:spacing w:line="360" w:lineRule="auto"/>
        <w:ind w:right="2" w:rightChars="1"/>
        <w:rPr>
          <w:rFonts w:hint="eastAsia" w:ascii="宋体" w:hAnsi="宋体"/>
          <w:b/>
          <w:sz w:val="28"/>
          <w:szCs w:val="28"/>
          <w:highlight w:val="none"/>
        </w:rPr>
      </w:pPr>
    </w:p>
    <w:p w14:paraId="7C4AC096">
      <w:pPr>
        <w:snapToGrid w:val="0"/>
        <w:spacing w:line="360" w:lineRule="auto"/>
        <w:ind w:right="2" w:rightChars="1" w:firstLine="703" w:firstLineChars="250"/>
        <w:rPr>
          <w:rFonts w:hint="eastAsia" w:ascii="宋体" w:hAnsi="宋体"/>
          <w:b/>
          <w:sz w:val="28"/>
          <w:szCs w:val="28"/>
          <w:highlight w:val="none"/>
        </w:rPr>
      </w:pPr>
    </w:p>
    <w:p w14:paraId="2BF14BD7">
      <w:pPr>
        <w:snapToGrid w:val="0"/>
        <w:spacing w:line="360" w:lineRule="auto"/>
        <w:ind w:right="2" w:rightChars="1" w:firstLine="703" w:firstLineChars="250"/>
        <w:rPr>
          <w:rFonts w:hint="eastAsia" w:ascii="宋体" w:hAnsi="宋体"/>
          <w:b/>
          <w:sz w:val="28"/>
          <w:szCs w:val="28"/>
          <w:highlight w:val="none"/>
        </w:rPr>
      </w:pPr>
    </w:p>
    <w:p w14:paraId="3BBEBD55">
      <w:pPr>
        <w:snapToGrid w:val="0"/>
        <w:spacing w:line="360" w:lineRule="auto"/>
        <w:ind w:left="0" w:leftChars="0" w:right="2" w:rightChars="1" w:firstLine="1687" w:firstLineChars="600"/>
        <w:rPr>
          <w:rFonts w:hint="eastAsia" w:ascii="宋体" w:hAnsi="宋体" w:eastAsia="宋体"/>
          <w:b/>
          <w:sz w:val="28"/>
          <w:szCs w:val="28"/>
          <w:highlight w:val="none"/>
          <w:lang w:val="en-US" w:eastAsia="zh-CN"/>
        </w:rPr>
      </w:pPr>
      <w:r>
        <w:rPr>
          <w:rFonts w:hint="eastAsia" w:ascii="宋体" w:hAnsi="宋体"/>
          <w:b/>
          <w:sz w:val="28"/>
          <w:szCs w:val="28"/>
          <w:highlight w:val="none"/>
        </w:rPr>
        <w:t>甲方：</w:t>
      </w:r>
      <w:r>
        <w:rPr>
          <w:rFonts w:hint="eastAsia" w:ascii="宋体" w:hAnsi="宋体"/>
          <w:b/>
          <w:sz w:val="28"/>
          <w:szCs w:val="28"/>
          <w:highlight w:val="none"/>
          <w:lang w:val="en-US" w:eastAsia="zh-CN"/>
        </w:rPr>
        <w:t>酒钢（集团）宏联自控有限责任公司</w:t>
      </w:r>
    </w:p>
    <w:p w14:paraId="67B25491">
      <w:pPr>
        <w:snapToGrid w:val="0"/>
        <w:spacing w:line="360" w:lineRule="auto"/>
        <w:ind w:right="2" w:rightChars="1"/>
        <w:rPr>
          <w:rFonts w:hint="eastAsia" w:ascii="宋体" w:hAnsi="宋体"/>
          <w:b/>
          <w:sz w:val="28"/>
          <w:szCs w:val="28"/>
          <w:highlight w:val="none"/>
        </w:rPr>
      </w:pPr>
    </w:p>
    <w:p w14:paraId="695ACFA3">
      <w:pPr>
        <w:snapToGrid w:val="0"/>
        <w:spacing w:line="360" w:lineRule="auto"/>
        <w:ind w:left="0" w:leftChars="0" w:right="2" w:rightChars="1" w:firstLine="1687" w:firstLineChars="600"/>
        <w:rPr>
          <w:rFonts w:hint="default" w:ascii="宋体" w:hAnsi="宋体" w:eastAsia="宋体" w:cs="宋体"/>
          <w:sz w:val="28"/>
          <w:szCs w:val="28"/>
          <w:highlight w:val="none"/>
          <w:lang w:val="en-US" w:eastAsia="zh-CN"/>
        </w:rPr>
      </w:pPr>
      <w:r>
        <w:rPr>
          <w:rFonts w:hint="eastAsia" w:ascii="宋体" w:hAnsi="宋体"/>
          <w:b/>
          <w:sz w:val="28"/>
          <w:szCs w:val="28"/>
          <w:highlight w:val="none"/>
        </w:rPr>
        <w:t>乙方</w:t>
      </w:r>
      <w:bookmarkStart w:id="0" w:name="_Toc18767"/>
      <w:bookmarkStart w:id="1" w:name="_Toc15544"/>
      <w:bookmarkStart w:id="2" w:name="_Toc10877"/>
      <w:r>
        <w:rPr>
          <w:rFonts w:hint="eastAsia" w:ascii="宋体" w:hAnsi="宋体"/>
          <w:b/>
          <w:sz w:val="28"/>
          <w:szCs w:val="28"/>
          <w:highlight w:val="none"/>
        </w:rPr>
        <w:t>：</w:t>
      </w:r>
    </w:p>
    <w:p w14:paraId="11F759E8">
      <w:pPr>
        <w:snapToGrid w:val="0"/>
        <w:spacing w:line="360" w:lineRule="auto"/>
        <w:ind w:left="0" w:leftChars="0" w:right="2" w:rightChars="1" w:firstLine="843" w:firstLineChars="300"/>
        <w:jc w:val="center"/>
        <w:rPr>
          <w:rFonts w:hint="eastAsia" w:ascii="宋体" w:hAnsi="宋体"/>
          <w:b/>
          <w:sz w:val="28"/>
          <w:szCs w:val="28"/>
          <w:highlight w:val="none"/>
          <w:lang w:val="en-US" w:eastAsia="zh-CN"/>
        </w:rPr>
      </w:pPr>
    </w:p>
    <w:p w14:paraId="2259A5E3">
      <w:pPr>
        <w:pStyle w:val="49"/>
        <w:spacing w:line="240" w:lineRule="auto"/>
        <w:rPr>
          <w:rFonts w:hint="eastAsia" w:ascii="宋体" w:hAnsi="宋体" w:cs="宋体"/>
          <w:highlight w:val="none"/>
        </w:rPr>
      </w:pPr>
    </w:p>
    <w:p w14:paraId="544356DD">
      <w:pPr>
        <w:pStyle w:val="49"/>
        <w:spacing w:line="240" w:lineRule="auto"/>
        <w:rPr>
          <w:rFonts w:hint="eastAsia" w:ascii="宋体" w:hAnsi="宋体" w:cs="宋体"/>
          <w:highlight w:val="none"/>
        </w:rPr>
      </w:pPr>
    </w:p>
    <w:p w14:paraId="188F7396">
      <w:pPr>
        <w:pStyle w:val="49"/>
        <w:spacing w:line="240" w:lineRule="auto"/>
        <w:rPr>
          <w:rFonts w:hint="eastAsia" w:ascii="宋体" w:hAnsi="宋体" w:cs="宋体"/>
          <w:highlight w:val="none"/>
        </w:rPr>
      </w:pPr>
    </w:p>
    <w:p w14:paraId="25F919B2">
      <w:pPr>
        <w:pStyle w:val="56"/>
        <w:numPr>
          <w:ilvl w:val="0"/>
          <w:numId w:val="0"/>
        </w:numPr>
        <w:ind w:firstLine="4337" w:firstLineChars="1200"/>
        <w:jc w:val="left"/>
        <w:rPr>
          <w:rFonts w:hint="eastAsia" w:ascii="宋体" w:hAnsi="宋体" w:eastAsia="宋体" w:cs="宋体"/>
          <w:color w:val="auto"/>
          <w:kern w:val="2"/>
          <w:sz w:val="36"/>
          <w:szCs w:val="36"/>
          <w:highlight w:val="none"/>
          <w:lang w:val="zh-CN" w:eastAsia="zh-CN" w:bidi="ar-SA"/>
        </w:rPr>
      </w:pPr>
      <w:r>
        <w:rPr>
          <w:rFonts w:hint="eastAsia" w:ascii="宋体" w:hAnsi="宋体" w:eastAsia="宋体" w:cs="宋体"/>
          <w:color w:val="auto"/>
          <w:kern w:val="2"/>
          <w:sz w:val="36"/>
          <w:szCs w:val="36"/>
          <w:highlight w:val="none"/>
          <w:lang w:val="zh-CN" w:eastAsia="zh-CN" w:bidi="ar-SA"/>
        </w:rPr>
        <w:t>目 录</w:t>
      </w:r>
    </w:p>
    <w:p w14:paraId="7B7B3FD3">
      <w:pPr>
        <w:adjustRightInd w:val="0"/>
        <w:snapToGrid w:val="0"/>
        <w:spacing w:line="560" w:lineRule="exact"/>
        <w:ind w:firstLine="640" w:firstLineChars="200"/>
        <w:rPr>
          <w:rFonts w:hint="eastAsia" w:ascii="宋体" w:hAnsi="宋体" w:eastAsia="宋体" w:cs="宋体"/>
          <w:sz w:val="32"/>
          <w:szCs w:val="32"/>
          <w:highlight w:val="none"/>
          <w:lang w:val="zh-CN" w:eastAsia="zh-CN"/>
        </w:rPr>
      </w:pPr>
    </w:p>
    <w:p w14:paraId="5C3EF714">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fldChar w:fldCharType="begin"/>
      </w:r>
      <w:r>
        <w:rPr>
          <w:rFonts w:hint="eastAsia" w:ascii="宋体" w:hAnsi="宋体" w:eastAsia="宋体" w:cs="宋体"/>
          <w:sz w:val="32"/>
          <w:szCs w:val="32"/>
          <w:highlight w:val="none"/>
          <w:lang w:val="en-US" w:eastAsia="zh-CN"/>
        </w:rPr>
        <w:instrText xml:space="preserve"> TOC \o "1-3" \h \z \u </w:instrText>
      </w:r>
      <w:r>
        <w:rPr>
          <w:rFonts w:hint="eastAsia" w:ascii="宋体" w:hAnsi="宋体" w:eastAsia="宋体" w:cs="宋体"/>
          <w:sz w:val="32"/>
          <w:szCs w:val="32"/>
          <w:highlight w:val="none"/>
          <w:lang w:val="en-US" w:eastAsia="zh-CN"/>
        </w:rPr>
        <w:fldChar w:fldCharType="separate"/>
      </w:r>
      <w:r>
        <w:rPr>
          <w:rFonts w:hint="eastAsia" w:ascii="宋体" w:hAnsi="宋体" w:eastAsia="宋体" w:cs="宋体"/>
          <w:sz w:val="32"/>
          <w:szCs w:val="32"/>
          <w:highlight w:val="none"/>
          <w:lang w:val="en-US" w:eastAsia="zh-CN"/>
        </w:rPr>
        <w:t>第1条 总则</w:t>
      </w:r>
    </w:p>
    <w:p w14:paraId="7F9CC987">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第2条 设计条件</w:t>
      </w:r>
    </w:p>
    <w:p w14:paraId="1A9B2E8C">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第3条 供货范围</w:t>
      </w:r>
    </w:p>
    <w:p w14:paraId="16E72AF4">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w:t>
      </w:r>
      <w:r>
        <w:rPr>
          <w:rFonts w:hint="eastAsia" w:ascii="宋体" w:hAnsi="宋体" w:cs="宋体"/>
          <w:sz w:val="32"/>
          <w:szCs w:val="32"/>
          <w:highlight w:val="none"/>
          <w:lang w:val="en-US" w:eastAsia="zh-CN"/>
        </w:rPr>
        <w:t>4</w:t>
      </w:r>
      <w:r>
        <w:rPr>
          <w:rFonts w:hint="eastAsia" w:ascii="宋体" w:hAnsi="宋体" w:eastAsia="宋体" w:cs="宋体"/>
          <w:sz w:val="32"/>
          <w:szCs w:val="32"/>
          <w:highlight w:val="none"/>
          <w:lang w:val="en-US" w:eastAsia="zh-CN"/>
        </w:rPr>
        <w:t>条 包装、运输和储存</w:t>
      </w:r>
    </w:p>
    <w:p w14:paraId="3D0766A4">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w:t>
      </w:r>
      <w:r>
        <w:rPr>
          <w:rFonts w:hint="eastAsia" w:ascii="宋体" w:hAnsi="宋体" w:cs="宋体"/>
          <w:sz w:val="32"/>
          <w:szCs w:val="32"/>
          <w:highlight w:val="none"/>
          <w:lang w:val="en-US" w:eastAsia="zh-CN"/>
        </w:rPr>
        <w:t>5</w:t>
      </w:r>
      <w:r>
        <w:rPr>
          <w:rFonts w:hint="eastAsia" w:ascii="宋体" w:hAnsi="宋体" w:eastAsia="宋体" w:cs="宋体"/>
          <w:sz w:val="32"/>
          <w:szCs w:val="32"/>
          <w:highlight w:val="none"/>
          <w:lang w:val="en-US" w:eastAsia="zh-CN"/>
        </w:rPr>
        <w:t>条 技术服务</w:t>
      </w:r>
    </w:p>
    <w:p w14:paraId="2EEAEF94">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w:t>
      </w:r>
      <w:r>
        <w:rPr>
          <w:rFonts w:hint="eastAsia" w:ascii="宋体" w:hAnsi="宋体" w:cs="宋体"/>
          <w:sz w:val="32"/>
          <w:szCs w:val="32"/>
          <w:highlight w:val="none"/>
          <w:lang w:val="en-US" w:eastAsia="zh-CN"/>
        </w:rPr>
        <w:t>6</w:t>
      </w:r>
      <w:r>
        <w:rPr>
          <w:rFonts w:hint="eastAsia" w:ascii="宋体" w:hAnsi="宋体" w:eastAsia="宋体" w:cs="宋体"/>
          <w:sz w:val="32"/>
          <w:szCs w:val="32"/>
          <w:highlight w:val="none"/>
          <w:lang w:val="en-US" w:eastAsia="zh-CN"/>
        </w:rPr>
        <w:t>条 提供资料</w:t>
      </w:r>
    </w:p>
    <w:p w14:paraId="3FAB1919">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w:t>
      </w:r>
      <w:r>
        <w:rPr>
          <w:rFonts w:hint="eastAsia" w:ascii="宋体" w:hAnsi="宋体" w:cs="宋体"/>
          <w:sz w:val="32"/>
          <w:szCs w:val="32"/>
          <w:highlight w:val="none"/>
          <w:lang w:val="en-US" w:eastAsia="zh-CN"/>
        </w:rPr>
        <w:t>7</w:t>
      </w:r>
      <w:r>
        <w:rPr>
          <w:rFonts w:hint="eastAsia" w:ascii="宋体" w:hAnsi="宋体" w:eastAsia="宋体" w:cs="宋体"/>
          <w:sz w:val="32"/>
          <w:szCs w:val="32"/>
          <w:highlight w:val="none"/>
          <w:lang w:val="en-US" w:eastAsia="zh-CN"/>
        </w:rPr>
        <w:t xml:space="preserve">条 </w:t>
      </w:r>
      <w:r>
        <w:rPr>
          <w:rFonts w:hint="eastAsia" w:ascii="宋体" w:hAnsi="宋体" w:cs="宋体"/>
          <w:sz w:val="32"/>
          <w:szCs w:val="32"/>
          <w:highlight w:val="none"/>
          <w:lang w:val="en-US" w:eastAsia="zh-CN"/>
        </w:rPr>
        <w:t>交货时间及地点</w:t>
      </w:r>
    </w:p>
    <w:p w14:paraId="68AFC87E">
      <w:pPr>
        <w:adjustRightInd w:val="0"/>
        <w:snapToGrid w:val="0"/>
        <w:spacing w:line="560" w:lineRule="exact"/>
        <w:ind w:firstLine="640" w:firstLineChars="200"/>
        <w:rPr>
          <w:rFonts w:hint="eastAsia" w:ascii="宋体" w:hAnsi="宋体" w:cs="宋体"/>
          <w:sz w:val="32"/>
          <w:szCs w:val="32"/>
          <w:highlight w:val="none"/>
          <w:lang w:val="en-US" w:eastAsia="zh-CN"/>
        </w:rPr>
      </w:pPr>
      <w:r>
        <w:rPr>
          <w:rFonts w:hint="eastAsia" w:ascii="宋体" w:hAnsi="宋体" w:eastAsia="宋体" w:cs="宋体"/>
          <w:sz w:val="32"/>
          <w:szCs w:val="32"/>
          <w:highlight w:val="none"/>
          <w:lang w:val="en-US" w:eastAsia="zh-CN"/>
        </w:rPr>
        <w:t>第</w:t>
      </w:r>
      <w:r>
        <w:rPr>
          <w:rFonts w:hint="eastAsia" w:ascii="宋体" w:hAnsi="宋体" w:cs="宋体"/>
          <w:sz w:val="32"/>
          <w:szCs w:val="32"/>
          <w:highlight w:val="none"/>
          <w:lang w:val="en-US" w:eastAsia="zh-CN"/>
        </w:rPr>
        <w:t>8</w:t>
      </w:r>
      <w:r>
        <w:rPr>
          <w:rFonts w:hint="eastAsia" w:ascii="宋体" w:hAnsi="宋体" w:eastAsia="宋体" w:cs="宋体"/>
          <w:sz w:val="32"/>
          <w:szCs w:val="32"/>
          <w:highlight w:val="none"/>
          <w:lang w:val="en-US" w:eastAsia="zh-CN"/>
        </w:rPr>
        <w:t xml:space="preserve">条 </w:t>
      </w:r>
      <w:r>
        <w:rPr>
          <w:rFonts w:hint="eastAsia" w:ascii="宋体" w:hAnsi="宋体" w:cs="宋体"/>
          <w:sz w:val="32"/>
          <w:szCs w:val="32"/>
          <w:highlight w:val="none"/>
          <w:lang w:val="en-US" w:eastAsia="zh-CN"/>
        </w:rPr>
        <w:t>其他</w:t>
      </w:r>
    </w:p>
    <w:p w14:paraId="15FE47A0">
      <w:pPr>
        <w:adjustRightInd w:val="0"/>
        <w:snapToGrid w:val="0"/>
        <w:spacing w:line="560" w:lineRule="exact"/>
        <w:ind w:firstLine="640" w:firstLineChars="200"/>
        <w:rPr>
          <w:rFonts w:hint="default" w:ascii="宋体" w:hAnsi="宋体" w:cs="宋体"/>
          <w:sz w:val="32"/>
          <w:szCs w:val="32"/>
          <w:highlight w:val="none"/>
          <w:lang w:val="en-US" w:eastAsia="zh-CN"/>
        </w:rPr>
      </w:pPr>
    </w:p>
    <w:p w14:paraId="15485135">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3F5F39E0">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06C7374C">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3E2B4F2F">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10723B1B">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3263F95D">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3DC17A17">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10C4173A">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6F46CC92">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5E1804CD">
      <w:pPr>
        <w:pStyle w:val="2"/>
        <w:rPr>
          <w:rFonts w:hint="eastAsia" w:ascii="宋体" w:hAnsi="宋体" w:eastAsia="宋体" w:cs="宋体"/>
          <w:sz w:val="32"/>
          <w:szCs w:val="32"/>
          <w:highlight w:val="none"/>
          <w:lang w:val="en-US" w:eastAsia="zh-CN"/>
        </w:rPr>
      </w:pPr>
    </w:p>
    <w:p w14:paraId="00C5431B">
      <w:pPr>
        <w:rPr>
          <w:rFonts w:hint="eastAsia" w:ascii="宋体" w:hAnsi="宋体" w:eastAsia="宋体" w:cs="宋体"/>
          <w:sz w:val="32"/>
          <w:szCs w:val="32"/>
          <w:highlight w:val="none"/>
          <w:lang w:val="en-US" w:eastAsia="zh-CN"/>
        </w:rPr>
      </w:pPr>
    </w:p>
    <w:p w14:paraId="4154B50C">
      <w:pPr>
        <w:pStyle w:val="2"/>
        <w:rPr>
          <w:rFonts w:hint="eastAsia" w:ascii="宋体" w:hAnsi="宋体" w:eastAsia="宋体" w:cs="宋体"/>
          <w:sz w:val="32"/>
          <w:szCs w:val="32"/>
          <w:highlight w:val="none"/>
          <w:lang w:val="en-US" w:eastAsia="zh-CN"/>
        </w:rPr>
      </w:pPr>
    </w:p>
    <w:p w14:paraId="4D41E177">
      <w:pPr>
        <w:rPr>
          <w:rFonts w:hint="eastAsia"/>
          <w:highlight w:val="none"/>
          <w:lang w:val="en-US" w:eastAsia="zh-CN"/>
        </w:rPr>
      </w:pPr>
    </w:p>
    <w:p w14:paraId="4701A5E0">
      <w:pPr>
        <w:pStyle w:val="49"/>
        <w:spacing w:line="240" w:lineRule="auto"/>
        <w:rPr>
          <w:rFonts w:hint="eastAsia" w:ascii="宋体" w:hAnsi="宋体" w:cs="宋体"/>
          <w:highlight w:val="none"/>
        </w:rPr>
      </w:pPr>
      <w:r>
        <w:rPr>
          <w:rFonts w:hint="eastAsia" w:ascii="宋体" w:hAnsi="宋体" w:eastAsia="宋体" w:cs="宋体"/>
          <w:sz w:val="32"/>
          <w:szCs w:val="32"/>
          <w:highlight w:val="none"/>
          <w:lang w:val="zh-CN" w:eastAsia="zh-CN"/>
        </w:rPr>
        <w:fldChar w:fldCharType="end"/>
      </w:r>
      <w:r>
        <w:rPr>
          <w:rFonts w:hint="eastAsia" w:ascii="宋体" w:hAnsi="宋体" w:cs="宋体"/>
          <w:sz w:val="32"/>
          <w:szCs w:val="32"/>
          <w:highlight w:val="none"/>
          <w:lang w:val="en-US" w:eastAsia="zh-CN"/>
        </w:rPr>
        <w:t>一、</w:t>
      </w:r>
      <w:r>
        <w:rPr>
          <w:rFonts w:hint="eastAsia" w:ascii="宋体" w:hAnsi="宋体" w:cs="宋体"/>
          <w:highlight w:val="none"/>
        </w:rPr>
        <w:t>总则</w:t>
      </w:r>
    </w:p>
    <w:p w14:paraId="3D805AE6">
      <w:pPr>
        <w:pStyle w:val="49"/>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cs="宋体"/>
          <w:b w:val="0"/>
          <w:bCs/>
          <w:highlight w:val="none"/>
        </w:rPr>
      </w:pPr>
      <w:r>
        <w:rPr>
          <w:rFonts w:hint="eastAsia" w:ascii="宋体" w:hAnsi="宋体" w:cs="宋体"/>
          <w:b w:val="0"/>
          <w:bCs/>
          <w:highlight w:val="none"/>
        </w:rPr>
        <w:t>1.1本技术规格书对酒钢宏联自控公司</w:t>
      </w:r>
      <w:r>
        <w:rPr>
          <w:rFonts w:hint="eastAsia" w:ascii="宋体" w:hAnsi="宋体" w:cs="宋体"/>
          <w:b w:val="0"/>
          <w:bCs/>
          <w:highlight w:val="none"/>
          <w:lang w:val="en-US" w:eastAsia="zh-CN"/>
        </w:rPr>
        <w:t>综保及综保后台完善采购</w:t>
      </w:r>
      <w:r>
        <w:rPr>
          <w:rFonts w:hint="eastAsia" w:ascii="宋体" w:hAnsi="宋体" w:cs="宋体"/>
          <w:b w:val="0"/>
          <w:bCs/>
          <w:highlight w:val="none"/>
        </w:rPr>
        <w:t>项目设备制作使用提出有关技术要求。</w:t>
      </w:r>
    </w:p>
    <w:p w14:paraId="64050082">
      <w:pPr>
        <w:pStyle w:val="49"/>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cs="宋体"/>
          <w:b w:val="0"/>
          <w:bCs/>
          <w:highlight w:val="none"/>
        </w:rPr>
      </w:pPr>
      <w:r>
        <w:rPr>
          <w:rFonts w:hint="eastAsia" w:ascii="宋体" w:hAnsi="宋体" w:cs="宋体"/>
          <w:b w:val="0"/>
          <w:bCs/>
          <w:highlight w:val="none"/>
        </w:rPr>
        <w:t>1.2本技术规格书提出的是最低限度的技术要求，并未对一切技术细节作出规定，也未充分引述有关标准和规范的条文，乙方应提供符合本技术规格书和有关工业标准的优质产品。</w:t>
      </w:r>
    </w:p>
    <w:p w14:paraId="321693E8">
      <w:pPr>
        <w:pStyle w:val="49"/>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cs="宋体"/>
          <w:b w:val="0"/>
          <w:bCs/>
          <w:highlight w:val="none"/>
        </w:rPr>
      </w:pPr>
      <w:r>
        <w:rPr>
          <w:rFonts w:hint="eastAsia" w:ascii="宋体" w:hAnsi="宋体" w:cs="宋体"/>
          <w:b w:val="0"/>
          <w:bCs/>
          <w:highlight w:val="none"/>
        </w:rPr>
        <w:t>1.3如果乙方没有以书面形式对本技术规格书的条文提出异议，则意味着乙方提供的设备完全符合本技术规格书的要求。</w:t>
      </w:r>
    </w:p>
    <w:p w14:paraId="01A7B466">
      <w:pPr>
        <w:pStyle w:val="49"/>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cs="宋体"/>
          <w:b w:val="0"/>
          <w:bCs/>
          <w:highlight w:val="none"/>
        </w:rPr>
      </w:pPr>
      <w:r>
        <w:rPr>
          <w:rFonts w:hint="eastAsia" w:ascii="宋体" w:hAnsi="宋体" w:cs="宋体"/>
          <w:b w:val="0"/>
          <w:bCs/>
          <w:highlight w:val="none"/>
        </w:rPr>
        <w:t>1.4本技术规格书所使用的标准如遇与乙方所执行的标准发生矛盾时，按较高标准执行。</w:t>
      </w:r>
    </w:p>
    <w:p w14:paraId="2B3862E0">
      <w:pPr>
        <w:pStyle w:val="49"/>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cs="宋体"/>
          <w:b w:val="0"/>
          <w:bCs/>
          <w:highlight w:val="none"/>
        </w:rPr>
      </w:pPr>
      <w:r>
        <w:rPr>
          <w:rFonts w:hint="eastAsia" w:ascii="宋体" w:hAnsi="宋体" w:cs="宋体"/>
          <w:b w:val="0"/>
          <w:bCs/>
          <w:highlight w:val="none"/>
        </w:rPr>
        <w:t>1.5在合同签订后，甲方有权提出因标准、规程和规范发生变化而产生的修订要求，具体事宜由甲、乙双方协商确定。</w:t>
      </w:r>
    </w:p>
    <w:p w14:paraId="6A840F44">
      <w:pPr>
        <w:pStyle w:val="49"/>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cs="宋体"/>
          <w:b w:val="0"/>
          <w:bCs/>
          <w:highlight w:val="none"/>
        </w:rPr>
      </w:pPr>
      <w:r>
        <w:rPr>
          <w:rFonts w:hint="eastAsia" w:ascii="宋体" w:hAnsi="宋体" w:cs="宋体"/>
          <w:b w:val="0"/>
          <w:bCs/>
          <w:highlight w:val="none"/>
        </w:rPr>
        <w:t>1.</w:t>
      </w:r>
      <w:r>
        <w:rPr>
          <w:rFonts w:hint="eastAsia" w:ascii="宋体" w:hAnsi="宋体" w:cs="宋体"/>
          <w:b w:val="0"/>
          <w:bCs/>
          <w:highlight w:val="none"/>
          <w:lang w:val="en-US" w:eastAsia="zh-CN"/>
        </w:rPr>
        <w:t>6</w:t>
      </w:r>
      <w:r>
        <w:rPr>
          <w:rFonts w:hint="eastAsia" w:ascii="宋体" w:hAnsi="宋体" w:cs="宋体"/>
          <w:b w:val="0"/>
          <w:bCs/>
          <w:highlight w:val="none"/>
        </w:rPr>
        <w:t>本技术规格书经甲、乙双方确认后作为订货合同的技术附件，与合同正文具有同等效力。</w:t>
      </w:r>
    </w:p>
    <w:p w14:paraId="240BD48D">
      <w:pPr>
        <w:pStyle w:val="49"/>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cs="宋体"/>
          <w:b w:val="0"/>
          <w:bCs/>
          <w:highlight w:val="none"/>
        </w:rPr>
      </w:pPr>
      <w:r>
        <w:rPr>
          <w:rFonts w:hint="eastAsia" w:ascii="宋体" w:hAnsi="宋体" w:cs="宋体"/>
          <w:b w:val="0"/>
          <w:bCs/>
          <w:highlight w:val="none"/>
        </w:rPr>
        <w:t>1.</w:t>
      </w:r>
      <w:r>
        <w:rPr>
          <w:rFonts w:hint="eastAsia" w:ascii="宋体" w:hAnsi="宋体" w:cs="宋体"/>
          <w:b w:val="0"/>
          <w:bCs/>
          <w:highlight w:val="none"/>
          <w:lang w:val="en-US" w:eastAsia="zh-CN"/>
        </w:rPr>
        <w:t>7</w:t>
      </w:r>
      <w:r>
        <w:rPr>
          <w:rFonts w:hint="eastAsia" w:ascii="宋体" w:hAnsi="宋体" w:cs="宋体"/>
          <w:b w:val="0"/>
          <w:bCs/>
          <w:highlight w:val="none"/>
        </w:rPr>
        <w:t>乙方应具有ISO.9001质量保证体系认证证书，具有ISO.14001环境管理体系认证证书及具有AAA级资信等级证书或银行出具A级信用等级证书，并具有相应的试验检测手段，确保提供的设备是质量可靠的、全新的，并符合工艺条件、满足长期使用要求的。</w:t>
      </w:r>
    </w:p>
    <w:p w14:paraId="4A316B2C">
      <w:pPr>
        <w:pStyle w:val="49"/>
        <w:keepNext w:val="0"/>
        <w:keepLines w:val="0"/>
        <w:pageBreakBefore w:val="0"/>
        <w:widowControl w:val="0"/>
        <w:numPr>
          <w:ilvl w:val="0"/>
          <w:numId w:val="0"/>
        </w:numPr>
        <w:kinsoku/>
        <w:wordWrap/>
        <w:overflowPunct/>
        <w:topLinePunct w:val="0"/>
        <w:autoSpaceDE/>
        <w:autoSpaceDN/>
        <w:bidi w:val="0"/>
        <w:spacing w:line="400" w:lineRule="exact"/>
        <w:ind w:leftChars="0"/>
        <w:textAlignment w:val="auto"/>
        <w:rPr>
          <w:rFonts w:hint="eastAsia" w:ascii="宋体" w:hAnsi="宋体" w:cs="宋体"/>
          <w:highlight w:val="none"/>
        </w:rPr>
      </w:pPr>
      <w:r>
        <w:rPr>
          <w:rFonts w:hint="eastAsia" w:ascii="宋体" w:hAnsi="宋体" w:cs="宋体"/>
          <w:highlight w:val="none"/>
          <w:lang w:val="en-US" w:eastAsia="zh-CN"/>
        </w:rPr>
        <w:t>二、</w:t>
      </w:r>
      <w:r>
        <w:rPr>
          <w:rFonts w:hint="eastAsia" w:ascii="宋体" w:hAnsi="宋体" w:cs="宋体"/>
          <w:highlight w:val="none"/>
        </w:rPr>
        <w:t>设计条件</w:t>
      </w:r>
    </w:p>
    <w:p w14:paraId="6113B5AD">
      <w:pPr>
        <w:pStyle w:val="47"/>
        <w:keepNext w:val="0"/>
        <w:keepLines w:val="0"/>
        <w:pageBreakBefore w:val="0"/>
        <w:widowControl w:val="0"/>
        <w:kinsoku/>
        <w:wordWrap/>
        <w:overflowPunct/>
        <w:topLinePunct w:val="0"/>
        <w:autoSpaceDE/>
        <w:autoSpaceDN/>
        <w:bidi w:val="0"/>
        <w:spacing w:line="400" w:lineRule="exact"/>
        <w:textAlignment w:val="auto"/>
        <w:rPr>
          <w:rFonts w:hint="default" w:ascii="宋体" w:hAnsi="宋体" w:eastAsia="宋体" w:cs="宋体"/>
          <w:highlight w:val="none"/>
          <w:lang w:val="en-US" w:eastAsia="zh-CN"/>
        </w:rPr>
      </w:pPr>
      <w:r>
        <w:rPr>
          <w:rFonts w:hint="eastAsia" w:ascii="宋体" w:hAnsi="宋体"/>
          <w:szCs w:val="28"/>
          <w:highlight w:val="none"/>
        </w:rPr>
        <w:t>2.</w:t>
      </w:r>
      <w:r>
        <w:rPr>
          <w:rFonts w:hint="eastAsia" w:ascii="宋体" w:hAnsi="宋体"/>
          <w:szCs w:val="28"/>
          <w:highlight w:val="none"/>
          <w:lang w:val="en-US" w:eastAsia="zh-CN"/>
        </w:rPr>
        <w:t>1</w:t>
      </w:r>
      <w:r>
        <w:rPr>
          <w:rFonts w:hint="eastAsia" w:ascii="宋体" w:hAnsi="宋体"/>
          <w:szCs w:val="28"/>
          <w:highlight w:val="none"/>
        </w:rPr>
        <w:t xml:space="preserve"> </w:t>
      </w:r>
      <w:r>
        <w:rPr>
          <w:rFonts w:hint="eastAsia" w:ascii="宋体" w:hAnsi="宋体"/>
          <w:szCs w:val="28"/>
          <w:highlight w:val="none"/>
          <w:lang w:val="en-US" w:eastAsia="zh-CN"/>
        </w:rPr>
        <w:t>气象安装条件：</w:t>
      </w:r>
    </w:p>
    <w:p w14:paraId="070DF036">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嘉峪关地区气候特征明显为冬季寒冷，夏季炎热，昼夜温差大，气候干燥。</w:t>
      </w:r>
    </w:p>
    <w:p w14:paraId="41B940CB">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年平均气温：</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 xml:space="preserve">7.3℃       </w:t>
      </w:r>
      <w:r>
        <w:rPr>
          <w:rFonts w:hint="eastAsia" w:ascii="宋体" w:hAnsi="宋体" w:cs="宋体"/>
          <w:sz w:val="28"/>
          <w:szCs w:val="28"/>
          <w:highlight w:val="none"/>
        </w:rPr>
        <w:tab/>
      </w:r>
    </w:p>
    <w:p w14:paraId="1A86CB35">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最高温度：</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ascii="宋体" w:hAnsi="宋体" w:cs="宋体"/>
          <w:sz w:val="28"/>
          <w:szCs w:val="28"/>
          <w:highlight w:val="none"/>
        </w:rPr>
        <w:t xml:space="preserve">   </w:t>
      </w:r>
      <w:r>
        <w:rPr>
          <w:rFonts w:hint="eastAsia" w:ascii="宋体" w:hAnsi="宋体" w:cs="宋体"/>
          <w:sz w:val="28"/>
          <w:szCs w:val="28"/>
          <w:highlight w:val="none"/>
        </w:rPr>
        <w:t xml:space="preserve">38.4℃  </w:t>
      </w:r>
    </w:p>
    <w:p w14:paraId="15E0300E">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最低温度：</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ascii="宋体" w:hAnsi="宋体" w:cs="宋体"/>
          <w:sz w:val="28"/>
          <w:szCs w:val="28"/>
          <w:highlight w:val="none"/>
        </w:rPr>
        <w:t xml:space="preserve">   </w:t>
      </w:r>
      <w:r>
        <w:rPr>
          <w:rFonts w:hint="eastAsia" w:ascii="宋体" w:hAnsi="宋体" w:cs="宋体"/>
          <w:sz w:val="28"/>
          <w:szCs w:val="28"/>
          <w:highlight w:val="none"/>
        </w:rPr>
        <w:t xml:space="preserve">-31.6℃        </w:t>
      </w:r>
      <w:r>
        <w:rPr>
          <w:rFonts w:hint="eastAsia" w:ascii="宋体" w:hAnsi="宋体" w:cs="宋体"/>
          <w:sz w:val="28"/>
          <w:szCs w:val="28"/>
          <w:highlight w:val="none"/>
        </w:rPr>
        <w:tab/>
      </w:r>
    </w:p>
    <w:p w14:paraId="02BB7220">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年平均降雨量：</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85.3mm</w:t>
      </w:r>
    </w:p>
    <w:p w14:paraId="624A7875">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年最大降雨量：</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 xml:space="preserve">165.7mm   </w:t>
      </w:r>
      <w:r>
        <w:rPr>
          <w:rFonts w:hint="eastAsia" w:ascii="宋体" w:hAnsi="宋体" w:cs="宋体"/>
          <w:sz w:val="28"/>
          <w:szCs w:val="28"/>
          <w:highlight w:val="none"/>
        </w:rPr>
        <w:tab/>
      </w:r>
    </w:p>
    <w:p w14:paraId="7BF2DCA1">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最热月平均湿度：</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52％</w:t>
      </w:r>
    </w:p>
    <w:p w14:paraId="5E8FAF8C">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最冷月平均湿度：</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 xml:space="preserve">55％    </w:t>
      </w:r>
      <w:r>
        <w:rPr>
          <w:rFonts w:hint="eastAsia" w:ascii="宋体" w:hAnsi="宋体" w:cs="宋体"/>
          <w:sz w:val="28"/>
          <w:szCs w:val="28"/>
          <w:highlight w:val="none"/>
        </w:rPr>
        <w:tab/>
      </w:r>
    </w:p>
    <w:p w14:paraId="6F351070">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冬季气压：</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ascii="宋体" w:hAnsi="宋体" w:cs="宋体"/>
          <w:sz w:val="28"/>
          <w:szCs w:val="28"/>
          <w:highlight w:val="none"/>
        </w:rPr>
        <w:t xml:space="preserve">   </w:t>
      </w:r>
      <w:r>
        <w:rPr>
          <w:rFonts w:hint="eastAsia" w:ascii="宋体" w:hAnsi="宋体" w:cs="宋体"/>
          <w:sz w:val="28"/>
          <w:szCs w:val="28"/>
          <w:highlight w:val="none"/>
        </w:rPr>
        <w:t>642mmHg</w:t>
      </w:r>
    </w:p>
    <w:p w14:paraId="0DAA1910">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夏季气压：</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ascii="宋体" w:hAnsi="宋体" w:cs="宋体"/>
          <w:sz w:val="28"/>
          <w:szCs w:val="28"/>
          <w:highlight w:val="none"/>
        </w:rPr>
        <w:t xml:space="preserve">   </w:t>
      </w:r>
      <w:r>
        <w:rPr>
          <w:rFonts w:hint="eastAsia" w:ascii="宋体" w:hAnsi="宋体" w:cs="宋体"/>
          <w:sz w:val="28"/>
          <w:szCs w:val="28"/>
          <w:highlight w:val="none"/>
        </w:rPr>
        <w:t xml:space="preserve">652mmHg       </w:t>
      </w:r>
      <w:r>
        <w:rPr>
          <w:rFonts w:hint="eastAsia" w:ascii="宋体" w:hAnsi="宋体" w:cs="宋体"/>
          <w:sz w:val="28"/>
          <w:szCs w:val="28"/>
          <w:highlight w:val="none"/>
        </w:rPr>
        <w:tab/>
      </w:r>
    </w:p>
    <w:p w14:paraId="66C64352">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年蒸发量：</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ascii="宋体" w:hAnsi="宋体" w:cs="宋体"/>
          <w:sz w:val="28"/>
          <w:szCs w:val="28"/>
          <w:highlight w:val="none"/>
        </w:rPr>
        <w:t xml:space="preserve">   </w:t>
      </w:r>
      <w:r>
        <w:rPr>
          <w:rFonts w:hint="eastAsia" w:ascii="宋体" w:hAnsi="宋体" w:cs="宋体"/>
          <w:sz w:val="28"/>
          <w:szCs w:val="28"/>
          <w:highlight w:val="none"/>
        </w:rPr>
        <w:t>2245mm</w:t>
      </w:r>
    </w:p>
    <w:p w14:paraId="6DD5A683">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年主导风向：</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 xml:space="preserve">西南风        </w:t>
      </w:r>
    </w:p>
    <w:p w14:paraId="741757C3">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夏季主导风向：</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西北风</w:t>
      </w:r>
    </w:p>
    <w:p w14:paraId="0411DC75">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最大风速：</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 xml:space="preserve">  </w:t>
      </w:r>
      <w:r>
        <w:rPr>
          <w:rFonts w:ascii="宋体" w:hAnsi="宋体" w:cs="宋体"/>
          <w:sz w:val="28"/>
          <w:szCs w:val="28"/>
          <w:highlight w:val="none"/>
        </w:rPr>
        <w:t xml:space="preserve">   </w:t>
      </w:r>
      <w:r>
        <w:rPr>
          <w:rFonts w:hint="eastAsia" w:ascii="宋体" w:hAnsi="宋体" w:cs="宋体"/>
          <w:sz w:val="28"/>
          <w:szCs w:val="28"/>
          <w:highlight w:val="none"/>
        </w:rPr>
        <w:t xml:space="preserve">34m/s         </w:t>
      </w:r>
      <w:r>
        <w:rPr>
          <w:rFonts w:hint="eastAsia" w:ascii="宋体" w:hAnsi="宋体" w:cs="宋体"/>
          <w:sz w:val="28"/>
          <w:szCs w:val="28"/>
          <w:highlight w:val="none"/>
        </w:rPr>
        <w:tab/>
      </w:r>
    </w:p>
    <w:p w14:paraId="7BF3913A">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土壤冻结深度：</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 xml:space="preserve">  -1.2m</w:t>
      </w:r>
    </w:p>
    <w:p w14:paraId="1795356B">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hint="eastAsia" w:ascii="宋体" w:hAnsi="宋体" w:cs="宋体"/>
          <w:sz w:val="28"/>
          <w:szCs w:val="28"/>
          <w:highlight w:val="none"/>
        </w:rPr>
      </w:pPr>
      <w:r>
        <w:rPr>
          <w:rFonts w:hint="eastAsia" w:ascii="宋体" w:hAnsi="宋体" w:cs="宋体"/>
          <w:sz w:val="28"/>
          <w:szCs w:val="28"/>
          <w:highlight w:val="none"/>
        </w:rPr>
        <w:t>按《建筑抗震设计规范》规定，本场地抗震设防烈度为8度；设计基本地震加速度值为0.20g，设计地震分组为第二组，场地类别为Ⅱ类，场地地震动反应谱特征周期值为0.40s。</w:t>
      </w:r>
    </w:p>
    <w:p w14:paraId="31A70251">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hint="eastAsia" w:ascii="宋体" w:hAnsi="宋体" w:cs="宋体"/>
          <w:sz w:val="28"/>
          <w:szCs w:val="28"/>
          <w:highlight w:val="none"/>
        </w:rPr>
      </w:pPr>
      <w:r>
        <w:rPr>
          <w:rFonts w:hint="eastAsia" w:ascii="宋体" w:hAnsi="宋体" w:cs="宋体"/>
          <w:sz w:val="28"/>
          <w:szCs w:val="28"/>
          <w:highlight w:val="none"/>
        </w:rPr>
        <w:t>乙方提供的</w:t>
      </w:r>
      <w:r>
        <w:rPr>
          <w:rFonts w:hint="eastAsia" w:ascii="宋体" w:hAnsi="宋体" w:cs="宋体"/>
          <w:sz w:val="28"/>
          <w:szCs w:val="28"/>
          <w:highlight w:val="none"/>
          <w:lang w:val="en-US" w:eastAsia="zh-CN"/>
        </w:rPr>
        <w:t>设备</w:t>
      </w:r>
      <w:r>
        <w:rPr>
          <w:rFonts w:hint="eastAsia" w:ascii="宋体" w:hAnsi="宋体" w:cs="宋体"/>
          <w:sz w:val="28"/>
          <w:szCs w:val="28"/>
          <w:highlight w:val="none"/>
        </w:rPr>
        <w:t>必须满足所需的工况条件（</w:t>
      </w:r>
      <w:r>
        <w:rPr>
          <w:rFonts w:hint="eastAsia" w:ascii="宋体" w:hAnsi="宋体" w:cs="宋体"/>
          <w:sz w:val="28"/>
          <w:szCs w:val="28"/>
          <w:highlight w:val="none"/>
          <w:u w:val="none"/>
        </w:rPr>
        <w:t>海拨高度：</w:t>
      </w:r>
      <w:r>
        <w:rPr>
          <w:rFonts w:hint="eastAsia" w:ascii="宋体" w:hAnsi="宋体" w:cs="宋体"/>
          <w:sz w:val="28"/>
          <w:szCs w:val="28"/>
          <w:highlight w:val="none"/>
        </w:rPr>
        <w:t>1660m, 全年温度范围：-30℃到+40℃,循环水最高温度小于60℃）。</w:t>
      </w:r>
    </w:p>
    <w:p w14:paraId="280DEEC3">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hint="eastAsia" w:ascii="宋体" w:hAnsi="宋体" w:cs="宋体"/>
          <w:sz w:val="28"/>
          <w:szCs w:val="28"/>
          <w:highlight w:val="none"/>
        </w:rPr>
      </w:pPr>
      <w:r>
        <w:rPr>
          <w:rFonts w:hint="eastAsia" w:ascii="宋体" w:hAnsi="宋体" w:cs="宋体"/>
          <w:sz w:val="28"/>
          <w:szCs w:val="28"/>
          <w:highlight w:val="none"/>
        </w:rPr>
        <w:t>需参照上述自然地质条件，满足相关规范要求。</w:t>
      </w:r>
    </w:p>
    <w:p w14:paraId="364DE466">
      <w:pPr>
        <w:pStyle w:val="47"/>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b w:val="0"/>
          <w:bCs w:val="0"/>
          <w:kern w:val="2"/>
          <w:sz w:val="28"/>
          <w:szCs w:val="28"/>
          <w:highlight w:val="none"/>
          <w:lang w:val="en-US" w:eastAsia="zh-CN" w:bidi="ar-SA"/>
        </w:rPr>
      </w:pPr>
      <w:bookmarkStart w:id="3" w:name="_Toc511847739"/>
      <w:r>
        <w:rPr>
          <w:rFonts w:hint="eastAsia" w:ascii="宋体" w:hAnsi="宋体"/>
          <w:szCs w:val="28"/>
          <w:highlight w:val="none"/>
        </w:rPr>
        <w:t>2.</w:t>
      </w:r>
      <w:r>
        <w:rPr>
          <w:rFonts w:hint="eastAsia" w:ascii="宋体" w:hAnsi="宋体"/>
          <w:szCs w:val="28"/>
          <w:highlight w:val="none"/>
          <w:lang w:val="en-US" w:eastAsia="zh-CN"/>
        </w:rPr>
        <w:t>2</w:t>
      </w:r>
      <w:r>
        <w:rPr>
          <w:rFonts w:hint="eastAsia" w:ascii="宋体" w:hAnsi="宋体"/>
          <w:szCs w:val="28"/>
          <w:highlight w:val="none"/>
        </w:rPr>
        <w:t xml:space="preserve"> 标准及规范</w:t>
      </w:r>
      <w:bookmarkEnd w:id="3"/>
    </w:p>
    <w:p w14:paraId="79E32F4C">
      <w:pPr>
        <w:pStyle w:val="47"/>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cs="宋体"/>
          <w:b w:val="0"/>
          <w:bCs w:val="0"/>
          <w:kern w:val="2"/>
          <w:sz w:val="28"/>
          <w:szCs w:val="28"/>
          <w:highlight w:val="none"/>
          <w:lang w:val="en-US" w:eastAsia="zh-CN" w:bidi="ar-SA"/>
        </w:rPr>
      </w:pPr>
      <w:r>
        <w:rPr>
          <w:rFonts w:hint="eastAsia" w:ascii="宋体" w:hAnsi="宋体" w:eastAsia="宋体" w:cs="宋体"/>
          <w:b w:val="0"/>
          <w:bCs w:val="0"/>
          <w:kern w:val="2"/>
          <w:sz w:val="28"/>
          <w:szCs w:val="28"/>
          <w:highlight w:val="none"/>
          <w:lang w:val="en-US" w:eastAsia="zh-CN" w:bidi="ar-SA"/>
        </w:rPr>
        <w:t>GB/T 14537-1993</w:t>
      </w:r>
      <w:r>
        <w:rPr>
          <w:rFonts w:hint="eastAsia" w:ascii="宋体" w:hAnsi="宋体" w:cs="宋体"/>
          <w:b w:val="0"/>
          <w:bCs w:val="0"/>
          <w:kern w:val="2"/>
          <w:sz w:val="28"/>
          <w:szCs w:val="28"/>
          <w:highlight w:val="none"/>
          <w:lang w:val="en-US" w:eastAsia="zh-CN" w:bidi="ar-SA"/>
        </w:rPr>
        <w:t xml:space="preserve"> 《</w:t>
      </w:r>
      <w:r>
        <w:rPr>
          <w:rFonts w:hint="default" w:ascii="宋体" w:hAnsi="宋体" w:eastAsia="宋体" w:cs="宋体"/>
          <w:b w:val="0"/>
          <w:bCs w:val="0"/>
          <w:kern w:val="2"/>
          <w:sz w:val="28"/>
          <w:szCs w:val="28"/>
          <w:highlight w:val="none"/>
          <w:lang w:val="en-US" w:eastAsia="zh-CN" w:bidi="ar-SA"/>
        </w:rPr>
        <w:t>量度继电器和保护装置的冲击与碰撞试验</w:t>
      </w:r>
      <w:r>
        <w:rPr>
          <w:rFonts w:hint="eastAsia" w:ascii="宋体" w:hAnsi="宋体" w:cs="宋体"/>
          <w:b w:val="0"/>
          <w:bCs w:val="0"/>
          <w:kern w:val="2"/>
          <w:sz w:val="28"/>
          <w:szCs w:val="28"/>
          <w:highlight w:val="none"/>
          <w:lang w:val="en-US" w:eastAsia="zh-CN" w:bidi="ar-SA"/>
        </w:rPr>
        <w:t>》</w:t>
      </w:r>
    </w:p>
    <w:p w14:paraId="52F04FB2">
      <w:pPr>
        <w:pStyle w:val="47"/>
        <w:keepNext w:val="0"/>
        <w:keepLines w:val="0"/>
        <w:pageBreakBefore w:val="0"/>
        <w:widowControl w:val="0"/>
        <w:kinsoku/>
        <w:wordWrap/>
        <w:overflowPunct/>
        <w:topLinePunct w:val="0"/>
        <w:autoSpaceDE/>
        <w:autoSpaceDN/>
        <w:bidi w:val="0"/>
        <w:spacing w:line="400" w:lineRule="exact"/>
        <w:textAlignment w:val="auto"/>
        <w:rPr>
          <w:rFonts w:hint="default" w:ascii="宋体" w:hAnsi="宋体" w:cs="宋体"/>
          <w:b w:val="0"/>
          <w:bCs w:val="0"/>
          <w:kern w:val="2"/>
          <w:sz w:val="28"/>
          <w:szCs w:val="28"/>
          <w:highlight w:val="none"/>
          <w:lang w:val="en-US" w:eastAsia="zh-CN" w:bidi="ar-SA"/>
        </w:rPr>
      </w:pPr>
      <w:r>
        <w:rPr>
          <w:rFonts w:hint="default" w:ascii="宋体" w:hAnsi="宋体" w:cs="宋体"/>
          <w:b w:val="0"/>
          <w:bCs w:val="0"/>
          <w:kern w:val="2"/>
          <w:sz w:val="28"/>
          <w:szCs w:val="28"/>
          <w:highlight w:val="none"/>
          <w:lang w:val="en-US" w:eastAsia="zh-CN" w:bidi="ar-SA"/>
        </w:rPr>
        <w:t>GB/T 14285-2023</w:t>
      </w:r>
      <w:r>
        <w:rPr>
          <w:rFonts w:hint="eastAsia" w:ascii="宋体" w:hAnsi="宋体" w:cs="宋体"/>
          <w:b w:val="0"/>
          <w:bCs w:val="0"/>
          <w:kern w:val="2"/>
          <w:sz w:val="28"/>
          <w:szCs w:val="28"/>
          <w:highlight w:val="none"/>
          <w:lang w:val="en-US" w:eastAsia="zh-CN" w:bidi="ar-SA"/>
        </w:rPr>
        <w:t>《</w:t>
      </w:r>
      <w:r>
        <w:rPr>
          <w:rFonts w:hint="default" w:ascii="宋体" w:hAnsi="宋体" w:eastAsia="宋体" w:cs="宋体"/>
          <w:b w:val="0"/>
          <w:bCs w:val="0"/>
          <w:kern w:val="2"/>
          <w:sz w:val="28"/>
          <w:szCs w:val="28"/>
          <w:highlight w:val="none"/>
          <w:lang w:val="en-US" w:eastAsia="zh-CN" w:bidi="ar-SA"/>
        </w:rPr>
        <w:t>继电保护和安全自动装置技术规程</w:t>
      </w:r>
      <w:r>
        <w:rPr>
          <w:rFonts w:hint="eastAsia" w:ascii="宋体" w:hAnsi="宋体" w:eastAsia="宋体" w:cs="宋体"/>
          <w:b w:val="0"/>
          <w:bCs w:val="0"/>
          <w:kern w:val="2"/>
          <w:sz w:val="28"/>
          <w:szCs w:val="28"/>
          <w:highlight w:val="none"/>
          <w:lang w:val="en-US" w:eastAsia="zh-CN" w:bidi="ar-SA"/>
        </w:rPr>
        <w:t>》</w:t>
      </w:r>
    </w:p>
    <w:p w14:paraId="5D3A2165">
      <w:pPr>
        <w:pStyle w:val="49"/>
        <w:spacing w:line="240" w:lineRule="auto"/>
        <w:rPr>
          <w:rFonts w:ascii="宋体" w:hAnsi="宋体"/>
          <w:bCs/>
          <w:color w:val="000000"/>
          <w:highlight w:val="none"/>
        </w:rPr>
      </w:pPr>
      <w:r>
        <w:rPr>
          <w:rFonts w:hint="eastAsia"/>
          <w:highlight w:val="none"/>
        </w:rPr>
        <w:t>三、供货范围</w:t>
      </w:r>
    </w:p>
    <w:p w14:paraId="2DB3A6BE">
      <w:pPr>
        <w:adjustRightInd w:val="0"/>
        <w:snapToGrid w:val="0"/>
        <w:outlineLvl w:val="1"/>
        <w:rPr>
          <w:rFonts w:ascii="宋体" w:hAnsi="宋体"/>
          <w:b/>
          <w:bCs/>
          <w:color w:val="000000"/>
          <w:sz w:val="28"/>
          <w:szCs w:val="28"/>
          <w:highlight w:val="none"/>
        </w:rPr>
      </w:pPr>
      <w:r>
        <w:rPr>
          <w:rFonts w:hint="eastAsia" w:ascii="宋体" w:hAnsi="宋体"/>
          <w:b/>
          <w:bCs/>
          <w:color w:val="000000"/>
          <w:sz w:val="28"/>
          <w:szCs w:val="28"/>
          <w:highlight w:val="none"/>
        </w:rPr>
        <w:t>3.1 主要供货范围：</w:t>
      </w:r>
    </w:p>
    <w:tbl>
      <w:tblPr>
        <w:tblStyle w:val="26"/>
        <w:tblW w:w="9906" w:type="dxa"/>
        <w:tblInd w:w="93" w:type="dxa"/>
        <w:tblLayout w:type="fixed"/>
        <w:tblCellMar>
          <w:top w:w="0" w:type="dxa"/>
          <w:left w:w="108" w:type="dxa"/>
          <w:bottom w:w="0" w:type="dxa"/>
          <w:right w:w="108" w:type="dxa"/>
        </w:tblCellMar>
      </w:tblPr>
      <w:tblGrid>
        <w:gridCol w:w="872"/>
        <w:gridCol w:w="1366"/>
        <w:gridCol w:w="3867"/>
        <w:gridCol w:w="917"/>
        <w:gridCol w:w="850"/>
        <w:gridCol w:w="2034"/>
      </w:tblGrid>
      <w:tr w14:paraId="44F28FB1">
        <w:tblPrEx>
          <w:tblCellMar>
            <w:top w:w="0" w:type="dxa"/>
            <w:left w:w="108" w:type="dxa"/>
            <w:bottom w:w="0" w:type="dxa"/>
            <w:right w:w="108" w:type="dxa"/>
          </w:tblCellMar>
        </w:tblPrEx>
        <w:trPr>
          <w:trHeight w:val="655" w:hRule="atLeast"/>
        </w:trPr>
        <w:tc>
          <w:tcPr>
            <w:tcW w:w="872"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350F3A63">
            <w:pPr>
              <w:widowControl/>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序号</w:t>
            </w:r>
          </w:p>
        </w:tc>
        <w:tc>
          <w:tcPr>
            <w:tcW w:w="1366"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1B595987">
            <w:pPr>
              <w:widowControl/>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设备名称</w:t>
            </w:r>
          </w:p>
        </w:tc>
        <w:tc>
          <w:tcPr>
            <w:tcW w:w="3867" w:type="dxa"/>
            <w:tcBorders>
              <w:top w:val="single" w:color="000000" w:sz="4" w:space="0"/>
              <w:left w:val="single" w:color="000000" w:sz="4" w:space="0"/>
              <w:bottom w:val="single" w:color="auto" w:sz="4" w:space="0"/>
              <w:right w:val="single" w:color="000000" w:sz="4" w:space="0"/>
            </w:tcBorders>
            <w:shd w:val="clear" w:color="auto" w:fill="auto"/>
            <w:vAlign w:val="center"/>
          </w:tcPr>
          <w:p w14:paraId="7CCCF054">
            <w:pPr>
              <w:widowControl/>
              <w:jc w:val="center"/>
              <w:textAlignment w:val="center"/>
              <w:rPr>
                <w:rFonts w:hint="eastAsia" w:ascii="宋体" w:hAnsi="宋体" w:eastAsia="宋体" w:cs="宋体"/>
                <w:b/>
                <w:bCs/>
                <w:color w:val="000000"/>
                <w:sz w:val="22"/>
                <w:szCs w:val="22"/>
                <w:highlight w:val="none"/>
                <w:lang w:val="en-US" w:eastAsia="zh-CN"/>
              </w:rPr>
            </w:pPr>
            <w:r>
              <w:rPr>
                <w:rFonts w:hint="eastAsia" w:ascii="宋体" w:hAnsi="宋体" w:eastAsia="宋体" w:cs="宋体"/>
                <w:b/>
                <w:bCs/>
                <w:color w:val="000000"/>
                <w:kern w:val="0"/>
                <w:sz w:val="22"/>
                <w:szCs w:val="22"/>
                <w:highlight w:val="none"/>
                <w:lang w:val="en-US" w:eastAsia="zh-CN" w:bidi="ar"/>
              </w:rPr>
              <w:t>规格型号</w:t>
            </w:r>
          </w:p>
        </w:tc>
        <w:tc>
          <w:tcPr>
            <w:tcW w:w="917"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12A10D2">
            <w:pPr>
              <w:widowControl/>
              <w:jc w:val="center"/>
              <w:textAlignment w:val="center"/>
              <w:rPr>
                <w:rFonts w:hint="default" w:ascii="宋体" w:hAnsi="宋体" w:eastAsia="宋体" w:cs="宋体"/>
                <w:b/>
                <w:bCs/>
                <w:color w:val="000000"/>
                <w:kern w:val="0"/>
                <w:sz w:val="22"/>
                <w:szCs w:val="22"/>
                <w:highlight w:val="none"/>
                <w:lang w:val="en-US" w:eastAsia="zh-CN" w:bidi="ar"/>
              </w:rPr>
            </w:pPr>
            <w:r>
              <w:rPr>
                <w:rFonts w:hint="eastAsia" w:ascii="宋体" w:hAnsi="宋体" w:cs="宋体"/>
                <w:b/>
                <w:bCs/>
                <w:color w:val="000000"/>
                <w:kern w:val="0"/>
                <w:sz w:val="22"/>
                <w:szCs w:val="22"/>
                <w:highlight w:val="none"/>
                <w:lang w:val="en-US" w:eastAsia="zh-CN" w:bidi="ar"/>
              </w:rPr>
              <w:t>单位</w:t>
            </w:r>
          </w:p>
        </w:tc>
        <w:tc>
          <w:tcPr>
            <w:tcW w:w="85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398E7FC3">
            <w:pPr>
              <w:widowControl/>
              <w:jc w:val="center"/>
              <w:textAlignment w:val="center"/>
              <w:rPr>
                <w:rFonts w:hint="eastAsia" w:ascii="宋体" w:hAnsi="宋体" w:eastAsia="宋体" w:cs="宋体"/>
                <w:b/>
                <w:bCs/>
                <w:color w:val="000000"/>
                <w:kern w:val="0"/>
                <w:sz w:val="22"/>
                <w:szCs w:val="22"/>
                <w:highlight w:val="none"/>
                <w:lang w:val="en-US" w:eastAsia="zh-CN" w:bidi="ar"/>
              </w:rPr>
            </w:pPr>
            <w:r>
              <w:rPr>
                <w:rFonts w:hint="eastAsia" w:ascii="宋体" w:hAnsi="宋体" w:eastAsia="宋体" w:cs="宋体"/>
                <w:b/>
                <w:bCs/>
                <w:color w:val="000000"/>
                <w:kern w:val="0"/>
                <w:sz w:val="22"/>
                <w:szCs w:val="22"/>
                <w:highlight w:val="none"/>
                <w:lang w:val="en-US" w:eastAsia="zh-CN" w:bidi="ar"/>
              </w:rPr>
              <w:t>数量</w:t>
            </w:r>
          </w:p>
        </w:tc>
        <w:tc>
          <w:tcPr>
            <w:tcW w:w="203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7CC03DD">
            <w:pPr>
              <w:widowControl/>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备注</w:t>
            </w:r>
          </w:p>
        </w:tc>
      </w:tr>
      <w:tr w14:paraId="2CBFBC53">
        <w:tblPrEx>
          <w:tblCellMar>
            <w:top w:w="0" w:type="dxa"/>
            <w:left w:w="108" w:type="dxa"/>
            <w:bottom w:w="0" w:type="dxa"/>
            <w:right w:w="108" w:type="dxa"/>
          </w:tblCellMar>
        </w:tblPrEx>
        <w:trPr>
          <w:trHeight w:val="955" w:hRule="atLeast"/>
        </w:trPr>
        <w:tc>
          <w:tcPr>
            <w:tcW w:w="87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00DE1D">
            <w:pPr>
              <w:jc w:val="center"/>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sz w:val="24"/>
                <w:szCs w:val="24"/>
                <w:highlight w:val="none"/>
                <w:u w:val="none"/>
                <w:lang w:val="en-US" w:eastAsia="zh-CN"/>
              </w:rPr>
              <w:t>1</w:t>
            </w:r>
          </w:p>
        </w:tc>
        <w:tc>
          <w:tcPr>
            <w:tcW w:w="13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3815EF">
            <w:pPr>
              <w:jc w:val="center"/>
              <w:rPr>
                <w:rFonts w:hint="eastAsia" w:asciiTheme="minorEastAsia" w:hAnsiTheme="minorEastAsia" w:eastAsiaTheme="minorEastAsia" w:cstheme="minorEastAsia"/>
                <w:color w:val="0D0D0D" w:themeColor="text1" w:themeTint="F2"/>
                <w:kern w:val="2"/>
                <w:sz w:val="36"/>
                <w:szCs w:val="36"/>
                <w:highlight w:val="none"/>
                <w:lang w:val="en-US" w:eastAsia="zh-CN" w:bidi="ar-SA"/>
                <w14:textFill>
                  <w14:solidFill>
                    <w14:schemeClr w14:val="tx1">
                      <w14:lumMod w14:val="95000"/>
                      <w14:lumOff w14:val="5000"/>
                    </w14:schemeClr>
                  </w14:solidFill>
                </w14:textFill>
              </w:rPr>
            </w:pPr>
            <w:r>
              <w:rPr>
                <w:rFonts w:hint="eastAsia" w:ascii="宋体" w:hAnsi="宋体" w:eastAsia="宋体" w:cs="宋体"/>
                <w:sz w:val="24"/>
                <w:szCs w:val="24"/>
                <w:highlight w:val="none"/>
                <w:u w:val="none"/>
                <w:lang w:val="en-US" w:eastAsia="zh-CN"/>
              </w:rPr>
              <w:t>线路保护测控装置</w:t>
            </w:r>
          </w:p>
        </w:tc>
        <w:tc>
          <w:tcPr>
            <w:tcW w:w="3867" w:type="dxa"/>
            <w:tcBorders>
              <w:top w:val="single" w:color="auto" w:sz="4" w:space="0"/>
              <w:left w:val="single" w:color="auto" w:sz="4" w:space="0"/>
              <w:bottom w:val="single" w:color="auto" w:sz="4" w:space="0"/>
              <w:right w:val="single" w:color="auto" w:sz="4" w:space="0"/>
            </w:tcBorders>
            <w:shd w:val="clear" w:color="auto" w:fill="auto"/>
            <w:vAlign w:val="center"/>
          </w:tcPr>
          <w:p w14:paraId="1860EFEB">
            <w:pPr>
              <w:pStyle w:val="2"/>
              <w:jc w:val="left"/>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线路保护测控装置\DC220V 5A/1路以太网 2路RS485 CSC-281S</w:t>
            </w:r>
          </w:p>
        </w:tc>
        <w:tc>
          <w:tcPr>
            <w:tcW w:w="9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7F4586">
            <w:pPr>
              <w:jc w:val="center"/>
              <w:rPr>
                <w:rFonts w:hint="default" w:ascii="宋体" w:hAnsi="宋体" w:cs="宋体"/>
                <w:b w:val="0"/>
                <w:bCs w:val="0"/>
                <w:color w:val="000000"/>
                <w:kern w:val="0"/>
                <w:sz w:val="32"/>
                <w:szCs w:val="32"/>
                <w:highlight w:val="none"/>
                <w:u w:val="none"/>
                <w:lang w:val="en-US" w:eastAsia="zh-CN" w:bidi="ar"/>
              </w:rPr>
            </w:pPr>
            <w:r>
              <w:rPr>
                <w:rFonts w:hint="default" w:ascii="宋体" w:hAnsi="宋体" w:eastAsia="宋体" w:cs="宋体"/>
                <w:sz w:val="24"/>
                <w:szCs w:val="24"/>
                <w:highlight w:val="none"/>
                <w:u w:val="none"/>
                <w:lang w:val="en-US" w:eastAsia="zh-CN"/>
              </w:rPr>
              <w:t>台</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FEC206">
            <w:pPr>
              <w:jc w:val="center"/>
              <w:rPr>
                <w:rFonts w:hint="eastAsia" w:ascii="宋体" w:hAnsi="宋体" w:eastAsia="宋体" w:cs="宋体"/>
                <w:b w:val="0"/>
                <w:bCs w:val="0"/>
                <w:color w:val="000000"/>
                <w:kern w:val="0"/>
                <w:sz w:val="28"/>
                <w:szCs w:val="28"/>
                <w:highlight w:val="none"/>
                <w:u w:val="none"/>
                <w:lang w:val="en-US" w:eastAsia="zh-CN" w:bidi="ar"/>
              </w:rPr>
            </w:pPr>
            <w:r>
              <w:rPr>
                <w:rFonts w:hint="eastAsia" w:ascii="宋体" w:hAnsi="宋体" w:eastAsia="宋体" w:cs="宋体"/>
                <w:sz w:val="24"/>
                <w:szCs w:val="24"/>
                <w:highlight w:val="none"/>
                <w:u w:val="none"/>
                <w:lang w:val="en-US" w:eastAsia="zh-CN"/>
              </w:rPr>
              <w:t>3</w:t>
            </w:r>
          </w:p>
        </w:tc>
        <w:tc>
          <w:tcPr>
            <w:tcW w:w="2034" w:type="dxa"/>
            <w:vMerge w:val="restart"/>
            <w:tcBorders>
              <w:top w:val="single" w:color="auto" w:sz="4" w:space="0"/>
              <w:left w:val="single" w:color="auto" w:sz="4" w:space="0"/>
              <w:right w:val="single" w:color="auto" w:sz="4" w:space="0"/>
            </w:tcBorders>
            <w:shd w:val="clear" w:color="auto" w:fill="auto"/>
            <w:noWrap/>
            <w:vAlign w:val="center"/>
          </w:tcPr>
          <w:p w14:paraId="4AA44BE4">
            <w:pPr>
              <w:jc w:val="center"/>
              <w:rPr>
                <w:rFonts w:hint="default" w:asciiTheme="majorEastAsia" w:hAnsiTheme="majorEastAsia" w:eastAsiaTheme="majorEastAsia" w:cstheme="majorEastAsia"/>
                <w:sz w:val="24"/>
                <w:szCs w:val="22"/>
                <w:highlight w:val="none"/>
                <w:lang w:val="en-US" w:eastAsia="zh-CN"/>
              </w:rPr>
            </w:pPr>
          </w:p>
        </w:tc>
      </w:tr>
      <w:tr w14:paraId="796F594F">
        <w:tblPrEx>
          <w:tblCellMar>
            <w:top w:w="0" w:type="dxa"/>
            <w:left w:w="108" w:type="dxa"/>
            <w:bottom w:w="0" w:type="dxa"/>
            <w:right w:w="108" w:type="dxa"/>
          </w:tblCellMar>
        </w:tblPrEx>
        <w:trPr>
          <w:trHeight w:val="955" w:hRule="atLeast"/>
        </w:trPr>
        <w:tc>
          <w:tcPr>
            <w:tcW w:w="87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3CE389">
            <w:pPr>
              <w:jc w:val="center"/>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2</w:t>
            </w:r>
          </w:p>
        </w:tc>
        <w:tc>
          <w:tcPr>
            <w:tcW w:w="13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75CC32">
            <w:pPr>
              <w:jc w:val="center"/>
              <w:rPr>
                <w:rFonts w:hint="eastAsia" w:asciiTheme="minorEastAsia" w:hAnsiTheme="minorEastAsia" w:eastAsiaTheme="minorEastAsia" w:cstheme="minorEastAsia"/>
                <w:color w:val="0D0D0D" w:themeColor="text1" w:themeTint="F2"/>
                <w:kern w:val="2"/>
                <w:sz w:val="36"/>
                <w:szCs w:val="36"/>
                <w:highlight w:val="none"/>
                <w:lang w:val="en-US" w:eastAsia="zh-CN" w:bidi="ar-SA"/>
                <w14:textFill>
                  <w14:solidFill>
                    <w14:schemeClr w14:val="tx1">
                      <w14:lumMod w14:val="95000"/>
                      <w14:lumOff w14:val="5000"/>
                    </w14:schemeClr>
                  </w14:solidFill>
                </w14:textFill>
              </w:rPr>
            </w:pPr>
            <w:r>
              <w:rPr>
                <w:rFonts w:hint="eastAsia" w:ascii="宋体" w:hAnsi="宋体" w:eastAsia="宋体" w:cs="宋体"/>
                <w:sz w:val="24"/>
                <w:szCs w:val="24"/>
                <w:highlight w:val="none"/>
                <w:u w:val="none"/>
                <w:lang w:val="en-US" w:eastAsia="zh-CN"/>
              </w:rPr>
              <w:t>所用变保护测控装置</w:t>
            </w:r>
          </w:p>
        </w:tc>
        <w:tc>
          <w:tcPr>
            <w:tcW w:w="3867" w:type="dxa"/>
            <w:tcBorders>
              <w:top w:val="single" w:color="auto" w:sz="4" w:space="0"/>
              <w:left w:val="single" w:color="auto" w:sz="4" w:space="0"/>
              <w:bottom w:val="single" w:color="auto" w:sz="4" w:space="0"/>
              <w:right w:val="single" w:color="auto" w:sz="4" w:space="0"/>
            </w:tcBorders>
            <w:shd w:val="clear" w:color="auto" w:fill="auto"/>
            <w:vAlign w:val="center"/>
          </w:tcPr>
          <w:p w14:paraId="394AE67C">
            <w:pPr>
              <w:pStyle w:val="2"/>
              <w:jc w:val="left"/>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所用变保护测控装置\DC220V 5A/1路以太网 2路RS485 CSC-282S</w:t>
            </w:r>
          </w:p>
        </w:tc>
        <w:tc>
          <w:tcPr>
            <w:tcW w:w="9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65F532">
            <w:pPr>
              <w:jc w:val="center"/>
              <w:rPr>
                <w:rFonts w:hint="default" w:ascii="宋体" w:hAnsi="宋体" w:eastAsia="宋体" w:cs="宋体"/>
                <w:sz w:val="24"/>
                <w:szCs w:val="24"/>
                <w:highlight w:val="none"/>
                <w:u w:val="none"/>
                <w:lang w:val="en-US" w:eastAsia="zh-CN"/>
              </w:rPr>
            </w:pPr>
            <w:r>
              <w:rPr>
                <w:rFonts w:hint="default" w:ascii="宋体" w:hAnsi="宋体" w:eastAsia="宋体" w:cs="宋体"/>
                <w:sz w:val="24"/>
                <w:szCs w:val="24"/>
                <w:highlight w:val="none"/>
                <w:u w:val="none"/>
                <w:lang w:val="en-US" w:eastAsia="zh-CN"/>
              </w:rPr>
              <w:t>台</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234264">
            <w:pPr>
              <w:jc w:val="center"/>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4</w:t>
            </w:r>
          </w:p>
        </w:tc>
        <w:tc>
          <w:tcPr>
            <w:tcW w:w="2034" w:type="dxa"/>
            <w:vMerge w:val="continue"/>
            <w:tcBorders>
              <w:left w:val="single" w:color="auto" w:sz="4" w:space="0"/>
              <w:right w:val="single" w:color="auto" w:sz="4" w:space="0"/>
            </w:tcBorders>
            <w:shd w:val="clear" w:color="auto" w:fill="auto"/>
            <w:noWrap/>
            <w:vAlign w:val="center"/>
          </w:tcPr>
          <w:p w14:paraId="66C681B2">
            <w:pPr>
              <w:jc w:val="left"/>
              <w:rPr>
                <w:rFonts w:hint="eastAsia" w:asciiTheme="majorEastAsia" w:hAnsiTheme="majorEastAsia" w:eastAsiaTheme="majorEastAsia" w:cstheme="majorEastAsia"/>
                <w:sz w:val="24"/>
                <w:szCs w:val="22"/>
                <w:highlight w:val="none"/>
                <w:lang w:val="en-US" w:eastAsia="zh-CN"/>
              </w:rPr>
            </w:pPr>
          </w:p>
        </w:tc>
      </w:tr>
      <w:tr w14:paraId="239EBC99">
        <w:tblPrEx>
          <w:tblCellMar>
            <w:top w:w="0" w:type="dxa"/>
            <w:left w:w="108" w:type="dxa"/>
            <w:bottom w:w="0" w:type="dxa"/>
            <w:right w:w="108" w:type="dxa"/>
          </w:tblCellMar>
        </w:tblPrEx>
        <w:trPr>
          <w:trHeight w:val="955" w:hRule="atLeast"/>
        </w:trPr>
        <w:tc>
          <w:tcPr>
            <w:tcW w:w="87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9ACC1B">
            <w:pPr>
              <w:jc w:val="center"/>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3</w:t>
            </w:r>
          </w:p>
        </w:tc>
        <w:tc>
          <w:tcPr>
            <w:tcW w:w="13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3123AB">
            <w:pPr>
              <w:jc w:val="center"/>
              <w:rPr>
                <w:rFonts w:hint="eastAsia" w:asciiTheme="minorEastAsia" w:hAnsiTheme="minorEastAsia" w:eastAsiaTheme="minorEastAsia" w:cstheme="minorEastAsia"/>
                <w:color w:val="0D0D0D" w:themeColor="text1" w:themeTint="F2"/>
                <w:kern w:val="2"/>
                <w:sz w:val="36"/>
                <w:szCs w:val="36"/>
                <w:highlight w:val="none"/>
                <w:lang w:val="en-US" w:eastAsia="zh-CN" w:bidi="ar-SA"/>
                <w14:textFill>
                  <w14:solidFill>
                    <w14:schemeClr w14:val="tx1">
                      <w14:lumMod w14:val="95000"/>
                      <w14:lumOff w14:val="5000"/>
                    </w14:schemeClr>
                  </w14:solidFill>
                </w14:textFill>
              </w:rPr>
            </w:pPr>
            <w:r>
              <w:rPr>
                <w:rFonts w:hint="eastAsia" w:ascii="宋体" w:hAnsi="宋体" w:eastAsia="宋体" w:cs="宋体"/>
                <w:sz w:val="24"/>
                <w:szCs w:val="24"/>
                <w:highlight w:val="none"/>
                <w:u w:val="none"/>
                <w:lang w:val="en-US" w:eastAsia="zh-CN"/>
              </w:rPr>
              <w:t>电动机保护测控装置</w:t>
            </w:r>
          </w:p>
        </w:tc>
        <w:tc>
          <w:tcPr>
            <w:tcW w:w="3867" w:type="dxa"/>
            <w:tcBorders>
              <w:top w:val="single" w:color="auto" w:sz="4" w:space="0"/>
              <w:left w:val="single" w:color="auto" w:sz="4" w:space="0"/>
              <w:bottom w:val="single" w:color="auto" w:sz="4" w:space="0"/>
              <w:right w:val="single" w:color="auto" w:sz="4" w:space="0"/>
            </w:tcBorders>
            <w:shd w:val="clear" w:color="auto" w:fill="auto"/>
            <w:vAlign w:val="center"/>
          </w:tcPr>
          <w:p w14:paraId="138CA30B">
            <w:pPr>
              <w:pStyle w:val="2"/>
              <w:jc w:val="left"/>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电动机保护测控装置\DC220V 5A/1路以太网 2路RS485 CSC-283S</w:t>
            </w:r>
          </w:p>
        </w:tc>
        <w:tc>
          <w:tcPr>
            <w:tcW w:w="9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EFF1AA">
            <w:pPr>
              <w:jc w:val="center"/>
              <w:rPr>
                <w:rFonts w:hint="default" w:ascii="宋体" w:hAnsi="宋体" w:eastAsia="宋体" w:cs="宋体"/>
                <w:sz w:val="24"/>
                <w:szCs w:val="24"/>
                <w:highlight w:val="none"/>
                <w:u w:val="none"/>
                <w:lang w:val="en-US" w:eastAsia="zh-CN"/>
              </w:rPr>
            </w:pPr>
            <w:r>
              <w:rPr>
                <w:rFonts w:hint="default" w:ascii="宋体" w:hAnsi="宋体" w:eastAsia="宋体" w:cs="宋体"/>
                <w:sz w:val="24"/>
                <w:szCs w:val="24"/>
                <w:highlight w:val="none"/>
                <w:u w:val="none"/>
                <w:lang w:val="en-US" w:eastAsia="zh-CN"/>
              </w:rPr>
              <w:t>台</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A073CF">
            <w:pPr>
              <w:jc w:val="center"/>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18</w:t>
            </w:r>
          </w:p>
        </w:tc>
        <w:tc>
          <w:tcPr>
            <w:tcW w:w="2034" w:type="dxa"/>
            <w:vMerge w:val="continue"/>
            <w:tcBorders>
              <w:left w:val="single" w:color="auto" w:sz="4" w:space="0"/>
              <w:right w:val="single" w:color="auto" w:sz="4" w:space="0"/>
            </w:tcBorders>
            <w:shd w:val="clear" w:color="auto" w:fill="auto"/>
            <w:noWrap/>
            <w:vAlign w:val="center"/>
          </w:tcPr>
          <w:p w14:paraId="6713C0D1">
            <w:pPr>
              <w:jc w:val="left"/>
              <w:rPr>
                <w:rFonts w:hint="eastAsia" w:asciiTheme="majorEastAsia" w:hAnsiTheme="majorEastAsia" w:eastAsiaTheme="majorEastAsia" w:cstheme="majorEastAsia"/>
                <w:sz w:val="24"/>
                <w:szCs w:val="22"/>
                <w:highlight w:val="none"/>
                <w:lang w:val="en-US" w:eastAsia="zh-CN"/>
              </w:rPr>
            </w:pPr>
          </w:p>
        </w:tc>
      </w:tr>
      <w:tr w14:paraId="233C33BF">
        <w:tblPrEx>
          <w:tblCellMar>
            <w:top w:w="0" w:type="dxa"/>
            <w:left w:w="108" w:type="dxa"/>
            <w:bottom w:w="0" w:type="dxa"/>
            <w:right w:w="108" w:type="dxa"/>
          </w:tblCellMar>
        </w:tblPrEx>
        <w:trPr>
          <w:trHeight w:val="955" w:hRule="atLeast"/>
        </w:trPr>
        <w:tc>
          <w:tcPr>
            <w:tcW w:w="87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F08C8C">
            <w:pPr>
              <w:jc w:val="center"/>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4</w:t>
            </w:r>
          </w:p>
        </w:tc>
        <w:tc>
          <w:tcPr>
            <w:tcW w:w="13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CC1BF0">
            <w:pPr>
              <w:jc w:val="center"/>
              <w:rPr>
                <w:rFonts w:hint="eastAsia" w:asciiTheme="minorEastAsia" w:hAnsiTheme="minorEastAsia" w:eastAsiaTheme="minorEastAsia" w:cstheme="minorEastAsia"/>
                <w:color w:val="0D0D0D" w:themeColor="text1" w:themeTint="F2"/>
                <w:kern w:val="2"/>
                <w:sz w:val="36"/>
                <w:szCs w:val="36"/>
                <w:highlight w:val="none"/>
                <w:lang w:val="en-US" w:eastAsia="zh-CN" w:bidi="ar-SA"/>
                <w14:textFill>
                  <w14:solidFill>
                    <w14:schemeClr w14:val="tx1">
                      <w14:lumMod w14:val="95000"/>
                      <w14:lumOff w14:val="5000"/>
                    </w14:schemeClr>
                  </w14:solidFill>
                </w14:textFill>
              </w:rPr>
            </w:pPr>
            <w:r>
              <w:rPr>
                <w:rFonts w:hint="eastAsia" w:ascii="宋体" w:hAnsi="宋体" w:eastAsia="宋体" w:cs="宋体"/>
                <w:sz w:val="24"/>
                <w:szCs w:val="24"/>
                <w:highlight w:val="none"/>
                <w:u w:val="none"/>
                <w:lang w:val="en-US" w:eastAsia="zh-CN"/>
              </w:rPr>
              <w:t>PT并列测控装置</w:t>
            </w:r>
          </w:p>
        </w:tc>
        <w:tc>
          <w:tcPr>
            <w:tcW w:w="3867" w:type="dxa"/>
            <w:tcBorders>
              <w:top w:val="single" w:color="auto" w:sz="4" w:space="0"/>
              <w:left w:val="single" w:color="auto" w:sz="4" w:space="0"/>
              <w:bottom w:val="single" w:color="auto" w:sz="4" w:space="0"/>
              <w:right w:val="single" w:color="auto" w:sz="4" w:space="0"/>
            </w:tcBorders>
            <w:shd w:val="clear" w:color="auto" w:fill="auto"/>
            <w:vAlign w:val="center"/>
          </w:tcPr>
          <w:p w14:paraId="15DA6458">
            <w:pPr>
              <w:pStyle w:val="2"/>
              <w:jc w:val="left"/>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PT并列测控装置\DC220V 5A/1路以太网 2路RS485 CSC-287S</w:t>
            </w:r>
          </w:p>
        </w:tc>
        <w:tc>
          <w:tcPr>
            <w:tcW w:w="9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BE8B5B">
            <w:pPr>
              <w:jc w:val="center"/>
              <w:rPr>
                <w:rFonts w:hint="default" w:ascii="宋体" w:hAnsi="宋体" w:eastAsia="宋体" w:cs="宋体"/>
                <w:sz w:val="24"/>
                <w:szCs w:val="24"/>
                <w:highlight w:val="none"/>
                <w:u w:val="none"/>
                <w:lang w:val="en-US" w:eastAsia="zh-CN"/>
              </w:rPr>
            </w:pPr>
            <w:r>
              <w:rPr>
                <w:rFonts w:hint="default" w:ascii="宋体" w:hAnsi="宋体" w:eastAsia="宋体" w:cs="宋体"/>
                <w:sz w:val="24"/>
                <w:szCs w:val="24"/>
                <w:highlight w:val="none"/>
                <w:u w:val="none"/>
                <w:lang w:val="en-US" w:eastAsia="zh-CN"/>
              </w:rPr>
              <w:t>台</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18DA04">
            <w:pPr>
              <w:jc w:val="center"/>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1</w:t>
            </w:r>
          </w:p>
        </w:tc>
        <w:tc>
          <w:tcPr>
            <w:tcW w:w="2034" w:type="dxa"/>
            <w:vMerge w:val="continue"/>
            <w:tcBorders>
              <w:left w:val="single" w:color="auto" w:sz="4" w:space="0"/>
              <w:right w:val="single" w:color="auto" w:sz="4" w:space="0"/>
            </w:tcBorders>
            <w:shd w:val="clear" w:color="auto" w:fill="auto"/>
            <w:noWrap/>
            <w:vAlign w:val="center"/>
          </w:tcPr>
          <w:p w14:paraId="54EEFC6A">
            <w:pPr>
              <w:jc w:val="left"/>
              <w:rPr>
                <w:rFonts w:hint="eastAsia" w:asciiTheme="majorEastAsia" w:hAnsiTheme="majorEastAsia" w:eastAsiaTheme="majorEastAsia" w:cstheme="majorEastAsia"/>
                <w:sz w:val="24"/>
                <w:szCs w:val="22"/>
                <w:highlight w:val="none"/>
                <w:lang w:val="en-US" w:eastAsia="zh-CN"/>
              </w:rPr>
            </w:pPr>
          </w:p>
        </w:tc>
      </w:tr>
      <w:tr w14:paraId="2B8F6787">
        <w:tblPrEx>
          <w:tblCellMar>
            <w:top w:w="0" w:type="dxa"/>
            <w:left w:w="108" w:type="dxa"/>
            <w:bottom w:w="0" w:type="dxa"/>
            <w:right w:w="108" w:type="dxa"/>
          </w:tblCellMar>
        </w:tblPrEx>
        <w:trPr>
          <w:trHeight w:val="955" w:hRule="atLeast"/>
        </w:trPr>
        <w:tc>
          <w:tcPr>
            <w:tcW w:w="87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B199AC">
            <w:pPr>
              <w:jc w:val="center"/>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5</w:t>
            </w:r>
          </w:p>
        </w:tc>
        <w:tc>
          <w:tcPr>
            <w:tcW w:w="13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DDF9FB">
            <w:pPr>
              <w:jc w:val="center"/>
              <w:rPr>
                <w:rFonts w:hint="eastAsia" w:asciiTheme="minorEastAsia" w:hAnsiTheme="minorEastAsia" w:eastAsiaTheme="minorEastAsia" w:cstheme="minorEastAsia"/>
                <w:color w:val="0D0D0D" w:themeColor="text1" w:themeTint="F2"/>
                <w:kern w:val="2"/>
                <w:sz w:val="36"/>
                <w:szCs w:val="36"/>
                <w:highlight w:val="none"/>
                <w:lang w:val="en-US" w:eastAsia="zh-CN" w:bidi="ar-SA"/>
                <w14:textFill>
                  <w14:solidFill>
                    <w14:schemeClr w14:val="tx1">
                      <w14:lumMod w14:val="95000"/>
                      <w14:lumOff w14:val="5000"/>
                    </w14:schemeClr>
                  </w14:solidFill>
                </w14:textFill>
              </w:rPr>
            </w:pPr>
            <w:r>
              <w:rPr>
                <w:rFonts w:hint="eastAsia" w:ascii="宋体" w:hAnsi="宋体" w:eastAsia="宋体" w:cs="宋体"/>
                <w:sz w:val="24"/>
                <w:szCs w:val="24"/>
                <w:highlight w:val="none"/>
                <w:u w:val="none"/>
                <w:lang w:val="en-US" w:eastAsia="zh-CN"/>
              </w:rPr>
              <w:t>备用电源自动投入装置</w:t>
            </w:r>
          </w:p>
        </w:tc>
        <w:tc>
          <w:tcPr>
            <w:tcW w:w="3867" w:type="dxa"/>
            <w:tcBorders>
              <w:top w:val="single" w:color="auto" w:sz="4" w:space="0"/>
              <w:left w:val="single" w:color="auto" w:sz="4" w:space="0"/>
              <w:bottom w:val="single" w:color="auto" w:sz="4" w:space="0"/>
              <w:right w:val="single" w:color="auto" w:sz="4" w:space="0"/>
            </w:tcBorders>
            <w:shd w:val="clear" w:color="auto" w:fill="auto"/>
            <w:vAlign w:val="center"/>
          </w:tcPr>
          <w:p w14:paraId="0393E4F2">
            <w:pPr>
              <w:pStyle w:val="2"/>
              <w:jc w:val="left"/>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备用电源自动投入装置\DC220V 5A/1路以太网 2路RS485 CSD-246A-G</w:t>
            </w:r>
          </w:p>
        </w:tc>
        <w:tc>
          <w:tcPr>
            <w:tcW w:w="9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B98F69">
            <w:pPr>
              <w:jc w:val="center"/>
              <w:rPr>
                <w:rFonts w:hint="default" w:ascii="宋体" w:hAnsi="宋体" w:eastAsia="宋体" w:cs="宋体"/>
                <w:sz w:val="24"/>
                <w:szCs w:val="24"/>
                <w:highlight w:val="none"/>
                <w:u w:val="none"/>
                <w:lang w:val="en-US" w:eastAsia="zh-CN"/>
              </w:rPr>
            </w:pPr>
            <w:r>
              <w:rPr>
                <w:rFonts w:hint="default" w:ascii="宋体" w:hAnsi="宋体" w:eastAsia="宋体" w:cs="宋体"/>
                <w:sz w:val="24"/>
                <w:szCs w:val="24"/>
                <w:highlight w:val="none"/>
                <w:u w:val="none"/>
                <w:lang w:val="en-US" w:eastAsia="zh-CN"/>
              </w:rPr>
              <w:t>台</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56BA4F">
            <w:pPr>
              <w:jc w:val="center"/>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1</w:t>
            </w:r>
          </w:p>
        </w:tc>
        <w:tc>
          <w:tcPr>
            <w:tcW w:w="2034" w:type="dxa"/>
            <w:vMerge w:val="continue"/>
            <w:tcBorders>
              <w:left w:val="single" w:color="auto" w:sz="4" w:space="0"/>
              <w:right w:val="single" w:color="auto" w:sz="4" w:space="0"/>
            </w:tcBorders>
            <w:shd w:val="clear" w:color="auto" w:fill="auto"/>
            <w:noWrap/>
            <w:vAlign w:val="center"/>
          </w:tcPr>
          <w:p w14:paraId="3B4827BA">
            <w:pPr>
              <w:jc w:val="left"/>
              <w:rPr>
                <w:rFonts w:hint="eastAsia" w:asciiTheme="majorEastAsia" w:hAnsiTheme="majorEastAsia" w:eastAsiaTheme="majorEastAsia" w:cstheme="majorEastAsia"/>
                <w:sz w:val="24"/>
                <w:szCs w:val="22"/>
                <w:highlight w:val="none"/>
                <w:lang w:val="en-US" w:eastAsia="zh-CN"/>
              </w:rPr>
            </w:pPr>
          </w:p>
        </w:tc>
      </w:tr>
      <w:tr w14:paraId="378F8DBA">
        <w:tblPrEx>
          <w:tblCellMar>
            <w:top w:w="0" w:type="dxa"/>
            <w:left w:w="108" w:type="dxa"/>
            <w:bottom w:w="0" w:type="dxa"/>
            <w:right w:w="108" w:type="dxa"/>
          </w:tblCellMar>
        </w:tblPrEx>
        <w:trPr>
          <w:trHeight w:val="619" w:hRule="atLeast"/>
        </w:trPr>
        <w:tc>
          <w:tcPr>
            <w:tcW w:w="87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9B6AC4">
            <w:pPr>
              <w:jc w:val="center"/>
              <w:rPr>
                <w:rFonts w:hint="eastAsia" w:ascii="宋体" w:hAnsi="宋体" w:eastAsia="宋体" w:cs="宋体"/>
                <w:sz w:val="24"/>
                <w:szCs w:val="24"/>
                <w:highlight w:val="none"/>
                <w:u w:val="none"/>
                <w:lang w:val="en-US" w:eastAsia="zh-CN"/>
              </w:rPr>
            </w:pPr>
            <w:r>
              <w:rPr>
                <w:rFonts w:hint="eastAsia" w:ascii="宋体" w:hAnsi="宋体" w:cs="宋体"/>
                <w:sz w:val="24"/>
                <w:szCs w:val="24"/>
                <w:highlight w:val="none"/>
                <w:u w:val="none"/>
                <w:lang w:val="en-US" w:eastAsia="zh-CN"/>
              </w:rPr>
              <w:t>7</w:t>
            </w:r>
          </w:p>
        </w:tc>
        <w:tc>
          <w:tcPr>
            <w:tcW w:w="13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A0C24E">
            <w:pPr>
              <w:widowControl/>
              <w:jc w:val="center"/>
              <w:textAlignment w:val="center"/>
              <w:rPr>
                <w:rFonts w:hint="eastAsia" w:ascii="宋体" w:hAnsi="宋体" w:eastAsia="宋体" w:cs="宋体"/>
                <w:b w:val="0"/>
                <w:bCs w:val="0"/>
                <w:color w:val="000000"/>
                <w:kern w:val="0"/>
                <w:sz w:val="32"/>
                <w:szCs w:val="32"/>
                <w:highlight w:val="none"/>
                <w:lang w:val="en-US" w:eastAsia="zh-CN" w:bidi="ar"/>
              </w:rPr>
            </w:pPr>
            <w:r>
              <w:rPr>
                <w:rFonts w:hint="eastAsia" w:ascii="宋体" w:hAnsi="宋体" w:eastAsia="宋体" w:cs="宋体"/>
                <w:sz w:val="24"/>
                <w:szCs w:val="24"/>
                <w:highlight w:val="none"/>
                <w:u w:val="none"/>
                <w:lang w:val="en-US" w:eastAsia="zh-CN"/>
              </w:rPr>
              <w:t>合计</w:t>
            </w:r>
          </w:p>
        </w:tc>
        <w:tc>
          <w:tcPr>
            <w:tcW w:w="3867" w:type="dxa"/>
            <w:tcBorders>
              <w:top w:val="single" w:color="auto" w:sz="4" w:space="0"/>
              <w:left w:val="single" w:color="auto" w:sz="4" w:space="0"/>
              <w:bottom w:val="single" w:color="auto" w:sz="4" w:space="0"/>
              <w:right w:val="single" w:color="auto" w:sz="4" w:space="0"/>
            </w:tcBorders>
            <w:shd w:val="clear" w:color="auto" w:fill="auto"/>
            <w:vAlign w:val="center"/>
          </w:tcPr>
          <w:p w14:paraId="66394AF7">
            <w:pPr>
              <w:widowControl/>
              <w:jc w:val="center"/>
              <w:textAlignment w:val="center"/>
              <w:rPr>
                <w:rFonts w:hint="eastAsia" w:ascii="宋体" w:hAnsi="宋体" w:eastAsia="宋体" w:cs="宋体"/>
                <w:b w:val="0"/>
                <w:bCs w:val="0"/>
                <w:color w:val="000000"/>
                <w:kern w:val="0"/>
                <w:sz w:val="32"/>
                <w:szCs w:val="32"/>
                <w:highlight w:val="none"/>
                <w:lang w:bidi="ar"/>
              </w:rPr>
            </w:pPr>
          </w:p>
        </w:tc>
        <w:tc>
          <w:tcPr>
            <w:tcW w:w="9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E528F5">
            <w:pPr>
              <w:widowControl/>
              <w:jc w:val="center"/>
              <w:textAlignment w:val="center"/>
              <w:rPr>
                <w:rFonts w:hint="eastAsia" w:ascii="宋体" w:hAnsi="宋体" w:cs="宋体"/>
                <w:b w:val="0"/>
                <w:bCs w:val="0"/>
                <w:color w:val="000000"/>
                <w:kern w:val="0"/>
                <w:sz w:val="32"/>
                <w:szCs w:val="32"/>
                <w:highlight w:val="none"/>
                <w:lang w:val="en-US" w:eastAsia="zh-CN" w:bidi="ar"/>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317DED">
            <w:pPr>
              <w:jc w:val="center"/>
              <w:rPr>
                <w:rFonts w:hint="default" w:ascii="宋体" w:hAnsi="宋体" w:eastAsia="宋体" w:cs="宋体"/>
                <w:sz w:val="24"/>
                <w:szCs w:val="24"/>
                <w:highlight w:val="none"/>
                <w:u w:val="none"/>
                <w:lang w:val="en-US" w:eastAsia="zh-CN"/>
              </w:rPr>
            </w:pPr>
            <w:r>
              <w:rPr>
                <w:rFonts w:hint="eastAsia" w:ascii="宋体" w:hAnsi="宋体" w:cs="宋体"/>
                <w:sz w:val="24"/>
                <w:szCs w:val="24"/>
                <w:highlight w:val="none"/>
                <w:u w:val="none"/>
                <w:lang w:val="en-US" w:eastAsia="zh-CN"/>
              </w:rPr>
              <w:t>27</w:t>
            </w:r>
          </w:p>
        </w:tc>
        <w:tc>
          <w:tcPr>
            <w:tcW w:w="20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DC022C">
            <w:pPr>
              <w:widowControl/>
              <w:jc w:val="center"/>
              <w:textAlignment w:val="center"/>
              <w:rPr>
                <w:rFonts w:hint="eastAsia" w:ascii="宋体" w:hAnsi="宋体" w:eastAsia="宋体" w:cs="宋体"/>
                <w:b w:val="0"/>
                <w:bCs w:val="0"/>
                <w:color w:val="000000"/>
                <w:kern w:val="0"/>
                <w:sz w:val="28"/>
                <w:szCs w:val="28"/>
                <w:highlight w:val="none"/>
                <w:lang w:val="en-US" w:eastAsia="zh-CN" w:bidi="ar"/>
              </w:rPr>
            </w:pPr>
          </w:p>
        </w:tc>
      </w:tr>
      <w:tr w14:paraId="48F2607D">
        <w:tblPrEx>
          <w:tblCellMar>
            <w:top w:w="0" w:type="dxa"/>
            <w:left w:w="108" w:type="dxa"/>
            <w:bottom w:w="0" w:type="dxa"/>
            <w:right w:w="108" w:type="dxa"/>
          </w:tblCellMar>
        </w:tblPrEx>
        <w:trPr>
          <w:trHeight w:val="525" w:hRule="atLeast"/>
        </w:trPr>
        <w:tc>
          <w:tcPr>
            <w:tcW w:w="9906"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7EC6EC92">
            <w:pPr>
              <w:widowControl/>
              <w:jc w:val="left"/>
              <w:textAlignment w:val="center"/>
              <w:rPr>
                <w:rFonts w:hint="default"/>
                <w:highlight w:val="none"/>
                <w:lang w:val="en-US" w:eastAsia="zh-CN"/>
              </w:rPr>
            </w:pPr>
            <w:r>
              <w:rPr>
                <w:rFonts w:hint="eastAsia" w:asciiTheme="minorEastAsia" w:hAnsiTheme="minorEastAsia" w:eastAsiaTheme="minorEastAsia" w:cstheme="minorEastAsia"/>
                <w:color w:val="auto"/>
                <w:kern w:val="2"/>
                <w:sz w:val="28"/>
                <w:szCs w:val="28"/>
                <w:highlight w:val="none"/>
                <w:lang w:val="en-US" w:eastAsia="zh-CN" w:bidi="ar-SA"/>
              </w:rPr>
              <w:t>备注：需参照或相当于北京四方。</w:t>
            </w:r>
          </w:p>
        </w:tc>
      </w:tr>
    </w:tbl>
    <w:p w14:paraId="1741F5E1">
      <w:pPr>
        <w:adjustRightInd w:val="0"/>
        <w:snapToGrid w:val="0"/>
        <w:outlineLvl w:val="1"/>
        <w:rPr>
          <w:rFonts w:hint="eastAsia" w:ascii="宋体" w:hAnsi="宋体" w:cs="宋体"/>
          <w:b/>
          <w:bCs/>
          <w:color w:val="000000"/>
          <w:sz w:val="24"/>
          <w:szCs w:val="24"/>
          <w:highlight w:val="none"/>
          <w:lang w:val="en-US" w:eastAsia="zh-CN"/>
        </w:rPr>
      </w:pPr>
    </w:p>
    <w:p w14:paraId="17F53D8C">
      <w:pPr>
        <w:adjustRightInd w:val="0"/>
        <w:snapToGrid w:val="0"/>
        <w:outlineLvl w:val="1"/>
        <w:rPr>
          <w:rFonts w:hint="default"/>
          <w:highlight w:val="none"/>
          <w:lang w:val="en-US" w:eastAsia="zh-CN"/>
        </w:rPr>
      </w:pPr>
      <w:r>
        <w:rPr>
          <w:rFonts w:hint="eastAsia" w:ascii="宋体" w:hAnsi="宋体" w:cs="Times New Roman"/>
          <w:b/>
          <w:bCs/>
          <w:color w:val="000000"/>
          <w:sz w:val="28"/>
          <w:szCs w:val="28"/>
          <w:highlight w:val="none"/>
          <w:lang w:val="en-US" w:eastAsia="zh-CN"/>
        </w:rPr>
        <w:t>3.2技术要求</w:t>
      </w:r>
    </w:p>
    <w:p w14:paraId="0F9CB267">
      <w:pPr>
        <w:pStyle w:val="16"/>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560" w:firstLineChars="200"/>
        <w:textAlignment w:val="auto"/>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3.2.1电力自动化装置：</w:t>
      </w:r>
    </w:p>
    <w:p w14:paraId="78F65D7F">
      <w:pPr>
        <w:pStyle w:val="16"/>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560" w:firstLineChars="200"/>
        <w:textAlignment w:val="auto"/>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（1）电力自动化系统由微机保护测控装置、现场总线、监控主机、操作站等构成的综合自动化系统，原后台为北京四方。</w:t>
      </w:r>
    </w:p>
    <w:p w14:paraId="1511322B">
      <w:pPr>
        <w:pStyle w:val="16"/>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560" w:firstLineChars="200"/>
        <w:textAlignment w:val="auto"/>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2）保护测控单元：各种保护及信号单独出口冗余的双CPU设计，保护、监控功能相对独立。遥控投切保护遥控复归信号，保护定值在综合保护器及上位机修改。装置具有开关的防跳继电器和常规控制回路接口。保护电流和测量电流回路独立。液晶屏全中文显示。</w:t>
      </w:r>
    </w:p>
    <w:p w14:paraId="39FC164D">
      <w:pPr>
        <w:pStyle w:val="16"/>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560" w:firstLineChars="200"/>
        <w:textAlignment w:val="auto"/>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3）变压器及电动机保护应配置至少4路外接非电量保护功能，且分别具备跳闸、发信功能。10kV高压电机现场手动、急停、PLC等跳闸信号应接入非电量跳闸回路，每路开路可独立实现发信功能。并与站内手跳信号区分。保护装置内部实现告警功能，并可查阅动作记录。</w:t>
      </w:r>
    </w:p>
    <w:p w14:paraId="4C138FD9">
      <w:pPr>
        <w:pStyle w:val="16"/>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560" w:firstLineChars="200"/>
        <w:textAlignment w:val="auto"/>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（4）电动机保护应配置速断保护躲避电机启动冲击电流的功能。</w:t>
      </w:r>
    </w:p>
    <w:p w14:paraId="6598B3B6">
      <w:pPr>
        <w:pStyle w:val="16"/>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560" w:firstLineChars="200"/>
        <w:textAlignment w:val="auto"/>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（5）变压器保护应配置过负荷保护功能。母联备自投装置含备自投保护功能。</w:t>
      </w:r>
    </w:p>
    <w:p w14:paraId="31F87D03">
      <w:pPr>
        <w:pStyle w:val="16"/>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560" w:firstLineChars="200"/>
        <w:textAlignment w:val="auto"/>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6）变压器、电动机、电容器保护均应具备套管零序功率方向保护功能，且具备投入发信与跳闸功能。应满足经小电阻接地系统，和不接地系统零序保护功能，若是经小电阻接地系统则为自产零序，若是不接地系统则为套管零序功率方向保护，零序电流由零序互感器单独接入保护。3UO自产定值可调整。</w:t>
      </w:r>
    </w:p>
    <w:p w14:paraId="3D302EC2">
      <w:pPr>
        <w:pStyle w:val="16"/>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560" w:firstLineChars="200"/>
        <w:textAlignment w:val="auto"/>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（7）提供的设备包括硬件及软件（系统软件应为正版，应用软件为本工程源程序），且应为成套及完整的。</w:t>
      </w:r>
    </w:p>
    <w:p w14:paraId="108637D3">
      <w:pPr>
        <w:pStyle w:val="16"/>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560" w:firstLineChars="200"/>
        <w:textAlignment w:val="auto"/>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（8）操作台需容纳操作站、打印机、声光报警装置。</w:t>
      </w:r>
    </w:p>
    <w:p w14:paraId="66264C48">
      <w:pPr>
        <w:pStyle w:val="16"/>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560" w:firstLineChars="200"/>
        <w:textAlignment w:val="auto"/>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（9）本工程综保装置改造后最终满足酒钢保护配置要求，达到酒钢验收标准，实施后厂家技术负责岗位日常点检、故障判断处置的培训工作及控制系统的维护和操作培训。</w:t>
      </w:r>
    </w:p>
    <w:p w14:paraId="00715F55">
      <w:pPr>
        <w:pStyle w:val="3"/>
        <w:ind w:left="0" w:leftChars="0" w:firstLine="0" w:firstLineChars="0"/>
        <w:rPr>
          <w:rFonts w:hint="eastAsia" w:asciiTheme="minorEastAsia" w:hAnsiTheme="minorEastAsia" w:eastAsiaTheme="minorEastAsia" w:cstheme="minorEastAsia"/>
          <w:color w:val="auto"/>
          <w:kern w:val="2"/>
          <w:sz w:val="28"/>
          <w:szCs w:val="28"/>
          <w:highlight w:val="none"/>
          <w:u w:val="none"/>
          <w:lang w:val="en-US" w:eastAsia="zh-CN" w:bidi="ar-SA"/>
        </w:rPr>
      </w:pPr>
      <w:r>
        <w:rPr>
          <w:rFonts w:hint="eastAsia"/>
          <w:highlight w:val="none"/>
          <w:lang w:val="en-US" w:eastAsia="zh-CN"/>
        </w:rPr>
        <w:t xml:space="preserve">  </w:t>
      </w:r>
      <w:r>
        <w:rPr>
          <w:rFonts w:hint="eastAsia" w:asciiTheme="minorEastAsia" w:hAnsiTheme="minorEastAsia" w:eastAsiaTheme="minorEastAsia" w:cstheme="minorEastAsia"/>
          <w:color w:val="auto"/>
          <w:kern w:val="2"/>
          <w:sz w:val="28"/>
          <w:szCs w:val="28"/>
          <w:highlight w:val="none"/>
          <w:lang w:val="en-US" w:eastAsia="zh-CN" w:bidi="ar-SA"/>
        </w:rPr>
        <w:t xml:space="preserve">   </w:t>
      </w:r>
      <w:r>
        <w:rPr>
          <w:rFonts w:hint="eastAsia" w:asciiTheme="minorEastAsia" w:hAnsiTheme="minorEastAsia" w:eastAsiaTheme="minorEastAsia" w:cstheme="minorEastAsia"/>
          <w:color w:val="auto"/>
          <w:kern w:val="2"/>
          <w:sz w:val="28"/>
          <w:szCs w:val="28"/>
          <w:highlight w:val="none"/>
          <w:u w:val="none"/>
          <w:lang w:val="en-US" w:eastAsia="zh-CN" w:bidi="ar-SA"/>
        </w:rPr>
        <w:t>（10）200万连铸连轧过滤间10KV高压室高压柜继电保护装置更换完成，配套完善高压后台1套（包含通讯管理机）。对</w:t>
      </w:r>
      <w:r>
        <w:rPr>
          <w:rFonts w:hint="eastAsia" w:asciiTheme="minorEastAsia" w:hAnsiTheme="minorEastAsia" w:eastAsiaTheme="minorEastAsia" w:cstheme="minorEastAsia"/>
          <w:color w:val="auto"/>
          <w:kern w:val="2"/>
          <w:sz w:val="28"/>
          <w:szCs w:val="28"/>
          <w:highlight w:val="none"/>
          <w:lang w:val="en-US" w:eastAsia="zh-CN" w:bidi="ar-SA"/>
        </w:rPr>
        <w:t>整套后台程序进行安装、组态、调试、试验，出具二次控制原理图及相应交接试验报告并盖章，确保高压微机保护各功能完备。</w:t>
      </w:r>
    </w:p>
    <w:p w14:paraId="1E4493EA">
      <w:pPr>
        <w:pStyle w:val="3"/>
        <w:ind w:left="0" w:leftChars="0" w:firstLine="560" w:firstLineChars="200"/>
        <w:rPr>
          <w:rFonts w:hint="eastAsia" w:asciiTheme="minorEastAsia" w:hAnsiTheme="minorEastAsia" w:eastAsiaTheme="minorEastAsia" w:cstheme="minorEastAsia"/>
          <w:color w:val="auto"/>
          <w:kern w:val="2"/>
          <w:sz w:val="28"/>
          <w:szCs w:val="28"/>
          <w:highlight w:val="none"/>
          <w:u w:val="none"/>
          <w:lang w:val="en-US" w:eastAsia="zh-CN" w:bidi="ar-SA"/>
        </w:rPr>
      </w:pPr>
      <w:r>
        <w:rPr>
          <w:rFonts w:hint="eastAsia" w:asciiTheme="minorEastAsia" w:hAnsiTheme="minorEastAsia" w:eastAsiaTheme="minorEastAsia" w:cstheme="minorEastAsia"/>
          <w:color w:val="auto"/>
          <w:kern w:val="2"/>
          <w:sz w:val="28"/>
          <w:szCs w:val="28"/>
          <w:highlight w:val="none"/>
          <w:u w:val="none"/>
          <w:lang w:val="en-US" w:eastAsia="zh-CN" w:bidi="ar-SA"/>
        </w:rPr>
        <w:t>（11）在200万连铸连轧循环泵站新增一套后台，将200万连铸连轧过滤间高压柜后台、200万连铸连轧新层流增加高压后台，并将本站数据传输至200万连铸连轧循环泵站后台，对整套后台程序进行安装、组态、调试、试验，出具二次控制原理图及相应交接试验报告并盖章，确保高压微机保护各功能完备。</w:t>
      </w:r>
    </w:p>
    <w:p w14:paraId="1CF0391A">
      <w:pPr>
        <w:keepNext w:val="0"/>
        <w:keepLines w:val="0"/>
        <w:pageBreakBefore w:val="0"/>
        <w:kinsoku/>
        <w:wordWrap/>
        <w:overflowPunct/>
        <w:topLinePunct w:val="0"/>
        <w:autoSpaceDE/>
        <w:autoSpaceDN/>
        <w:bidi w:val="0"/>
        <w:spacing w:line="400" w:lineRule="exact"/>
        <w:textAlignment w:val="auto"/>
        <w:outlineLvl w:val="0"/>
        <w:rPr>
          <w:rFonts w:hint="eastAsia" w:ascii="宋体" w:hAnsi="宋体" w:cs="宋体"/>
          <w:b/>
          <w:sz w:val="28"/>
          <w:szCs w:val="28"/>
          <w:highlight w:val="none"/>
          <w:lang w:val="en-US" w:eastAsia="zh-CN"/>
        </w:rPr>
      </w:pPr>
      <w:r>
        <w:rPr>
          <w:rFonts w:hint="eastAsia" w:ascii="宋体" w:hAnsi="宋体" w:cs="宋体"/>
          <w:b/>
          <w:sz w:val="28"/>
          <w:szCs w:val="28"/>
          <w:highlight w:val="none"/>
          <w:lang w:val="en-US" w:eastAsia="zh-CN"/>
        </w:rPr>
        <w:t>4. 包装、运输和储存</w:t>
      </w:r>
    </w:p>
    <w:p w14:paraId="424A0B8A">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Cs/>
          <w:sz w:val="28"/>
          <w:szCs w:val="28"/>
          <w:highlight w:val="none"/>
        </w:rPr>
      </w:pPr>
      <w:r>
        <w:rPr>
          <w:rFonts w:hint="eastAsia" w:ascii="宋体" w:hAnsi="宋体" w:cs="宋体"/>
          <w:bCs/>
          <w:sz w:val="28"/>
          <w:szCs w:val="28"/>
          <w:highlight w:val="none"/>
          <w:lang w:val="en-US" w:eastAsia="zh-CN"/>
        </w:rPr>
        <w:t>4</w:t>
      </w:r>
      <w:r>
        <w:rPr>
          <w:rFonts w:hint="eastAsia" w:ascii="宋体" w:hAnsi="宋体" w:cs="宋体"/>
          <w:bCs/>
          <w:sz w:val="28"/>
          <w:szCs w:val="28"/>
          <w:highlight w:val="none"/>
        </w:rPr>
        <w:t>.1 包装</w:t>
      </w:r>
    </w:p>
    <w:p w14:paraId="4862A333">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Cs/>
          <w:sz w:val="28"/>
          <w:szCs w:val="28"/>
          <w:highlight w:val="none"/>
          <w:lang w:val="en-US" w:eastAsia="zh-CN"/>
        </w:rPr>
      </w:pPr>
      <w:r>
        <w:rPr>
          <w:rFonts w:hint="eastAsia" w:ascii="宋体" w:hAnsi="宋体" w:cs="宋体"/>
          <w:bCs/>
          <w:sz w:val="28"/>
          <w:szCs w:val="28"/>
          <w:highlight w:val="none"/>
          <w:lang w:val="en-US" w:eastAsia="zh-CN"/>
        </w:rPr>
        <w:t>4.1.1 要严格按照制造厂给出的说明书对设备进行包装、运输和储存。制造厂应在交货前的适当时间提供设备的运输和储存说明书。</w:t>
      </w:r>
    </w:p>
    <w:p w14:paraId="705E93D9">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Cs/>
          <w:sz w:val="28"/>
          <w:szCs w:val="28"/>
          <w:highlight w:val="none"/>
          <w:lang w:val="en-US" w:eastAsia="zh-CN"/>
        </w:rPr>
      </w:pPr>
      <w:r>
        <w:rPr>
          <w:rFonts w:hint="eastAsia" w:ascii="宋体" w:hAnsi="宋体" w:cs="宋体"/>
          <w:bCs/>
          <w:sz w:val="28"/>
          <w:szCs w:val="28"/>
          <w:highlight w:val="none"/>
          <w:lang w:val="en-US" w:eastAsia="zh-CN"/>
        </w:rPr>
        <w:t>4.1.2 设备制造完成并通过试验后应及时包装, 否则应得到切实的保护。其包装也应符合铁路、公路和海运部门的有关规定。</w:t>
      </w:r>
    </w:p>
    <w:p w14:paraId="414B0393">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Cs/>
          <w:sz w:val="28"/>
          <w:szCs w:val="28"/>
          <w:highlight w:val="none"/>
          <w:lang w:val="en-US" w:eastAsia="zh-CN"/>
        </w:rPr>
      </w:pPr>
      <w:r>
        <w:rPr>
          <w:rFonts w:hint="eastAsia" w:ascii="宋体" w:hAnsi="宋体" w:cs="宋体"/>
          <w:bCs/>
          <w:sz w:val="28"/>
          <w:szCs w:val="28"/>
          <w:highlight w:val="none"/>
          <w:lang w:val="en-US" w:eastAsia="zh-CN"/>
        </w:rPr>
        <w:t>4.1.3 包装箱上应有明显的包装储运图示标志, 并应标明招标方的订货号和发货号。</w:t>
      </w:r>
    </w:p>
    <w:p w14:paraId="40F71A54">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Cs/>
          <w:sz w:val="28"/>
          <w:szCs w:val="28"/>
          <w:highlight w:val="none"/>
          <w:lang w:val="en-US" w:eastAsia="zh-CN"/>
        </w:rPr>
      </w:pPr>
      <w:r>
        <w:rPr>
          <w:rFonts w:hint="eastAsia" w:ascii="宋体" w:hAnsi="宋体" w:cs="宋体"/>
          <w:bCs/>
          <w:sz w:val="28"/>
          <w:szCs w:val="28"/>
          <w:highlight w:val="none"/>
          <w:lang w:val="en-US" w:eastAsia="zh-CN"/>
        </w:rPr>
        <w:t>4.1.4 设备的包装应能保证设备各零部件在运输过程中不致遭到脏污、损坏、变形、丢失及受潮。对于其中的绝缘部件及由有机绝缘材料制成的绝缘件应特别加以保护，以免损坏和受潮。对于外露的接触表面，应有预防腐蚀的措施。所有运输措施均应经过验证。凡有运输损坏，应由制造厂负责赔偿。</w:t>
      </w:r>
    </w:p>
    <w:p w14:paraId="5A1CCCF1">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Cs/>
          <w:sz w:val="28"/>
          <w:szCs w:val="28"/>
          <w:highlight w:val="none"/>
          <w:lang w:val="en-US" w:eastAsia="zh-CN"/>
        </w:rPr>
      </w:pPr>
      <w:r>
        <w:rPr>
          <w:rFonts w:hint="eastAsia" w:ascii="宋体" w:hAnsi="宋体" w:cs="宋体"/>
          <w:bCs/>
          <w:sz w:val="28"/>
          <w:szCs w:val="28"/>
          <w:highlight w:val="none"/>
          <w:lang w:val="en-US" w:eastAsia="zh-CN"/>
        </w:rPr>
        <w:t>4.2 运输</w:t>
      </w:r>
    </w:p>
    <w:p w14:paraId="3381FE20">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Cs/>
          <w:sz w:val="28"/>
          <w:szCs w:val="28"/>
          <w:highlight w:val="none"/>
          <w:lang w:val="en-US" w:eastAsia="zh-CN"/>
        </w:rPr>
      </w:pPr>
      <w:r>
        <w:rPr>
          <w:rFonts w:hint="eastAsia" w:ascii="宋体" w:hAnsi="宋体" w:cs="宋体"/>
          <w:bCs/>
          <w:sz w:val="28"/>
          <w:szCs w:val="28"/>
          <w:highlight w:val="none"/>
          <w:lang w:val="en-US" w:eastAsia="zh-CN"/>
        </w:rPr>
        <w:t>4.2.1 设备单独运输的零部件应有标志,便于用户安装装配。</w:t>
      </w:r>
    </w:p>
    <w:p w14:paraId="009C4024">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Cs/>
          <w:sz w:val="28"/>
          <w:szCs w:val="28"/>
          <w:highlight w:val="none"/>
          <w:lang w:val="en-US" w:eastAsia="zh-CN"/>
        </w:rPr>
      </w:pPr>
      <w:r>
        <w:rPr>
          <w:rFonts w:hint="eastAsia" w:ascii="宋体" w:hAnsi="宋体" w:cs="宋体"/>
          <w:bCs/>
          <w:sz w:val="28"/>
          <w:szCs w:val="28"/>
          <w:highlight w:val="none"/>
          <w:lang w:val="en-US" w:eastAsia="zh-CN"/>
        </w:rPr>
        <w:t>4.2.2 整体产品或分别运输的部件,都要适合于运输及装卸的要求。</w:t>
      </w:r>
    </w:p>
    <w:p w14:paraId="5E068042">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Cs/>
          <w:sz w:val="28"/>
          <w:szCs w:val="28"/>
          <w:highlight w:val="none"/>
          <w:lang w:val="en-US" w:eastAsia="zh-CN"/>
        </w:rPr>
      </w:pPr>
      <w:r>
        <w:rPr>
          <w:rFonts w:hint="eastAsia" w:ascii="宋体" w:hAnsi="宋体" w:cs="宋体"/>
          <w:bCs/>
          <w:sz w:val="28"/>
          <w:szCs w:val="28"/>
          <w:highlight w:val="none"/>
          <w:lang w:val="en-US" w:eastAsia="zh-CN"/>
        </w:rPr>
        <w:t>4.2.3 制造厂应提供按全部解体检修用的备品备件和装用机具，随同产品发运。</w:t>
      </w:r>
    </w:p>
    <w:p w14:paraId="714D96D8">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Cs/>
          <w:sz w:val="28"/>
          <w:szCs w:val="28"/>
          <w:highlight w:val="none"/>
          <w:lang w:val="en-US" w:eastAsia="zh-CN"/>
        </w:rPr>
      </w:pPr>
      <w:r>
        <w:rPr>
          <w:rFonts w:hint="eastAsia" w:ascii="宋体" w:hAnsi="宋体" w:cs="宋体"/>
          <w:bCs/>
          <w:sz w:val="28"/>
          <w:szCs w:val="28"/>
          <w:highlight w:val="none"/>
          <w:lang w:val="en-US" w:eastAsia="zh-CN"/>
        </w:rPr>
        <w:t>4.2.4 随同运输的产品应附有装箱清单，产品所需提供的技术资料应完整无缺。</w:t>
      </w:r>
    </w:p>
    <w:p w14:paraId="53D3F1B3">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Cs/>
          <w:sz w:val="28"/>
          <w:szCs w:val="28"/>
          <w:highlight w:val="none"/>
          <w:lang w:val="en-US" w:eastAsia="zh-CN"/>
        </w:rPr>
      </w:pPr>
      <w:r>
        <w:rPr>
          <w:rFonts w:hint="eastAsia" w:ascii="宋体" w:hAnsi="宋体" w:cs="宋体"/>
          <w:bCs/>
          <w:sz w:val="28"/>
          <w:szCs w:val="28"/>
          <w:highlight w:val="none"/>
          <w:lang w:val="en-US" w:eastAsia="zh-CN"/>
        </w:rPr>
        <w:t>4.2.5 设备到场后，甲、乙双方共同清点、验收，并办理移交手续。</w:t>
      </w:r>
    </w:p>
    <w:p w14:paraId="5EAE1BED">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Cs/>
          <w:sz w:val="28"/>
          <w:szCs w:val="28"/>
          <w:highlight w:val="none"/>
          <w:lang w:val="en-US" w:eastAsia="zh-CN"/>
        </w:rPr>
      </w:pPr>
      <w:r>
        <w:rPr>
          <w:rFonts w:hint="eastAsia" w:ascii="宋体" w:hAnsi="宋体" w:cs="宋体"/>
          <w:bCs/>
          <w:sz w:val="28"/>
          <w:szCs w:val="28"/>
          <w:highlight w:val="none"/>
          <w:lang w:val="en-US" w:eastAsia="zh-CN"/>
        </w:rPr>
        <w:t>4.3储存</w:t>
      </w:r>
    </w:p>
    <w:p w14:paraId="04A9501D">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lang w:val="en-US" w:eastAsia="zh-CN"/>
        </w:rPr>
        <w:t>乙方应根据包装箱内所包装物品的特性，向甲方提供安全保存方法的说明。</w:t>
      </w:r>
    </w:p>
    <w:p w14:paraId="552A5DE9">
      <w:pPr>
        <w:keepNext w:val="0"/>
        <w:keepLines w:val="0"/>
        <w:pageBreakBefore w:val="0"/>
        <w:kinsoku/>
        <w:wordWrap/>
        <w:overflowPunct/>
        <w:topLinePunct w:val="0"/>
        <w:autoSpaceDE/>
        <w:autoSpaceDN/>
        <w:bidi w:val="0"/>
        <w:spacing w:line="400" w:lineRule="exact"/>
        <w:textAlignment w:val="auto"/>
        <w:outlineLvl w:val="0"/>
        <w:rPr>
          <w:rFonts w:ascii="宋体" w:hAnsi="宋体" w:cs="宋体"/>
          <w:b/>
          <w:sz w:val="28"/>
          <w:szCs w:val="28"/>
          <w:highlight w:val="none"/>
        </w:rPr>
      </w:pPr>
      <w:r>
        <w:rPr>
          <w:rFonts w:hint="eastAsia" w:ascii="宋体" w:hAnsi="宋体" w:cs="宋体"/>
          <w:b/>
          <w:sz w:val="28"/>
          <w:szCs w:val="28"/>
          <w:highlight w:val="none"/>
          <w:lang w:val="en-US" w:eastAsia="zh-CN"/>
        </w:rPr>
        <w:t>5</w:t>
      </w:r>
      <w:r>
        <w:rPr>
          <w:rFonts w:hint="eastAsia" w:ascii="宋体" w:hAnsi="宋体" w:cs="宋体"/>
          <w:b/>
          <w:sz w:val="28"/>
          <w:szCs w:val="28"/>
          <w:highlight w:val="none"/>
        </w:rPr>
        <w:t>. 技术服务</w:t>
      </w:r>
    </w:p>
    <w:p w14:paraId="24F28DC4">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lang w:val="en-US" w:eastAsia="zh-CN"/>
        </w:rPr>
        <w:t>5</w:t>
      </w:r>
      <w:r>
        <w:rPr>
          <w:rFonts w:hint="eastAsia" w:ascii="宋体" w:hAnsi="宋体" w:cs="宋体"/>
          <w:bCs/>
          <w:sz w:val="28"/>
          <w:szCs w:val="28"/>
          <w:highlight w:val="none"/>
        </w:rPr>
        <w:t>.1 乙方要派合格的技术人员，赴安装施工现场进行技术服务指导，乙方的现场技术服务人员到现场后需制定必要的计划书。乙方对其现场技术服务人员的一切行为负全部责任。</w:t>
      </w:r>
    </w:p>
    <w:p w14:paraId="0B409F2D">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lang w:val="en-US" w:eastAsia="zh-CN"/>
        </w:rPr>
        <w:t>5</w:t>
      </w:r>
      <w:r>
        <w:rPr>
          <w:rFonts w:hint="eastAsia" w:ascii="宋体" w:hAnsi="宋体" w:cs="宋体"/>
          <w:bCs/>
          <w:sz w:val="28"/>
          <w:szCs w:val="28"/>
          <w:highlight w:val="none"/>
        </w:rPr>
        <w:t>.2 乙方按甲方的要求，及时参加现场的设备、调试、功能考核、验收等工作，出席有关会议，及时处理技术和质量问题。</w:t>
      </w:r>
    </w:p>
    <w:p w14:paraId="7F2EC1D1">
      <w:pPr>
        <w:keepNext w:val="0"/>
        <w:keepLines w:val="0"/>
        <w:pageBreakBefore w:val="0"/>
        <w:kinsoku/>
        <w:wordWrap/>
        <w:overflowPunct/>
        <w:topLinePunct w:val="0"/>
        <w:autoSpaceDE/>
        <w:autoSpaceDN/>
        <w:bidi w:val="0"/>
        <w:spacing w:line="400" w:lineRule="exact"/>
        <w:ind w:firstLine="560" w:firstLineChars="200"/>
        <w:textAlignment w:val="auto"/>
        <w:outlineLvl w:val="1"/>
        <w:rPr>
          <w:rFonts w:ascii="宋体" w:hAnsi="宋体" w:cs="宋体"/>
          <w:bCs/>
          <w:sz w:val="28"/>
          <w:szCs w:val="28"/>
          <w:highlight w:val="none"/>
        </w:rPr>
      </w:pPr>
      <w:r>
        <w:rPr>
          <w:rFonts w:hint="eastAsia" w:ascii="宋体" w:hAnsi="宋体" w:cs="宋体"/>
          <w:bCs/>
          <w:sz w:val="28"/>
          <w:szCs w:val="28"/>
          <w:highlight w:val="none"/>
          <w:lang w:val="en-US" w:eastAsia="zh-CN"/>
        </w:rPr>
        <w:t>5</w:t>
      </w:r>
      <w:r>
        <w:rPr>
          <w:rFonts w:hint="eastAsia" w:ascii="宋体" w:hAnsi="宋体" w:cs="宋体"/>
          <w:bCs/>
          <w:sz w:val="28"/>
          <w:szCs w:val="28"/>
          <w:highlight w:val="none"/>
        </w:rPr>
        <w:t>.3 乙方技术服务人员现场服务内容及职责</w:t>
      </w:r>
    </w:p>
    <w:p w14:paraId="2DDC020B">
      <w:pPr>
        <w:keepNext w:val="0"/>
        <w:keepLines w:val="0"/>
        <w:pageBreakBefore w:val="0"/>
        <w:kinsoku/>
        <w:wordWrap/>
        <w:overflowPunct/>
        <w:topLinePunct w:val="0"/>
        <w:autoSpaceDE/>
        <w:autoSpaceDN/>
        <w:bidi w:val="0"/>
        <w:spacing w:line="400" w:lineRule="exact"/>
        <w:ind w:firstLine="560" w:firstLineChars="200"/>
        <w:textAlignment w:val="auto"/>
        <w:outlineLvl w:val="2"/>
        <w:rPr>
          <w:rFonts w:ascii="宋体" w:hAnsi="宋体" w:cs="宋体"/>
          <w:bCs/>
          <w:sz w:val="28"/>
          <w:szCs w:val="28"/>
          <w:highlight w:val="none"/>
        </w:rPr>
      </w:pPr>
      <w:r>
        <w:rPr>
          <w:rFonts w:hint="eastAsia" w:ascii="宋体" w:hAnsi="宋体" w:cs="宋体"/>
          <w:bCs/>
          <w:sz w:val="28"/>
          <w:szCs w:val="28"/>
          <w:highlight w:val="none"/>
          <w:lang w:val="en-US" w:eastAsia="zh-CN"/>
        </w:rPr>
        <w:t>5</w:t>
      </w:r>
      <w:r>
        <w:rPr>
          <w:rFonts w:hint="eastAsia" w:ascii="宋体" w:hAnsi="宋体" w:cs="宋体"/>
          <w:bCs/>
          <w:sz w:val="28"/>
          <w:szCs w:val="28"/>
          <w:highlight w:val="none"/>
        </w:rPr>
        <w:t>.3.1由甲、乙双方都在现场的情况下开箱验收。</w:t>
      </w:r>
    </w:p>
    <w:p w14:paraId="1753631E">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lang w:val="en-US" w:eastAsia="zh-CN"/>
        </w:rPr>
        <w:t>5</w:t>
      </w:r>
      <w:r>
        <w:rPr>
          <w:rFonts w:hint="eastAsia" w:ascii="宋体" w:hAnsi="宋体" w:cs="宋体"/>
          <w:bCs/>
          <w:sz w:val="28"/>
          <w:szCs w:val="28"/>
          <w:highlight w:val="none"/>
        </w:rPr>
        <w:t>.3.2 在调试前，如因乙方技术服务人员指导错误而发生的问题，乙方负全部责任。</w:t>
      </w:r>
    </w:p>
    <w:p w14:paraId="42B66A6D">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lang w:val="en-US" w:eastAsia="zh-CN"/>
        </w:rPr>
        <w:t>5</w:t>
      </w:r>
      <w:r>
        <w:rPr>
          <w:rFonts w:hint="eastAsia" w:ascii="宋体" w:hAnsi="宋体" w:cs="宋体"/>
          <w:bCs/>
          <w:sz w:val="28"/>
          <w:szCs w:val="28"/>
          <w:highlight w:val="none"/>
        </w:rPr>
        <w:t>.3.3 乙方技术服务人员应有权处理现场出现的一切技术、设备质量问题。接到甲方反映问题后，2小时内做出答复，紧急情况可在48小时内派人赶到现场。</w:t>
      </w:r>
    </w:p>
    <w:p w14:paraId="7DF0A1AB">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lang w:val="en-US" w:eastAsia="zh-CN"/>
        </w:rPr>
        <w:t>5</w:t>
      </w:r>
      <w:r>
        <w:rPr>
          <w:rFonts w:hint="eastAsia" w:ascii="宋体" w:hAnsi="宋体" w:cs="宋体"/>
          <w:bCs/>
          <w:sz w:val="28"/>
          <w:szCs w:val="28"/>
          <w:highlight w:val="none"/>
        </w:rPr>
        <w:t>.3.4 全天24小时接收客户投诉：对用户来电、来函的各类投诉，市内12小时内给予答复；市外24小时内给予答复。公司随时准备一套由工程部、生产部、质保部等相关技术部门人员组成的事故应急处理、调查小组，对于处理</w:t>
      </w:r>
      <w:r>
        <w:rPr>
          <w:rFonts w:hint="eastAsia" w:ascii="宋体" w:hAnsi="宋体" w:cs="宋体"/>
          <w:bCs/>
          <w:sz w:val="28"/>
          <w:szCs w:val="28"/>
          <w:highlight w:val="none"/>
          <w:lang w:val="en-US" w:eastAsia="zh-CN"/>
        </w:rPr>
        <w:t>设备</w:t>
      </w:r>
      <w:r>
        <w:rPr>
          <w:rFonts w:hint="eastAsia" w:ascii="宋体" w:hAnsi="宋体" w:cs="宋体"/>
          <w:bCs/>
          <w:sz w:val="28"/>
          <w:szCs w:val="28"/>
          <w:highlight w:val="none"/>
        </w:rPr>
        <w:t>的应急问题保证在最短的时间内以最快的交通工具赶到现场。</w:t>
      </w:r>
    </w:p>
    <w:p w14:paraId="0F5202E1">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lang w:val="en-US" w:eastAsia="zh-CN"/>
        </w:rPr>
        <w:t>5</w:t>
      </w:r>
      <w:r>
        <w:rPr>
          <w:rFonts w:hint="eastAsia" w:ascii="宋体" w:hAnsi="宋体" w:cs="宋体"/>
          <w:bCs/>
          <w:sz w:val="28"/>
          <w:szCs w:val="28"/>
          <w:highlight w:val="none"/>
        </w:rPr>
        <w:t>.3.5 产品质保期内免费提供</w:t>
      </w:r>
      <w:r>
        <w:rPr>
          <w:rFonts w:hint="eastAsia" w:ascii="宋体" w:hAnsi="宋体" w:cs="宋体"/>
          <w:bCs/>
          <w:sz w:val="28"/>
          <w:szCs w:val="28"/>
          <w:highlight w:val="none"/>
          <w:lang w:val="en-US" w:eastAsia="zh-CN"/>
        </w:rPr>
        <w:t>设备</w:t>
      </w:r>
      <w:r>
        <w:rPr>
          <w:rFonts w:hint="eastAsia" w:ascii="宋体" w:hAnsi="宋体" w:cs="宋体"/>
          <w:bCs/>
          <w:sz w:val="28"/>
          <w:szCs w:val="28"/>
          <w:highlight w:val="none"/>
        </w:rPr>
        <w:t>方面的技术咨询及服务；质保期外将继续提供各类有偿服务。</w:t>
      </w:r>
    </w:p>
    <w:p w14:paraId="7B693BC6">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lang w:val="en-US" w:eastAsia="zh-CN"/>
        </w:rPr>
        <w:t>5</w:t>
      </w:r>
      <w:r>
        <w:rPr>
          <w:rFonts w:hint="eastAsia" w:ascii="宋体" w:hAnsi="宋体" w:cs="宋体"/>
          <w:bCs/>
          <w:sz w:val="28"/>
          <w:szCs w:val="28"/>
          <w:highlight w:val="none"/>
        </w:rPr>
        <w:t>.3.6 公司常年负责提供产品的备品、备件，使用本公司产品的用户将优先以公司成本价获得备品、备件，不耽误用户对产品的正常使用。</w:t>
      </w:r>
    </w:p>
    <w:p w14:paraId="77B2F9B5">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lang w:val="en-US" w:eastAsia="zh-CN"/>
        </w:rPr>
        <w:t>5</w:t>
      </w:r>
      <w:r>
        <w:rPr>
          <w:rFonts w:hint="eastAsia" w:ascii="宋体" w:hAnsi="宋体" w:cs="宋体"/>
          <w:bCs/>
          <w:sz w:val="28"/>
          <w:szCs w:val="28"/>
          <w:highlight w:val="none"/>
        </w:rPr>
        <w:t>.3.7 质量保证期内合同产品出现质量问题，乙方及时派遣技术人员给予无偿服务，甲方为其提供工作方便。</w:t>
      </w:r>
    </w:p>
    <w:p w14:paraId="2AE2B109">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lang w:val="en-US" w:eastAsia="zh-CN"/>
        </w:rPr>
        <w:t>5</w:t>
      </w:r>
      <w:r>
        <w:rPr>
          <w:rFonts w:hint="eastAsia" w:ascii="宋体" w:hAnsi="宋体" w:cs="宋体"/>
          <w:bCs/>
          <w:sz w:val="28"/>
          <w:szCs w:val="28"/>
          <w:highlight w:val="none"/>
        </w:rPr>
        <w:t>.3.8 指导调试，参加设备试运行。</w:t>
      </w:r>
    </w:p>
    <w:p w14:paraId="35BF9646">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lang w:val="en-US" w:eastAsia="zh-CN"/>
        </w:rPr>
        <w:t>5</w:t>
      </w:r>
      <w:r>
        <w:rPr>
          <w:rFonts w:hint="eastAsia" w:ascii="宋体" w:hAnsi="宋体" w:cs="宋体"/>
          <w:bCs/>
          <w:sz w:val="28"/>
          <w:szCs w:val="28"/>
          <w:highlight w:val="none"/>
        </w:rPr>
        <w:t>.3.9 设备验收后，按甲方要求进行必要的培训。</w:t>
      </w:r>
    </w:p>
    <w:p w14:paraId="45C74CAF">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lang w:val="en-US" w:eastAsia="zh-CN"/>
        </w:rPr>
        <w:t>5</w:t>
      </w:r>
      <w:r>
        <w:rPr>
          <w:rFonts w:hint="eastAsia" w:ascii="宋体" w:hAnsi="宋体" w:cs="宋体"/>
          <w:bCs/>
          <w:sz w:val="28"/>
          <w:szCs w:val="28"/>
          <w:highlight w:val="none"/>
        </w:rPr>
        <w:t>.3.10 乙方现场技术服务人员应具有下列条件：遵守法纪，遵守现场各项规章、制度；有责任心和事业心，按时到位；了解合同设备的设计，熟悉其结构，有相同或相近机组的现场工作经验，能够正确的进行现场指导；身体健康，适应现场工作条件。</w:t>
      </w:r>
    </w:p>
    <w:p w14:paraId="6BB63711">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Cs/>
          <w:sz w:val="28"/>
          <w:szCs w:val="28"/>
          <w:highlight w:val="none"/>
        </w:rPr>
      </w:pPr>
      <w:r>
        <w:rPr>
          <w:rFonts w:hint="eastAsia" w:ascii="宋体" w:hAnsi="宋体" w:cs="宋体"/>
          <w:bCs/>
          <w:sz w:val="28"/>
          <w:szCs w:val="28"/>
          <w:highlight w:val="none"/>
          <w:lang w:val="en-US" w:eastAsia="zh-CN"/>
        </w:rPr>
        <w:t>5</w:t>
      </w:r>
      <w:r>
        <w:rPr>
          <w:rFonts w:hint="eastAsia" w:ascii="宋体" w:hAnsi="宋体" w:cs="宋体"/>
          <w:bCs/>
          <w:sz w:val="28"/>
          <w:szCs w:val="28"/>
          <w:highlight w:val="none"/>
        </w:rPr>
        <w:t>.3.11服务承诺：乙方承诺，对所提供的</w:t>
      </w:r>
      <w:r>
        <w:rPr>
          <w:rFonts w:hint="eastAsia" w:ascii="宋体" w:hAnsi="宋体" w:cs="宋体"/>
          <w:bCs/>
          <w:sz w:val="28"/>
          <w:szCs w:val="28"/>
          <w:highlight w:val="none"/>
          <w:lang w:val="en-US" w:eastAsia="zh-CN"/>
        </w:rPr>
        <w:t>设备</w:t>
      </w:r>
      <w:r>
        <w:rPr>
          <w:rFonts w:hint="eastAsia" w:ascii="宋体" w:hAnsi="宋体" w:cs="宋体"/>
          <w:bCs/>
          <w:sz w:val="28"/>
          <w:szCs w:val="28"/>
          <w:highlight w:val="none"/>
        </w:rPr>
        <w:t>在额定、正常条件下，应安全可靠无故障运行,设备在调试完成后1年内所发生的质量问题，乙方免费处理。</w:t>
      </w:r>
    </w:p>
    <w:p w14:paraId="70E28A9D">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Cs/>
          <w:sz w:val="28"/>
          <w:szCs w:val="28"/>
          <w:highlight w:val="none"/>
        </w:rPr>
      </w:pPr>
      <w:r>
        <w:rPr>
          <w:rFonts w:hint="eastAsia" w:ascii="宋体" w:hAnsi="宋体" w:cs="宋体"/>
          <w:bCs/>
          <w:sz w:val="28"/>
          <w:szCs w:val="28"/>
          <w:highlight w:val="none"/>
          <w:lang w:val="en-US" w:eastAsia="zh-CN"/>
        </w:rPr>
        <w:t>5.3.12在甲方正式开始</w:t>
      </w:r>
      <w:r>
        <w:rPr>
          <w:rFonts w:hint="eastAsia" w:ascii="宋体" w:hAnsi="宋体" w:cs="宋体"/>
          <w:bCs/>
          <w:sz w:val="28"/>
          <w:szCs w:val="28"/>
          <w:highlight w:val="none"/>
        </w:rPr>
        <w:t>投产运行后</w:t>
      </w:r>
      <w:r>
        <w:rPr>
          <w:rFonts w:hint="eastAsia" w:ascii="宋体" w:hAnsi="宋体" w:cs="宋体"/>
          <w:bCs/>
          <w:sz w:val="28"/>
          <w:szCs w:val="28"/>
          <w:highlight w:val="none"/>
          <w:lang w:val="en-US" w:eastAsia="zh-CN"/>
        </w:rPr>
        <w:t>1年</w:t>
      </w:r>
      <w:r>
        <w:rPr>
          <w:rFonts w:hint="eastAsia" w:ascii="宋体" w:hAnsi="宋体" w:cs="宋体"/>
          <w:bCs/>
          <w:sz w:val="28"/>
          <w:szCs w:val="28"/>
          <w:highlight w:val="none"/>
        </w:rPr>
        <w:t>产品出现质量问题，乙方接到通知后应在24小时内赶到现场解决。</w:t>
      </w:r>
    </w:p>
    <w:p w14:paraId="79FBD0FA">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Cs/>
          <w:sz w:val="28"/>
          <w:szCs w:val="28"/>
          <w:highlight w:val="none"/>
          <w:lang w:val="en-US" w:eastAsia="zh-CN"/>
        </w:rPr>
      </w:pPr>
      <w:r>
        <w:rPr>
          <w:rFonts w:hint="eastAsia" w:ascii="宋体" w:hAnsi="宋体" w:cs="宋体"/>
          <w:bCs/>
          <w:sz w:val="28"/>
          <w:szCs w:val="28"/>
          <w:highlight w:val="none"/>
          <w:lang w:val="en-US" w:eastAsia="zh-CN"/>
        </w:rPr>
        <w:t>5.3.13设备实施到达现场后，甲方及有关单位将按照本技术规格书中条款和订货合同中条款内容验收。同时抽样分析测定，如发现施工质量不符合本技术规格书要求，乙方应无条件地更换，直至退货。</w:t>
      </w:r>
    </w:p>
    <w:p w14:paraId="6B8D4653">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Cs/>
          <w:sz w:val="28"/>
          <w:szCs w:val="28"/>
          <w:highlight w:val="none"/>
          <w:lang w:val="en-US" w:eastAsia="zh-CN"/>
        </w:rPr>
      </w:pPr>
      <w:r>
        <w:rPr>
          <w:rFonts w:hint="eastAsia" w:ascii="宋体" w:hAnsi="宋体" w:cs="宋体"/>
          <w:bCs/>
          <w:sz w:val="28"/>
          <w:szCs w:val="28"/>
          <w:highlight w:val="none"/>
          <w:lang w:val="en-US" w:eastAsia="zh-CN"/>
        </w:rPr>
        <w:t>5.3.14设备实施安装后调试期间，如发施工质量问题，乙方应及时派人到现场处理。</w:t>
      </w:r>
    </w:p>
    <w:p w14:paraId="2B659483">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Cs/>
          <w:sz w:val="28"/>
          <w:szCs w:val="28"/>
          <w:highlight w:val="none"/>
          <w:lang w:val="en-US" w:eastAsia="zh-CN"/>
        </w:rPr>
      </w:pPr>
      <w:r>
        <w:rPr>
          <w:rFonts w:hint="eastAsia" w:ascii="宋体" w:hAnsi="宋体" w:cs="宋体"/>
          <w:bCs/>
          <w:sz w:val="28"/>
          <w:szCs w:val="28"/>
          <w:highlight w:val="none"/>
          <w:lang w:val="en-US" w:eastAsia="zh-CN"/>
        </w:rPr>
        <w:t>5.3.15设备设施应实行三包，三包期为正常运行后2年，2年内设备设施各项指标不应有明显变化。</w:t>
      </w:r>
    </w:p>
    <w:p w14:paraId="3F26866D">
      <w:pPr>
        <w:keepNext w:val="0"/>
        <w:keepLines w:val="0"/>
        <w:pageBreakBefore w:val="0"/>
        <w:kinsoku/>
        <w:wordWrap/>
        <w:overflowPunct/>
        <w:topLinePunct w:val="0"/>
        <w:autoSpaceDE/>
        <w:autoSpaceDN/>
        <w:bidi w:val="0"/>
        <w:spacing w:line="400" w:lineRule="exact"/>
        <w:ind w:firstLine="560" w:firstLineChars="200"/>
        <w:textAlignment w:val="auto"/>
        <w:rPr>
          <w:rFonts w:hint="eastAsia"/>
          <w:highlight w:val="none"/>
        </w:rPr>
      </w:pPr>
      <w:r>
        <w:rPr>
          <w:rFonts w:hint="eastAsia" w:ascii="宋体" w:hAnsi="宋体" w:cs="宋体"/>
          <w:bCs/>
          <w:sz w:val="28"/>
          <w:szCs w:val="28"/>
          <w:highlight w:val="none"/>
          <w:lang w:val="en-US" w:eastAsia="zh-CN"/>
        </w:rPr>
        <w:t>5.3.16乙方于技术规格书签订后三日内，向甲方提供设备安装及相关尺寸。</w:t>
      </w:r>
    </w:p>
    <w:p w14:paraId="1CEAE6BB">
      <w:pPr>
        <w:keepNext w:val="0"/>
        <w:keepLines w:val="0"/>
        <w:pageBreakBefore w:val="0"/>
        <w:numPr>
          <w:ilvl w:val="0"/>
          <w:numId w:val="0"/>
        </w:numPr>
        <w:kinsoku/>
        <w:wordWrap/>
        <w:overflowPunct/>
        <w:topLinePunct w:val="0"/>
        <w:autoSpaceDE/>
        <w:autoSpaceDN/>
        <w:bidi w:val="0"/>
        <w:spacing w:line="400" w:lineRule="exact"/>
        <w:textAlignment w:val="auto"/>
        <w:outlineLvl w:val="0"/>
        <w:rPr>
          <w:rFonts w:hint="default" w:ascii="宋体" w:hAnsi="宋体" w:cs="宋体"/>
          <w:b/>
          <w:sz w:val="28"/>
          <w:szCs w:val="28"/>
          <w:highlight w:val="none"/>
          <w:lang w:val="en-US" w:eastAsia="zh-CN"/>
        </w:rPr>
      </w:pPr>
      <w:r>
        <w:rPr>
          <w:rFonts w:hint="eastAsia" w:ascii="宋体" w:hAnsi="宋体" w:cs="宋体"/>
          <w:b/>
          <w:sz w:val="28"/>
          <w:szCs w:val="28"/>
          <w:highlight w:val="none"/>
          <w:lang w:val="en-US" w:eastAsia="zh-CN"/>
        </w:rPr>
        <w:t>6.提供资料</w:t>
      </w:r>
    </w:p>
    <w:p w14:paraId="73541E33">
      <w:pPr>
        <w:spacing w:line="360" w:lineRule="auto"/>
        <w:ind w:firstLine="560" w:firstLineChars="20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乙方向甲方提供如下技术文件:</w:t>
      </w:r>
    </w:p>
    <w:p w14:paraId="439B73F7">
      <w:pPr>
        <w:spacing w:line="360" w:lineRule="auto"/>
        <w:ind w:firstLine="560" w:firstLineChars="20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6.1</w:t>
      </w:r>
      <w:r>
        <w:rPr>
          <w:rFonts w:hint="eastAsia" w:asciiTheme="minorEastAsia" w:hAnsiTheme="minorEastAsia" w:eastAsiaTheme="minorEastAsia" w:cstheme="minorEastAsia"/>
          <w:color w:val="auto"/>
          <w:sz w:val="28"/>
          <w:szCs w:val="28"/>
          <w:highlight w:val="none"/>
        </w:rPr>
        <w:t>提供详细的操作、使用、调试和维护检修说明书，还应包括操作运行、注意事项安装程序和工艺要求等。</w:t>
      </w:r>
    </w:p>
    <w:p w14:paraId="2A9DF535">
      <w:pPr>
        <w:spacing w:line="360" w:lineRule="auto"/>
        <w:ind w:firstLine="560" w:firstLineChars="20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6.2</w:t>
      </w:r>
      <w:r>
        <w:rPr>
          <w:rFonts w:hint="eastAsia" w:asciiTheme="minorEastAsia" w:hAnsiTheme="minorEastAsia" w:eastAsiaTheme="minorEastAsia" w:cstheme="minorEastAsia"/>
          <w:color w:val="auto"/>
          <w:sz w:val="28"/>
          <w:szCs w:val="28"/>
          <w:highlight w:val="none"/>
        </w:rPr>
        <w:t>易损件图纸或型号。</w:t>
      </w:r>
    </w:p>
    <w:p w14:paraId="274FDD4E">
      <w:pPr>
        <w:spacing w:line="360" w:lineRule="auto"/>
        <w:ind w:firstLine="560" w:firstLineChars="20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6.3</w:t>
      </w:r>
      <w:r>
        <w:rPr>
          <w:rFonts w:hint="eastAsia" w:asciiTheme="minorEastAsia" w:hAnsiTheme="minorEastAsia" w:eastAsiaTheme="minorEastAsia" w:cstheme="minorEastAsia"/>
          <w:color w:val="auto"/>
          <w:sz w:val="28"/>
          <w:szCs w:val="28"/>
          <w:highlight w:val="none"/>
        </w:rPr>
        <w:t>产品合格证书。</w:t>
      </w:r>
    </w:p>
    <w:p w14:paraId="6AB74E2C">
      <w:pPr>
        <w:spacing w:line="360" w:lineRule="auto"/>
        <w:ind w:firstLine="560" w:firstLineChars="20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6.4</w:t>
      </w:r>
      <w:r>
        <w:rPr>
          <w:rFonts w:hint="eastAsia" w:asciiTheme="minorEastAsia" w:hAnsiTheme="minorEastAsia" w:eastAsiaTheme="minorEastAsia" w:cstheme="minorEastAsia"/>
          <w:color w:val="auto"/>
          <w:sz w:val="28"/>
          <w:szCs w:val="28"/>
          <w:highlight w:val="none"/>
        </w:rPr>
        <w:t>产品检验合格证书。</w:t>
      </w:r>
    </w:p>
    <w:p w14:paraId="0FA8184A">
      <w:pPr>
        <w:spacing w:line="360" w:lineRule="auto"/>
        <w:ind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6.5</w:t>
      </w:r>
      <w:r>
        <w:rPr>
          <w:rFonts w:hint="eastAsia" w:asciiTheme="minorEastAsia" w:hAnsiTheme="minorEastAsia" w:eastAsiaTheme="minorEastAsia" w:cstheme="minorEastAsia"/>
          <w:color w:val="auto"/>
          <w:sz w:val="28"/>
          <w:szCs w:val="28"/>
          <w:highlight w:val="none"/>
        </w:rPr>
        <w:t>主要零部件制造、检验记录；主要零部件材料检验合格证书。以上资料随同设备一起提供给甲方，资料份数，一式四份给甲方。其它资料：易损件一览表、主要外购件使用说明书、产品合格证书。</w:t>
      </w:r>
    </w:p>
    <w:p w14:paraId="7F6F03AD">
      <w:pPr>
        <w:keepNext w:val="0"/>
        <w:keepLines w:val="0"/>
        <w:pageBreakBefore w:val="0"/>
        <w:numPr>
          <w:ilvl w:val="0"/>
          <w:numId w:val="0"/>
        </w:numPr>
        <w:kinsoku/>
        <w:wordWrap/>
        <w:overflowPunct/>
        <w:topLinePunct w:val="0"/>
        <w:autoSpaceDE/>
        <w:autoSpaceDN/>
        <w:bidi w:val="0"/>
        <w:spacing w:line="400" w:lineRule="exact"/>
        <w:textAlignment w:val="auto"/>
        <w:outlineLvl w:val="0"/>
        <w:rPr>
          <w:rFonts w:hint="default" w:ascii="宋体" w:hAnsi="宋体" w:cs="宋体"/>
          <w:b/>
          <w:sz w:val="28"/>
          <w:szCs w:val="28"/>
          <w:highlight w:val="none"/>
          <w:lang w:val="en-US" w:eastAsia="zh-CN"/>
        </w:rPr>
      </w:pPr>
      <w:r>
        <w:rPr>
          <w:rFonts w:hint="eastAsia" w:ascii="宋体" w:hAnsi="宋体" w:cs="宋体"/>
          <w:b/>
          <w:sz w:val="28"/>
          <w:szCs w:val="28"/>
          <w:highlight w:val="none"/>
          <w:lang w:val="en-US" w:eastAsia="zh-CN"/>
        </w:rPr>
        <w:t>7.交货时间及地点</w:t>
      </w:r>
    </w:p>
    <w:p w14:paraId="0B643067">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 w:val="0"/>
          <w:bCs/>
          <w:sz w:val="28"/>
          <w:szCs w:val="28"/>
          <w:highlight w:val="none"/>
          <w:lang w:val="en-US" w:eastAsia="zh-CN"/>
        </w:rPr>
      </w:pPr>
      <w:r>
        <w:rPr>
          <w:rFonts w:hint="eastAsia" w:ascii="宋体" w:hAnsi="宋体" w:cs="宋体"/>
          <w:b w:val="0"/>
          <w:bCs/>
          <w:sz w:val="28"/>
          <w:szCs w:val="28"/>
          <w:highlight w:val="none"/>
          <w:lang w:val="en-US" w:eastAsia="zh-CN"/>
        </w:rPr>
        <w:t>7.1交货日期：以招标合同为准</w:t>
      </w:r>
    </w:p>
    <w:p w14:paraId="4EF73098">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 w:val="0"/>
          <w:bCs/>
          <w:sz w:val="28"/>
          <w:szCs w:val="28"/>
          <w:highlight w:val="none"/>
          <w:lang w:val="en-US" w:eastAsia="zh-CN"/>
        </w:rPr>
      </w:pPr>
      <w:r>
        <w:rPr>
          <w:rFonts w:hint="eastAsia" w:ascii="宋体" w:hAnsi="宋体" w:cs="宋体"/>
          <w:b w:val="0"/>
          <w:bCs/>
          <w:sz w:val="28"/>
          <w:szCs w:val="28"/>
          <w:highlight w:val="none"/>
          <w:lang w:val="en-US" w:eastAsia="zh-CN"/>
        </w:rPr>
        <w:t>7.2交货地点：酒钢冶金厂区。</w:t>
      </w:r>
    </w:p>
    <w:p w14:paraId="4C253874">
      <w:pPr>
        <w:keepNext w:val="0"/>
        <w:keepLines w:val="0"/>
        <w:pageBreakBefore w:val="0"/>
        <w:numPr>
          <w:ilvl w:val="0"/>
          <w:numId w:val="0"/>
        </w:numPr>
        <w:kinsoku/>
        <w:wordWrap/>
        <w:overflowPunct/>
        <w:topLinePunct w:val="0"/>
        <w:autoSpaceDE/>
        <w:autoSpaceDN/>
        <w:bidi w:val="0"/>
        <w:spacing w:line="400" w:lineRule="exact"/>
        <w:ind w:leftChars="0"/>
        <w:textAlignment w:val="auto"/>
        <w:rPr>
          <w:rFonts w:hint="eastAsia" w:ascii="宋体" w:hAnsi="宋体" w:cs="宋体"/>
          <w:b/>
          <w:sz w:val="28"/>
          <w:szCs w:val="28"/>
          <w:highlight w:val="none"/>
          <w:lang w:val="en-US" w:eastAsia="zh-CN"/>
        </w:rPr>
      </w:pPr>
      <w:r>
        <w:rPr>
          <w:rFonts w:hint="eastAsia" w:ascii="宋体" w:hAnsi="宋体" w:cs="宋体"/>
          <w:b/>
          <w:sz w:val="28"/>
          <w:szCs w:val="28"/>
          <w:highlight w:val="none"/>
          <w:lang w:val="en-US" w:eastAsia="zh-CN"/>
        </w:rPr>
        <w:t>8.其他</w:t>
      </w:r>
    </w:p>
    <w:p w14:paraId="2AD83448">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bCs/>
          <w:sz w:val="28"/>
          <w:szCs w:val="28"/>
          <w:highlight w:val="none"/>
          <w:lang w:val="en-US" w:eastAsia="zh-CN"/>
        </w:rPr>
      </w:pPr>
      <w:r>
        <w:rPr>
          <w:rFonts w:hint="eastAsia" w:ascii="宋体" w:hAnsi="宋体" w:cs="宋体"/>
          <w:bCs/>
          <w:sz w:val="28"/>
          <w:szCs w:val="28"/>
          <w:highlight w:val="none"/>
          <w:lang w:val="en-US" w:eastAsia="zh-CN"/>
        </w:rPr>
        <w:t>8</w:t>
      </w:r>
      <w:r>
        <w:rPr>
          <w:rFonts w:hint="eastAsia" w:ascii="宋体" w:hAnsi="宋体" w:eastAsia="宋体" w:cs="宋体"/>
          <w:bCs/>
          <w:sz w:val="28"/>
          <w:szCs w:val="28"/>
          <w:highlight w:val="none"/>
          <w:lang w:val="en-US" w:eastAsia="zh-CN"/>
        </w:rPr>
        <w:t>.1本技术规格书一式四份，甲方三份，乙方一份。</w:t>
      </w:r>
    </w:p>
    <w:p w14:paraId="47AF544E">
      <w:pPr>
        <w:keepNext w:val="0"/>
        <w:keepLines w:val="0"/>
        <w:pageBreakBefore w:val="0"/>
        <w:widowControl w:val="0"/>
        <w:kinsoku/>
        <w:wordWrap/>
        <w:overflowPunct/>
        <w:topLinePunct w:val="0"/>
        <w:autoSpaceDE/>
        <w:autoSpaceDN/>
        <w:bidi w:val="0"/>
        <w:spacing w:line="400" w:lineRule="exact"/>
        <w:ind w:left="279" w:leftChars="133" w:firstLine="280" w:firstLineChars="100"/>
        <w:textAlignment w:val="auto"/>
        <w:outlineLvl w:val="9"/>
        <w:rPr>
          <w:rFonts w:hint="eastAsia" w:ascii="宋体" w:hAnsi="宋体" w:eastAsia="宋体" w:cs="宋体"/>
          <w:bCs/>
          <w:sz w:val="28"/>
          <w:szCs w:val="28"/>
          <w:highlight w:val="none"/>
          <w:u w:val="none"/>
          <w:lang w:val="en-US" w:eastAsia="zh-CN"/>
        </w:rPr>
      </w:pPr>
      <w:r>
        <w:rPr>
          <w:rFonts w:hint="eastAsia" w:ascii="宋体" w:hAnsi="宋体" w:cs="宋体"/>
          <w:bCs/>
          <w:sz w:val="28"/>
          <w:szCs w:val="28"/>
          <w:highlight w:val="none"/>
          <w:lang w:val="en-US" w:eastAsia="zh-CN"/>
        </w:rPr>
        <w:t>8</w:t>
      </w:r>
      <w:r>
        <w:rPr>
          <w:rFonts w:hint="eastAsia" w:ascii="宋体" w:hAnsi="宋体" w:eastAsia="宋体" w:cs="宋体"/>
          <w:bCs/>
          <w:sz w:val="28"/>
          <w:szCs w:val="28"/>
          <w:highlight w:val="none"/>
          <w:lang w:val="en-US" w:eastAsia="zh-CN"/>
        </w:rPr>
        <w:t>.2本规格书内容经由甲乙双方于</w:t>
      </w:r>
      <w:r>
        <w:rPr>
          <w:rFonts w:hint="eastAsia" w:ascii="仿宋" w:hAnsi="仿宋" w:eastAsia="仿宋" w:cs="仿宋"/>
          <w:bCs/>
          <w:sz w:val="24"/>
          <w:highlight w:val="none"/>
          <w:lang w:val="en-US" w:eastAsia="zh-CN"/>
        </w:rPr>
        <w:t xml:space="preserve"> </w:t>
      </w:r>
      <w:r>
        <w:rPr>
          <w:rFonts w:hint="eastAsia" w:ascii="仿宋" w:hAnsi="仿宋" w:eastAsia="仿宋" w:cs="仿宋"/>
          <w:bCs/>
          <w:sz w:val="24"/>
          <w:highlight w:val="none"/>
          <w:u w:val="single"/>
          <w:lang w:val="en-US" w:eastAsia="zh-CN"/>
        </w:rPr>
        <w:t xml:space="preserve"> </w:t>
      </w:r>
      <w:r>
        <w:rPr>
          <w:rFonts w:hint="eastAsia" w:ascii="仿宋" w:hAnsi="仿宋" w:eastAsia="仿宋" w:cs="仿宋"/>
          <w:bCs/>
          <w:sz w:val="28"/>
          <w:szCs w:val="21"/>
          <w:highlight w:val="none"/>
          <w:u w:val="single"/>
          <w:lang w:val="en-US" w:eastAsia="zh-CN"/>
        </w:rPr>
        <w:t xml:space="preserve"> </w:t>
      </w:r>
      <w:r>
        <w:rPr>
          <w:rFonts w:hint="eastAsia" w:ascii="仿宋" w:hAnsi="仿宋" w:cs="仿宋"/>
          <w:bCs/>
          <w:sz w:val="28"/>
          <w:szCs w:val="21"/>
          <w:highlight w:val="none"/>
          <w:u w:val="single"/>
          <w:lang w:val="en-US" w:eastAsia="zh-CN"/>
        </w:rPr>
        <w:t xml:space="preserve"> </w:t>
      </w:r>
      <w:r>
        <w:rPr>
          <w:rFonts w:hint="eastAsia" w:ascii="仿宋" w:hAnsi="仿宋" w:cs="仿宋"/>
          <w:bCs/>
          <w:sz w:val="24"/>
          <w:highlight w:val="none"/>
          <w:u w:val="single"/>
          <w:lang w:val="en-US" w:eastAsia="zh-CN"/>
        </w:rPr>
        <w:t xml:space="preserve">  </w:t>
      </w:r>
      <w:r>
        <w:rPr>
          <w:rFonts w:hint="eastAsia" w:ascii="宋体" w:hAnsi="宋体" w:eastAsia="宋体" w:cs="宋体"/>
          <w:bCs/>
          <w:sz w:val="28"/>
          <w:szCs w:val="28"/>
          <w:highlight w:val="none"/>
          <w:lang w:val="en-US" w:eastAsia="zh-CN"/>
        </w:rPr>
        <w:t xml:space="preserve">年 </w:t>
      </w:r>
      <w:r>
        <w:rPr>
          <w:rFonts w:hint="eastAsia" w:ascii="仿宋" w:hAnsi="仿宋" w:cs="仿宋"/>
          <w:bCs/>
          <w:sz w:val="24"/>
          <w:highlight w:val="none"/>
          <w:u w:val="single"/>
          <w:lang w:val="en-US" w:eastAsia="zh-CN"/>
        </w:rPr>
        <w:t xml:space="preserve"> </w:t>
      </w:r>
      <w:r>
        <w:rPr>
          <w:rFonts w:hint="eastAsia" w:ascii="仿宋" w:hAnsi="仿宋" w:eastAsia="仿宋" w:cs="仿宋"/>
          <w:bCs/>
          <w:sz w:val="24"/>
          <w:highlight w:val="none"/>
          <w:u w:val="single"/>
          <w:lang w:val="en-US" w:eastAsia="zh-CN"/>
        </w:rPr>
        <w:t xml:space="preserve"> </w:t>
      </w:r>
      <w:r>
        <w:rPr>
          <w:rFonts w:hint="eastAsia" w:ascii="仿宋" w:hAnsi="仿宋" w:cs="仿宋"/>
          <w:bCs/>
          <w:sz w:val="24"/>
          <w:highlight w:val="none"/>
          <w:u w:val="single"/>
          <w:lang w:val="en-US" w:eastAsia="zh-CN"/>
        </w:rPr>
        <w:t xml:space="preserve"> </w:t>
      </w:r>
      <w:r>
        <w:rPr>
          <w:rFonts w:hint="eastAsia" w:ascii="宋体" w:hAnsi="宋体" w:eastAsia="宋体" w:cs="宋体"/>
          <w:bCs/>
          <w:sz w:val="28"/>
          <w:szCs w:val="28"/>
          <w:highlight w:val="none"/>
          <w:lang w:val="en-US" w:eastAsia="zh-CN"/>
        </w:rPr>
        <w:t>月</w:t>
      </w:r>
      <w:r>
        <w:rPr>
          <w:rFonts w:hint="eastAsia" w:ascii="仿宋_GB2312" w:hAnsi="仿宋_GB2312" w:eastAsia="仿宋_GB2312" w:cs="仿宋_GB2312"/>
          <w:b w:val="0"/>
          <w:bCs w:val="0"/>
          <w:sz w:val="24"/>
          <w:szCs w:val="24"/>
          <w:highlight w:val="none"/>
          <w:u w:val="single"/>
          <w:lang w:val="en-US" w:eastAsia="zh-CN"/>
        </w:rPr>
        <w:t xml:space="preserve"> </w:t>
      </w:r>
      <w:r>
        <w:rPr>
          <w:rFonts w:hint="eastAsia" w:ascii="仿宋" w:hAnsi="仿宋" w:cs="仿宋"/>
          <w:bCs/>
          <w:sz w:val="24"/>
          <w:highlight w:val="none"/>
          <w:u w:val="single"/>
          <w:lang w:val="en-US" w:eastAsia="zh-CN"/>
        </w:rPr>
        <w:t xml:space="preserve"> </w:t>
      </w:r>
      <w:r>
        <w:rPr>
          <w:rFonts w:hint="eastAsia" w:ascii="仿宋" w:hAnsi="仿宋" w:eastAsia="仿宋" w:cs="仿宋"/>
          <w:bCs/>
          <w:sz w:val="24"/>
          <w:highlight w:val="none"/>
          <w:u w:val="single"/>
          <w:lang w:val="en-US" w:eastAsia="zh-CN"/>
        </w:rPr>
        <w:t xml:space="preserve"> </w:t>
      </w:r>
      <w:r>
        <w:rPr>
          <w:rFonts w:hint="eastAsia" w:ascii="仿宋" w:hAnsi="仿宋" w:cs="仿宋"/>
          <w:bCs/>
          <w:sz w:val="24"/>
          <w:highlight w:val="none"/>
          <w:u w:val="single"/>
          <w:lang w:val="en-US" w:eastAsia="zh-CN"/>
        </w:rPr>
        <w:t xml:space="preserve"> </w:t>
      </w:r>
      <w:r>
        <w:rPr>
          <w:rFonts w:hint="eastAsia" w:ascii="宋体" w:hAnsi="宋体" w:eastAsia="宋体" w:cs="宋体"/>
          <w:bCs/>
          <w:sz w:val="28"/>
          <w:szCs w:val="28"/>
          <w:highlight w:val="none"/>
          <w:lang w:val="en-US" w:eastAsia="zh-CN"/>
        </w:rPr>
        <w:t xml:space="preserve">日 </w:t>
      </w:r>
      <w:r>
        <w:rPr>
          <w:rFonts w:hint="eastAsia" w:ascii="仿宋" w:hAnsi="仿宋" w:cs="仿宋"/>
          <w:bCs/>
          <w:sz w:val="32"/>
          <w:szCs w:val="22"/>
          <w:highlight w:val="none"/>
          <w:u w:val="single"/>
          <w:lang w:val="en-US" w:eastAsia="zh-CN"/>
        </w:rPr>
        <w:t xml:space="preserve"> </w:t>
      </w:r>
      <w:r>
        <w:rPr>
          <w:rFonts w:hint="eastAsia" w:ascii="仿宋" w:hAnsi="仿宋" w:cs="仿宋"/>
          <w:bCs/>
          <w:sz w:val="24"/>
          <w:highlight w:val="none"/>
          <w:u w:val="single"/>
          <w:lang w:val="en-US" w:eastAsia="zh-CN"/>
        </w:rPr>
        <w:t xml:space="preserve">  </w:t>
      </w:r>
      <w:r>
        <w:rPr>
          <w:rFonts w:hint="eastAsia" w:ascii="宋体" w:hAnsi="宋体" w:eastAsia="宋体" w:cs="宋体"/>
          <w:bCs/>
          <w:sz w:val="28"/>
          <w:szCs w:val="28"/>
          <w:highlight w:val="none"/>
          <w:lang w:val="en-US" w:eastAsia="zh-CN"/>
        </w:rPr>
        <w:t>时至</w:t>
      </w:r>
      <w:r>
        <w:rPr>
          <w:rFonts w:hint="eastAsia" w:ascii="宋体" w:hAnsi="宋体" w:cs="宋体"/>
          <w:bCs/>
          <w:sz w:val="28"/>
          <w:szCs w:val="28"/>
          <w:highlight w:val="none"/>
          <w:lang w:val="en-US" w:eastAsia="zh-CN"/>
        </w:rPr>
        <w:t xml:space="preserve"> </w:t>
      </w:r>
      <w:r>
        <w:rPr>
          <w:rFonts w:hint="eastAsia" w:ascii="宋体" w:hAnsi="宋体" w:cs="宋体"/>
          <w:bCs/>
          <w:sz w:val="28"/>
          <w:szCs w:val="28"/>
          <w:highlight w:val="none"/>
          <w:u w:val="single"/>
          <w:lang w:val="en-US" w:eastAsia="zh-CN"/>
        </w:rPr>
        <w:t xml:space="preserve">  </w:t>
      </w:r>
      <w:r>
        <w:rPr>
          <w:rFonts w:hint="eastAsia" w:ascii="仿宋_GB2312" w:hAnsi="仿宋_GB2312" w:eastAsia="仿宋_GB2312" w:cs="仿宋_GB2312"/>
          <w:b w:val="0"/>
          <w:bCs w:val="0"/>
          <w:sz w:val="24"/>
          <w:szCs w:val="24"/>
          <w:highlight w:val="none"/>
          <w:u w:val="single"/>
          <w:lang w:val="en-US" w:eastAsia="zh-CN"/>
        </w:rPr>
        <w:t xml:space="preserve">    </w:t>
      </w:r>
      <w:r>
        <w:rPr>
          <w:rFonts w:hint="eastAsia" w:ascii="宋体" w:hAnsi="宋体" w:eastAsia="宋体" w:cs="宋体"/>
          <w:bCs/>
          <w:sz w:val="28"/>
          <w:szCs w:val="28"/>
          <w:highlight w:val="none"/>
          <w:lang w:val="en-US" w:eastAsia="zh-CN"/>
        </w:rPr>
        <w:t>时通过</w:t>
      </w:r>
      <w:r>
        <w:rPr>
          <w:rFonts w:hint="eastAsia" w:ascii="宋体" w:hAnsi="宋体" w:eastAsia="宋体" w:cs="宋体"/>
          <w:bCs/>
          <w:sz w:val="28"/>
          <w:szCs w:val="28"/>
          <w:highlight w:val="none"/>
          <w:u w:val="single"/>
          <w:lang w:val="en-US" w:eastAsia="zh-CN"/>
        </w:rPr>
        <w:t xml:space="preserve"> </w:t>
      </w:r>
      <w:r>
        <w:rPr>
          <w:rFonts w:hint="eastAsia" w:ascii="宋体" w:hAnsi="宋体" w:cs="宋体"/>
          <w:bCs/>
          <w:sz w:val="28"/>
          <w:szCs w:val="28"/>
          <w:highlight w:val="none"/>
          <w:u w:val="single"/>
          <w:lang w:val="en-US" w:eastAsia="zh-CN"/>
        </w:rPr>
        <w:t xml:space="preserve">             </w:t>
      </w:r>
      <w:r>
        <w:rPr>
          <w:rFonts w:hint="eastAsia" w:ascii="宋体" w:hAnsi="宋体" w:eastAsia="宋体" w:cs="宋体"/>
          <w:bCs/>
          <w:sz w:val="28"/>
          <w:szCs w:val="28"/>
          <w:highlight w:val="none"/>
          <w:u w:val="none"/>
          <w:lang w:val="en-US" w:eastAsia="zh-CN"/>
        </w:rPr>
        <w:t>方式商定。</w:t>
      </w:r>
    </w:p>
    <w:p w14:paraId="43E6E931">
      <w:pPr>
        <w:rPr>
          <w:rFonts w:hint="eastAsia"/>
          <w:highlight w:val="none"/>
          <w:lang w:val="en-US" w:eastAsia="zh-CN"/>
        </w:rPr>
      </w:pPr>
    </w:p>
    <w:p w14:paraId="050A3E1F">
      <w:pPr>
        <w:keepNext w:val="0"/>
        <w:keepLines w:val="0"/>
        <w:pageBreakBefore w:val="0"/>
        <w:widowControl w:val="0"/>
        <w:kinsoku/>
        <w:wordWrap/>
        <w:overflowPunct/>
        <w:topLinePunct w:val="0"/>
        <w:autoSpaceDE/>
        <w:autoSpaceDN/>
        <w:bidi w:val="0"/>
        <w:spacing w:line="400" w:lineRule="exact"/>
        <w:ind w:firstLine="560" w:firstLineChars="200"/>
        <w:textAlignment w:val="auto"/>
        <w:outlineLvl w:val="9"/>
        <w:rPr>
          <w:rFonts w:hint="eastAsia" w:ascii="宋体" w:hAnsi="宋体" w:eastAsia="宋体" w:cs="宋体"/>
          <w:bCs/>
          <w:sz w:val="28"/>
          <w:szCs w:val="28"/>
          <w:highlight w:val="none"/>
          <w:lang w:val="en-US" w:eastAsia="zh-CN"/>
        </w:rPr>
      </w:pPr>
      <w:r>
        <w:rPr>
          <w:rFonts w:hint="eastAsia" w:ascii="宋体" w:hAnsi="宋体" w:cs="宋体"/>
          <w:bCs/>
          <w:sz w:val="28"/>
          <w:szCs w:val="28"/>
          <w:highlight w:val="none"/>
          <w:lang w:val="en-US" w:eastAsia="zh-CN"/>
        </w:rPr>
        <w:t>8</w:t>
      </w:r>
      <w:r>
        <w:rPr>
          <w:rFonts w:hint="eastAsia" w:ascii="宋体" w:hAnsi="宋体" w:eastAsia="宋体" w:cs="宋体"/>
          <w:bCs/>
          <w:sz w:val="28"/>
          <w:szCs w:val="28"/>
          <w:highlight w:val="none"/>
          <w:lang w:val="en-US" w:eastAsia="zh-CN"/>
        </w:rPr>
        <w:t>.3甲乙双方应当就签订本规格书的相关事宜保密，不得将签订主体、时间、内容等信息透露给其他第三人。</w:t>
      </w:r>
    </w:p>
    <w:p w14:paraId="2F89B5BE">
      <w:pPr>
        <w:keepNext w:val="0"/>
        <w:keepLines w:val="0"/>
        <w:pageBreakBefore w:val="0"/>
        <w:widowControl w:val="0"/>
        <w:kinsoku/>
        <w:wordWrap/>
        <w:overflowPunct/>
        <w:topLinePunct w:val="0"/>
        <w:autoSpaceDE/>
        <w:autoSpaceDN/>
        <w:bidi w:val="0"/>
        <w:spacing w:line="400" w:lineRule="exact"/>
        <w:ind w:firstLine="560" w:firstLineChars="200"/>
        <w:textAlignment w:val="auto"/>
        <w:outlineLvl w:val="9"/>
        <w:rPr>
          <w:rFonts w:hint="eastAsia" w:ascii="宋体" w:hAnsi="宋体" w:cs="宋体"/>
          <w:b/>
          <w:sz w:val="28"/>
          <w:szCs w:val="28"/>
          <w:highlight w:val="none"/>
          <w:lang w:val="en-US" w:eastAsia="zh-CN"/>
        </w:rPr>
      </w:pPr>
      <w:r>
        <w:rPr>
          <w:rFonts w:hint="eastAsia" w:ascii="宋体" w:hAnsi="宋体" w:cs="宋体"/>
          <w:bCs/>
          <w:sz w:val="28"/>
          <w:szCs w:val="28"/>
          <w:highlight w:val="none"/>
          <w:lang w:val="en-US" w:eastAsia="zh-CN"/>
        </w:rPr>
        <w:t>8</w:t>
      </w:r>
      <w:r>
        <w:rPr>
          <w:rFonts w:hint="eastAsia" w:ascii="宋体" w:hAnsi="宋体" w:eastAsia="宋体" w:cs="宋体"/>
          <w:bCs/>
          <w:sz w:val="28"/>
          <w:szCs w:val="28"/>
          <w:highlight w:val="none"/>
          <w:lang w:val="en-US" w:eastAsia="zh-CN"/>
        </w:rPr>
        <w:t>.4若乙方单位不中标，</w:t>
      </w:r>
      <w:bookmarkStart w:id="4" w:name="_GoBack"/>
      <w:bookmarkEnd w:id="4"/>
      <w:r>
        <w:rPr>
          <w:rFonts w:hint="eastAsia" w:ascii="宋体" w:hAnsi="宋体" w:eastAsia="宋体" w:cs="宋体"/>
          <w:bCs/>
          <w:sz w:val="28"/>
          <w:szCs w:val="28"/>
          <w:highlight w:val="none"/>
          <w:lang w:val="en-US" w:eastAsia="zh-CN"/>
        </w:rPr>
        <w:t>本技术规格书自动失效，双方互不承担任何责任。</w:t>
      </w:r>
    </w:p>
    <w:tbl>
      <w:tblPr>
        <w:tblStyle w:val="26"/>
        <w:tblW w:w="9958" w:type="dxa"/>
        <w:jc w:val="center"/>
        <w:tblLayout w:type="fixed"/>
        <w:tblCellMar>
          <w:top w:w="0" w:type="dxa"/>
          <w:left w:w="108" w:type="dxa"/>
          <w:bottom w:w="0" w:type="dxa"/>
          <w:right w:w="108" w:type="dxa"/>
        </w:tblCellMar>
      </w:tblPr>
      <w:tblGrid>
        <w:gridCol w:w="6097"/>
        <w:gridCol w:w="3861"/>
      </w:tblGrid>
      <w:tr w14:paraId="2D57A59B">
        <w:tblPrEx>
          <w:tblCellMar>
            <w:top w:w="0" w:type="dxa"/>
            <w:left w:w="108" w:type="dxa"/>
            <w:bottom w:w="0" w:type="dxa"/>
            <w:right w:w="108" w:type="dxa"/>
          </w:tblCellMar>
        </w:tblPrEx>
        <w:trPr>
          <w:trHeight w:val="0" w:hRule="atLeast"/>
          <w:jc w:val="center"/>
        </w:trPr>
        <w:tc>
          <w:tcPr>
            <w:tcW w:w="6097" w:type="dxa"/>
            <w:noWrap/>
            <w:vAlign w:val="center"/>
          </w:tcPr>
          <w:p w14:paraId="24E8DBD4">
            <w:pPr>
              <w:keepNext/>
              <w:keepLines w:val="0"/>
              <w:widowControl w:val="0"/>
              <w:kinsoku/>
              <w:wordWrap/>
              <w:overflowPunct/>
              <w:autoSpaceDE/>
              <w:autoSpaceDN/>
              <w:bidi w:val="0"/>
              <w:snapToGrid w:val="0"/>
              <w:spacing w:line="360" w:lineRule="auto"/>
              <w:ind w:firstLine="840" w:firstLineChars="300"/>
              <w:textAlignment w:val="auto"/>
              <w:outlineLvl w:val="9"/>
              <w:rPr>
                <w:rFonts w:hint="eastAsia" w:ascii="宋体" w:hAnsi="宋体"/>
                <w:b w:val="0"/>
                <w:bCs/>
                <w:sz w:val="28"/>
                <w:szCs w:val="28"/>
                <w:highlight w:val="none"/>
                <w:lang w:val="en-US" w:eastAsia="zh-CN"/>
              </w:rPr>
            </w:pPr>
            <w:r>
              <w:rPr>
                <w:rFonts w:hint="eastAsia" w:ascii="宋体" w:hAnsi="宋体" w:eastAsia="宋体" w:cs="宋体"/>
                <w:sz w:val="28"/>
                <w:szCs w:val="28"/>
                <w:highlight w:val="none"/>
                <w:lang w:val="en-US" w:eastAsia="zh-CN"/>
              </w:rPr>
              <w:t>甲方 （盖章）:</w:t>
            </w:r>
            <w:r>
              <w:rPr>
                <w:rFonts w:hint="eastAsia" w:ascii="宋体" w:hAnsi="宋体"/>
                <w:b w:val="0"/>
                <w:bCs/>
                <w:sz w:val="28"/>
                <w:szCs w:val="28"/>
                <w:highlight w:val="none"/>
                <w:lang w:val="en-US" w:eastAsia="zh-CN"/>
              </w:rPr>
              <w:t>酒钢（集团）</w:t>
            </w:r>
          </w:p>
          <w:p w14:paraId="2CB6D414">
            <w:pPr>
              <w:keepNext/>
              <w:keepLines w:val="0"/>
              <w:widowControl w:val="0"/>
              <w:kinsoku/>
              <w:wordWrap/>
              <w:overflowPunct/>
              <w:autoSpaceDE/>
              <w:autoSpaceDN/>
              <w:bidi w:val="0"/>
              <w:snapToGrid w:val="0"/>
              <w:spacing w:line="360" w:lineRule="auto"/>
              <w:ind w:firstLine="1120" w:firstLineChars="400"/>
              <w:textAlignment w:val="auto"/>
              <w:outlineLvl w:val="9"/>
              <w:rPr>
                <w:rFonts w:ascii="仿宋_GB2312" w:hAnsi="仿宋_GB2312" w:eastAsia="仿宋_GB2312" w:cs="仿宋_GB2312"/>
                <w:sz w:val="28"/>
                <w:szCs w:val="28"/>
                <w:highlight w:val="none"/>
              </w:rPr>
            </w:pPr>
            <w:r>
              <w:rPr>
                <w:rFonts w:hint="eastAsia" w:ascii="宋体" w:hAnsi="宋体"/>
                <w:b w:val="0"/>
                <w:bCs/>
                <w:sz w:val="28"/>
                <w:szCs w:val="28"/>
                <w:highlight w:val="none"/>
                <w:lang w:val="en-US" w:eastAsia="zh-CN"/>
              </w:rPr>
              <w:t>宏联自控有限责任公司</w:t>
            </w:r>
          </w:p>
        </w:tc>
        <w:tc>
          <w:tcPr>
            <w:tcW w:w="3861" w:type="dxa"/>
            <w:noWrap/>
            <w:vAlign w:val="center"/>
          </w:tcPr>
          <w:p w14:paraId="14A1AA3F">
            <w:pPr>
              <w:keepNext/>
              <w:keepLines w:val="0"/>
              <w:widowControl w:val="0"/>
              <w:kinsoku/>
              <w:wordWrap/>
              <w:overflowPunct/>
              <w:autoSpaceDE/>
              <w:autoSpaceDN/>
              <w:bidi w:val="0"/>
              <w:snapToGrid w:val="0"/>
              <w:spacing w:line="360" w:lineRule="auto"/>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乙方（盖章）:</w:t>
            </w:r>
          </w:p>
          <w:p w14:paraId="7E8EE534">
            <w:pPr>
              <w:keepNext/>
              <w:adjustRightInd w:val="0"/>
              <w:snapToGrid w:val="0"/>
              <w:spacing w:line="360" w:lineRule="auto"/>
              <w:jc w:val="left"/>
              <w:outlineLvl w:val="9"/>
              <w:rPr>
                <w:rFonts w:ascii="仿宋_GB2312" w:hAnsi="仿宋_GB2312" w:eastAsia="仿宋_GB2312" w:cs="仿宋_GB2312"/>
                <w:sz w:val="28"/>
                <w:szCs w:val="28"/>
                <w:highlight w:val="none"/>
              </w:rPr>
            </w:pPr>
          </w:p>
        </w:tc>
      </w:tr>
      <w:tr w14:paraId="462CE18D">
        <w:tblPrEx>
          <w:tblCellMar>
            <w:top w:w="0" w:type="dxa"/>
            <w:left w:w="108" w:type="dxa"/>
            <w:bottom w:w="0" w:type="dxa"/>
            <w:right w:w="108" w:type="dxa"/>
          </w:tblCellMar>
        </w:tblPrEx>
        <w:trPr>
          <w:trHeight w:val="0" w:hRule="atLeast"/>
          <w:jc w:val="center"/>
        </w:trPr>
        <w:tc>
          <w:tcPr>
            <w:tcW w:w="6097" w:type="dxa"/>
            <w:noWrap/>
            <w:vAlign w:val="center"/>
          </w:tcPr>
          <w:p w14:paraId="172AF20E">
            <w:pPr>
              <w:keepNext/>
              <w:snapToGrid w:val="0"/>
              <w:ind w:firstLine="1400" w:firstLineChars="5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委托代理人：</w:t>
            </w:r>
          </w:p>
        </w:tc>
        <w:tc>
          <w:tcPr>
            <w:tcW w:w="3861" w:type="dxa"/>
            <w:noWrap/>
            <w:vAlign w:val="center"/>
          </w:tcPr>
          <w:p w14:paraId="38977022">
            <w:pPr>
              <w:keepNext/>
              <w:snapToGrid w:val="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委托代理人：</w:t>
            </w:r>
          </w:p>
        </w:tc>
      </w:tr>
      <w:tr w14:paraId="22F16569">
        <w:tblPrEx>
          <w:tblCellMar>
            <w:top w:w="0" w:type="dxa"/>
            <w:left w:w="108" w:type="dxa"/>
            <w:bottom w:w="0" w:type="dxa"/>
            <w:right w:w="108" w:type="dxa"/>
          </w:tblCellMar>
        </w:tblPrEx>
        <w:trPr>
          <w:trHeight w:val="0" w:hRule="atLeast"/>
          <w:jc w:val="center"/>
        </w:trPr>
        <w:tc>
          <w:tcPr>
            <w:tcW w:w="6097" w:type="dxa"/>
            <w:noWrap/>
            <w:vAlign w:val="center"/>
          </w:tcPr>
          <w:p w14:paraId="226D2CEF">
            <w:pPr>
              <w:keepNext/>
              <w:snapToGrid w:val="0"/>
              <w:rPr>
                <w:rFonts w:hint="eastAsia" w:ascii="宋体" w:hAnsi="宋体" w:eastAsia="宋体" w:cs="宋体"/>
                <w:sz w:val="28"/>
                <w:szCs w:val="28"/>
                <w:highlight w:val="none"/>
                <w:lang w:val="en-US" w:eastAsia="zh-CN"/>
              </w:rPr>
            </w:pPr>
          </w:p>
          <w:p w14:paraId="05187CEF">
            <w:pPr>
              <w:keepNext/>
              <w:snapToGrid w:val="0"/>
              <w:rPr>
                <w:rFonts w:hint="eastAsia" w:ascii="宋体" w:hAnsi="宋体" w:eastAsia="宋体" w:cs="宋体"/>
                <w:sz w:val="28"/>
                <w:szCs w:val="28"/>
                <w:highlight w:val="none"/>
                <w:lang w:val="en-US" w:eastAsia="zh-CN"/>
              </w:rPr>
            </w:pPr>
          </w:p>
          <w:p w14:paraId="1151540D">
            <w:pPr>
              <w:keepNext/>
              <w:snapToGrid w:val="0"/>
              <w:ind w:firstLine="1400" w:firstLineChars="500"/>
              <w:rPr>
                <w:rFonts w:hint="default" w:ascii="仿宋_GB2312" w:hAnsi="仿宋_GB2312" w:eastAsia="仿宋_GB2312" w:cs="仿宋_GB2312"/>
                <w:sz w:val="28"/>
                <w:szCs w:val="28"/>
                <w:highlight w:val="none"/>
                <w:lang w:val="en-US"/>
              </w:rPr>
            </w:pPr>
            <w:r>
              <w:rPr>
                <w:rFonts w:hint="eastAsia" w:ascii="宋体" w:hAnsi="宋体" w:eastAsia="宋体" w:cs="宋体"/>
                <w:sz w:val="28"/>
                <w:szCs w:val="28"/>
                <w:highlight w:val="none"/>
                <w:lang w:val="en-US" w:eastAsia="zh-CN"/>
              </w:rPr>
              <w:t>日期：</w:t>
            </w:r>
          </w:p>
        </w:tc>
        <w:tc>
          <w:tcPr>
            <w:tcW w:w="3861" w:type="dxa"/>
            <w:noWrap/>
            <w:vAlign w:val="center"/>
          </w:tcPr>
          <w:p w14:paraId="49B03AEF">
            <w:pPr>
              <w:keepNext/>
              <w:snapToGrid w:val="0"/>
              <w:spacing w:line="360" w:lineRule="exact"/>
              <w:rPr>
                <w:rFonts w:hint="eastAsia" w:ascii="宋体" w:hAnsi="宋体" w:eastAsia="宋体" w:cs="宋体"/>
                <w:sz w:val="28"/>
                <w:szCs w:val="28"/>
                <w:highlight w:val="none"/>
                <w:lang w:val="en-US" w:eastAsia="zh-CN"/>
              </w:rPr>
            </w:pPr>
          </w:p>
          <w:p w14:paraId="5660FC31">
            <w:pPr>
              <w:keepNext/>
              <w:snapToGrid w:val="0"/>
              <w:spacing w:line="360" w:lineRule="exact"/>
              <w:rPr>
                <w:rFonts w:ascii="仿宋_GB2312" w:hAnsi="仿宋_GB2312" w:eastAsia="仿宋_GB2312" w:cs="仿宋_GB2312"/>
                <w:sz w:val="28"/>
                <w:szCs w:val="28"/>
                <w:highlight w:val="none"/>
              </w:rPr>
            </w:pPr>
            <w:r>
              <w:rPr>
                <w:rFonts w:hint="eastAsia" w:ascii="宋体" w:hAnsi="宋体" w:eastAsia="宋体" w:cs="宋体"/>
                <w:sz w:val="28"/>
                <w:szCs w:val="28"/>
                <w:highlight w:val="none"/>
                <w:lang w:val="en-US" w:eastAsia="zh-CN"/>
              </w:rPr>
              <w:t xml:space="preserve">日期： </w:t>
            </w:r>
          </w:p>
        </w:tc>
      </w:tr>
      <w:bookmarkEnd w:id="0"/>
      <w:bookmarkEnd w:id="1"/>
      <w:bookmarkEnd w:id="2"/>
    </w:tbl>
    <w:p w14:paraId="10995BE3">
      <w:pPr>
        <w:spacing w:line="560" w:lineRule="exact"/>
        <w:jc w:val="left"/>
        <w:rPr>
          <w:rFonts w:hint="default" w:ascii="宋体" w:hAnsi="宋体" w:cs="宋体"/>
          <w:sz w:val="28"/>
          <w:szCs w:val="28"/>
          <w:highlight w:val="none"/>
          <w:lang w:val="en-US" w:eastAsia="zh-CN"/>
        </w:rPr>
      </w:pPr>
    </w:p>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Cambria">
    <w:panose1 w:val="02040503050406030204"/>
    <w:charset w:val="00"/>
    <w:family w:val="roman"/>
    <w:pitch w:val="default"/>
    <w:sig w:usb0="E00002FF" w:usb1="400004FF" w:usb2="00000000" w:usb3="00000000" w:csb0="2000019F" w:csb1="00000000"/>
  </w:font>
  <w:font w:name="楷体_GB2312">
    <w:panose1 w:val="02010609060101010101"/>
    <w:charset w:val="86"/>
    <w:family w:val="auto"/>
    <w:pitch w:val="default"/>
    <w:sig w:usb0="800002BF" w:usb1="38CF7CFA" w:usb2="00000016" w:usb3="00000000" w:csb0="00040001" w:csb1="00000000"/>
  </w:font>
  <w:font w:name="EU-F1">
    <w:altName w:val="宋体"/>
    <w:panose1 w:val="00000000000000000000"/>
    <w:charset w:val="86"/>
    <w:family w:val="script"/>
    <w:pitch w:val="default"/>
    <w:sig w:usb0="00000000" w:usb1="00000000" w:usb2="00000010" w:usb3="00000000" w:csb0="00040000" w:csb1="00000000"/>
  </w:font>
  <w:font w:name="长城仿宋">
    <w:altName w:val="黑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554B4">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9692FB">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09692FB">
                    <w:pPr>
                      <w:pStyle w:val="16"/>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 xml:space="preserve">                                                              </w:t>
    </w:r>
    <w:r>
      <w:rPr>
        <w:rFonts w:hint="eastAsia"/>
        <w:lang w:val="en-US" w:eastAsia="zh-CN"/>
      </w:rPr>
      <w:t xml:space="preserve">                                      </w:t>
    </w:r>
    <w:r>
      <w:rPr>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lvlText w:val="%1."/>
      <w:lvlJc w:val="left"/>
    </w:lvl>
    <w:lvl w:ilvl="1" w:tentative="0">
      <w:start w:val="1"/>
      <w:numFmt w:val="decimal"/>
      <w:lvlText w:val="%1.%2"/>
      <w:lvlJc w:val="left"/>
    </w:lvl>
    <w:lvl w:ilvl="2" w:tentative="0">
      <w:start w:val="1"/>
      <w:numFmt w:val="decimal"/>
      <w:lvlText w:val="%1.%2.%3"/>
      <w:lvlJc w:val="left"/>
    </w:lvl>
    <w:lvl w:ilvl="3" w:tentative="0">
      <w:start w:val="1"/>
      <w:numFmt w:val="decimal"/>
      <w:pStyle w:val="53"/>
      <w:lvlText w:val="%1.%2.%3.%4"/>
      <w:lvlJc w:val="left"/>
    </w:lvl>
    <w:lvl w:ilvl="4" w:tentative="0">
      <w:start w:val="1"/>
      <w:numFmt w:val="decimal"/>
      <w:lvlText w:val="%1.%2.%3.%4.%5"/>
      <w:lvlJc w:val="left"/>
    </w:lvl>
    <w:lvl w:ilvl="5" w:tentative="0">
      <w:start w:val="1"/>
      <w:numFmt w:val="decimal"/>
      <w:lvlText w:val="%1.%2.%3.%4.%5.%6"/>
      <w:lvlJc w:val="left"/>
    </w:lvl>
    <w:lvl w:ilvl="6" w:tentative="0">
      <w:start w:val="1"/>
      <w:numFmt w:val="decimal"/>
      <w:lvlText w:val="%1.%2.%3.%4.%5.%6.%7"/>
      <w:lvlJc w:val="left"/>
    </w:lvl>
    <w:lvl w:ilvl="7" w:tentative="0">
      <w:start w:val="1"/>
      <w:numFmt w:val="decimal"/>
      <w:lvlText w:val="%1.%2.%3.%4.%5.%6.%7.%8"/>
      <w:lvlJc w:val="left"/>
    </w:lvl>
    <w:lvl w:ilvl="8" w:tentative="0">
      <w:start w:val="1"/>
      <w:numFmt w:val="decimal"/>
      <w:lvlText w:val="%1.%2.%3.%4.%5.%6.%7.%8.%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2NWMxYjNlMjUzNzc2ZTU3NzVmNjkxYmU4MGRjZjgifQ=="/>
    <w:docVar w:name="KSO_WPS_MARK_KEY" w:val="243ee5a0-5250-4534-b8ca-363d3bbbea2f"/>
  </w:docVars>
  <w:rsids>
    <w:rsidRoot w:val="3E60168E"/>
    <w:rsid w:val="00043144"/>
    <w:rsid w:val="000A4E4B"/>
    <w:rsid w:val="00115E2E"/>
    <w:rsid w:val="001620F8"/>
    <w:rsid w:val="001C7D9C"/>
    <w:rsid w:val="001D5FB4"/>
    <w:rsid w:val="0028426C"/>
    <w:rsid w:val="00292BAB"/>
    <w:rsid w:val="002B05AD"/>
    <w:rsid w:val="002B7C30"/>
    <w:rsid w:val="002E673C"/>
    <w:rsid w:val="00350CD6"/>
    <w:rsid w:val="0036032B"/>
    <w:rsid w:val="003B4060"/>
    <w:rsid w:val="00407DC3"/>
    <w:rsid w:val="00432B2D"/>
    <w:rsid w:val="00446C65"/>
    <w:rsid w:val="0046235A"/>
    <w:rsid w:val="00463214"/>
    <w:rsid w:val="004A31C2"/>
    <w:rsid w:val="004B6A90"/>
    <w:rsid w:val="004C2A5B"/>
    <w:rsid w:val="00501EE6"/>
    <w:rsid w:val="00507BDE"/>
    <w:rsid w:val="00577718"/>
    <w:rsid w:val="005A7208"/>
    <w:rsid w:val="005C5497"/>
    <w:rsid w:val="005C6C2E"/>
    <w:rsid w:val="0065502F"/>
    <w:rsid w:val="00671D0D"/>
    <w:rsid w:val="006E3AE3"/>
    <w:rsid w:val="007A73C6"/>
    <w:rsid w:val="007C7F20"/>
    <w:rsid w:val="007D3DF8"/>
    <w:rsid w:val="0087167F"/>
    <w:rsid w:val="008D70A7"/>
    <w:rsid w:val="008E2714"/>
    <w:rsid w:val="008E3A49"/>
    <w:rsid w:val="008E4475"/>
    <w:rsid w:val="00933906"/>
    <w:rsid w:val="00973FDD"/>
    <w:rsid w:val="009E5F04"/>
    <w:rsid w:val="009E6B42"/>
    <w:rsid w:val="00A3295D"/>
    <w:rsid w:val="00A33952"/>
    <w:rsid w:val="00A36032"/>
    <w:rsid w:val="00A46FB2"/>
    <w:rsid w:val="00A51F76"/>
    <w:rsid w:val="00A6244D"/>
    <w:rsid w:val="00A65FA9"/>
    <w:rsid w:val="00AC4D39"/>
    <w:rsid w:val="00AE0618"/>
    <w:rsid w:val="00AF123E"/>
    <w:rsid w:val="00B22BA0"/>
    <w:rsid w:val="00B74FA5"/>
    <w:rsid w:val="00B81947"/>
    <w:rsid w:val="00BB2E6E"/>
    <w:rsid w:val="00BE1B40"/>
    <w:rsid w:val="00C91C98"/>
    <w:rsid w:val="00CC0741"/>
    <w:rsid w:val="00CC539E"/>
    <w:rsid w:val="00CD4129"/>
    <w:rsid w:val="00D348C5"/>
    <w:rsid w:val="00D378FC"/>
    <w:rsid w:val="00D561CC"/>
    <w:rsid w:val="00D86077"/>
    <w:rsid w:val="00DB756C"/>
    <w:rsid w:val="00DC032E"/>
    <w:rsid w:val="00DC3B4B"/>
    <w:rsid w:val="00DC4685"/>
    <w:rsid w:val="00DC5AF0"/>
    <w:rsid w:val="00E23233"/>
    <w:rsid w:val="00E66DAB"/>
    <w:rsid w:val="00EA1754"/>
    <w:rsid w:val="00EB725F"/>
    <w:rsid w:val="00ED0F8B"/>
    <w:rsid w:val="00EE5A6A"/>
    <w:rsid w:val="00F31A87"/>
    <w:rsid w:val="00F35734"/>
    <w:rsid w:val="00F72CA9"/>
    <w:rsid w:val="00F907CF"/>
    <w:rsid w:val="00FA5A6A"/>
    <w:rsid w:val="00FC206D"/>
    <w:rsid w:val="00FD4218"/>
    <w:rsid w:val="01066A48"/>
    <w:rsid w:val="010746C1"/>
    <w:rsid w:val="012C30C9"/>
    <w:rsid w:val="014A102B"/>
    <w:rsid w:val="017813C6"/>
    <w:rsid w:val="017B5688"/>
    <w:rsid w:val="018D25AA"/>
    <w:rsid w:val="018F6A3E"/>
    <w:rsid w:val="01A83D44"/>
    <w:rsid w:val="01D628BE"/>
    <w:rsid w:val="01E74ACC"/>
    <w:rsid w:val="01FD3441"/>
    <w:rsid w:val="02063E51"/>
    <w:rsid w:val="02184C85"/>
    <w:rsid w:val="021D0A29"/>
    <w:rsid w:val="025908F3"/>
    <w:rsid w:val="025B0D98"/>
    <w:rsid w:val="0270061D"/>
    <w:rsid w:val="027345B1"/>
    <w:rsid w:val="02883D06"/>
    <w:rsid w:val="029A6AAF"/>
    <w:rsid w:val="02BC3862"/>
    <w:rsid w:val="02D432A2"/>
    <w:rsid w:val="02EB05EB"/>
    <w:rsid w:val="02F92D08"/>
    <w:rsid w:val="0305345B"/>
    <w:rsid w:val="0314369E"/>
    <w:rsid w:val="031713E0"/>
    <w:rsid w:val="032064E7"/>
    <w:rsid w:val="03447D76"/>
    <w:rsid w:val="034D6BB0"/>
    <w:rsid w:val="03557092"/>
    <w:rsid w:val="035A307B"/>
    <w:rsid w:val="03817477"/>
    <w:rsid w:val="039B3DC0"/>
    <w:rsid w:val="03EA08A3"/>
    <w:rsid w:val="03F51722"/>
    <w:rsid w:val="03F90AE6"/>
    <w:rsid w:val="0404289D"/>
    <w:rsid w:val="041F679F"/>
    <w:rsid w:val="042C0EBC"/>
    <w:rsid w:val="0442423B"/>
    <w:rsid w:val="044B3F21"/>
    <w:rsid w:val="047563BF"/>
    <w:rsid w:val="047C774D"/>
    <w:rsid w:val="04844854"/>
    <w:rsid w:val="0486237A"/>
    <w:rsid w:val="049802FF"/>
    <w:rsid w:val="04A171B4"/>
    <w:rsid w:val="04D57913"/>
    <w:rsid w:val="04DA4474"/>
    <w:rsid w:val="04EE6171"/>
    <w:rsid w:val="04FF3EDA"/>
    <w:rsid w:val="05031C1C"/>
    <w:rsid w:val="05084CD1"/>
    <w:rsid w:val="051A0D14"/>
    <w:rsid w:val="05452235"/>
    <w:rsid w:val="05591248"/>
    <w:rsid w:val="055B3806"/>
    <w:rsid w:val="055F24F8"/>
    <w:rsid w:val="05616943"/>
    <w:rsid w:val="05760640"/>
    <w:rsid w:val="05810D93"/>
    <w:rsid w:val="05A9763C"/>
    <w:rsid w:val="060C17E9"/>
    <w:rsid w:val="061B1E48"/>
    <w:rsid w:val="061B2F96"/>
    <w:rsid w:val="062067FE"/>
    <w:rsid w:val="062A142B"/>
    <w:rsid w:val="062F6A41"/>
    <w:rsid w:val="063876A4"/>
    <w:rsid w:val="063F55D5"/>
    <w:rsid w:val="065D710A"/>
    <w:rsid w:val="066B753A"/>
    <w:rsid w:val="06930D7E"/>
    <w:rsid w:val="06C07699"/>
    <w:rsid w:val="06D46594"/>
    <w:rsid w:val="07026A9C"/>
    <w:rsid w:val="07591FC8"/>
    <w:rsid w:val="07600CCB"/>
    <w:rsid w:val="07610E7C"/>
    <w:rsid w:val="077508B3"/>
    <w:rsid w:val="07794418"/>
    <w:rsid w:val="078828AD"/>
    <w:rsid w:val="078F7797"/>
    <w:rsid w:val="079E79DA"/>
    <w:rsid w:val="07A956C9"/>
    <w:rsid w:val="07C134B6"/>
    <w:rsid w:val="07E01DA1"/>
    <w:rsid w:val="07EA41E0"/>
    <w:rsid w:val="07F97307"/>
    <w:rsid w:val="081E4FBF"/>
    <w:rsid w:val="082223BA"/>
    <w:rsid w:val="083F74D9"/>
    <w:rsid w:val="086C1887"/>
    <w:rsid w:val="087F5A5E"/>
    <w:rsid w:val="08843074"/>
    <w:rsid w:val="088B29B2"/>
    <w:rsid w:val="08AA0601"/>
    <w:rsid w:val="08BD0334"/>
    <w:rsid w:val="08F5187C"/>
    <w:rsid w:val="09012917"/>
    <w:rsid w:val="090223E6"/>
    <w:rsid w:val="09147D4A"/>
    <w:rsid w:val="09151F1E"/>
    <w:rsid w:val="0926237D"/>
    <w:rsid w:val="095B1E31"/>
    <w:rsid w:val="095E38C5"/>
    <w:rsid w:val="0963176D"/>
    <w:rsid w:val="09750C0F"/>
    <w:rsid w:val="0995305F"/>
    <w:rsid w:val="09A82D92"/>
    <w:rsid w:val="09AA4D5C"/>
    <w:rsid w:val="09B47989"/>
    <w:rsid w:val="09BA4A92"/>
    <w:rsid w:val="09C474A0"/>
    <w:rsid w:val="09EA7DB6"/>
    <w:rsid w:val="09EB6A51"/>
    <w:rsid w:val="09F058EB"/>
    <w:rsid w:val="09F258F5"/>
    <w:rsid w:val="0A267937"/>
    <w:rsid w:val="0A344626"/>
    <w:rsid w:val="0A5A4828"/>
    <w:rsid w:val="0A8D3D36"/>
    <w:rsid w:val="0AB204F6"/>
    <w:rsid w:val="0AD70623"/>
    <w:rsid w:val="0AE4604C"/>
    <w:rsid w:val="0AFD792C"/>
    <w:rsid w:val="0B09160F"/>
    <w:rsid w:val="0B18704D"/>
    <w:rsid w:val="0B27418B"/>
    <w:rsid w:val="0B4439AB"/>
    <w:rsid w:val="0B505490"/>
    <w:rsid w:val="0B7373D0"/>
    <w:rsid w:val="0B7F5D75"/>
    <w:rsid w:val="0B9A495D"/>
    <w:rsid w:val="0B9E444D"/>
    <w:rsid w:val="0BAA1044"/>
    <w:rsid w:val="0BB377CC"/>
    <w:rsid w:val="0BC11EE9"/>
    <w:rsid w:val="0BD47E6F"/>
    <w:rsid w:val="0BED2CDE"/>
    <w:rsid w:val="0BFB2FAB"/>
    <w:rsid w:val="0BFD0A89"/>
    <w:rsid w:val="0C0229D3"/>
    <w:rsid w:val="0C1F1487"/>
    <w:rsid w:val="0C2C7CAB"/>
    <w:rsid w:val="0C3006F6"/>
    <w:rsid w:val="0C370182"/>
    <w:rsid w:val="0C436DA2"/>
    <w:rsid w:val="0C4F6210"/>
    <w:rsid w:val="0C540FAF"/>
    <w:rsid w:val="0C594818"/>
    <w:rsid w:val="0C782EF0"/>
    <w:rsid w:val="0C79168F"/>
    <w:rsid w:val="0C8F023A"/>
    <w:rsid w:val="0C9951CA"/>
    <w:rsid w:val="0C9D4705"/>
    <w:rsid w:val="0CA830A9"/>
    <w:rsid w:val="0CAE6912"/>
    <w:rsid w:val="0CBD6B55"/>
    <w:rsid w:val="0CE20369"/>
    <w:rsid w:val="0CE95B9C"/>
    <w:rsid w:val="0CFE7192"/>
    <w:rsid w:val="0D004C93"/>
    <w:rsid w:val="0D006A41"/>
    <w:rsid w:val="0D026C5D"/>
    <w:rsid w:val="0D07573C"/>
    <w:rsid w:val="0D1150F2"/>
    <w:rsid w:val="0D2564A8"/>
    <w:rsid w:val="0D441024"/>
    <w:rsid w:val="0D5374B9"/>
    <w:rsid w:val="0D841421"/>
    <w:rsid w:val="0DB02216"/>
    <w:rsid w:val="0DF30354"/>
    <w:rsid w:val="0E211365"/>
    <w:rsid w:val="0E2F57E5"/>
    <w:rsid w:val="0E3270CE"/>
    <w:rsid w:val="0E356BBF"/>
    <w:rsid w:val="0E455054"/>
    <w:rsid w:val="0E7019A0"/>
    <w:rsid w:val="0E92627C"/>
    <w:rsid w:val="0E9B7165"/>
    <w:rsid w:val="0ED54029"/>
    <w:rsid w:val="0ED62150"/>
    <w:rsid w:val="0EDB6E79"/>
    <w:rsid w:val="0EE16C1E"/>
    <w:rsid w:val="0EE7610B"/>
    <w:rsid w:val="0EEA7378"/>
    <w:rsid w:val="0EF820C6"/>
    <w:rsid w:val="0EF95E3E"/>
    <w:rsid w:val="0EFD148A"/>
    <w:rsid w:val="0F024CF3"/>
    <w:rsid w:val="0F040A6B"/>
    <w:rsid w:val="0F1F0356"/>
    <w:rsid w:val="0F3D21CF"/>
    <w:rsid w:val="0F470958"/>
    <w:rsid w:val="0F492922"/>
    <w:rsid w:val="0F4B669A"/>
    <w:rsid w:val="0F552FFD"/>
    <w:rsid w:val="0F566DED"/>
    <w:rsid w:val="0F67724C"/>
    <w:rsid w:val="0F7D1947"/>
    <w:rsid w:val="0F865924"/>
    <w:rsid w:val="0FA64EF2"/>
    <w:rsid w:val="0FA97864"/>
    <w:rsid w:val="0FB32491"/>
    <w:rsid w:val="0FBA55CD"/>
    <w:rsid w:val="0FF52AA9"/>
    <w:rsid w:val="102313C5"/>
    <w:rsid w:val="10437371"/>
    <w:rsid w:val="105C0433"/>
    <w:rsid w:val="108867F7"/>
    <w:rsid w:val="108F0808"/>
    <w:rsid w:val="109C2F25"/>
    <w:rsid w:val="109E6C9D"/>
    <w:rsid w:val="10A6021F"/>
    <w:rsid w:val="10AA3894"/>
    <w:rsid w:val="10BC5375"/>
    <w:rsid w:val="10BE10ED"/>
    <w:rsid w:val="10C5247C"/>
    <w:rsid w:val="10D34B99"/>
    <w:rsid w:val="10E8616A"/>
    <w:rsid w:val="10F93ED3"/>
    <w:rsid w:val="11160F29"/>
    <w:rsid w:val="112371A2"/>
    <w:rsid w:val="112C6057"/>
    <w:rsid w:val="1145536B"/>
    <w:rsid w:val="11472E91"/>
    <w:rsid w:val="114809B7"/>
    <w:rsid w:val="116A4DD1"/>
    <w:rsid w:val="119836EC"/>
    <w:rsid w:val="11D150CD"/>
    <w:rsid w:val="11D24E50"/>
    <w:rsid w:val="1209283C"/>
    <w:rsid w:val="12110957"/>
    <w:rsid w:val="12176D07"/>
    <w:rsid w:val="12266F4A"/>
    <w:rsid w:val="122A4C8C"/>
    <w:rsid w:val="123B2824"/>
    <w:rsid w:val="125910CE"/>
    <w:rsid w:val="12635AA8"/>
    <w:rsid w:val="12704669"/>
    <w:rsid w:val="127777A6"/>
    <w:rsid w:val="127E28E2"/>
    <w:rsid w:val="12851EC3"/>
    <w:rsid w:val="129452EC"/>
    <w:rsid w:val="12A550B6"/>
    <w:rsid w:val="12AA1929"/>
    <w:rsid w:val="12AD31C8"/>
    <w:rsid w:val="12B60F72"/>
    <w:rsid w:val="12B941B2"/>
    <w:rsid w:val="12DC585B"/>
    <w:rsid w:val="12EF1A32"/>
    <w:rsid w:val="12F71682"/>
    <w:rsid w:val="13253BB0"/>
    <w:rsid w:val="132B4FDC"/>
    <w:rsid w:val="13313DF9"/>
    <w:rsid w:val="13405DEA"/>
    <w:rsid w:val="134A1DC4"/>
    <w:rsid w:val="13533D6F"/>
    <w:rsid w:val="13564903"/>
    <w:rsid w:val="1360648C"/>
    <w:rsid w:val="13623FB2"/>
    <w:rsid w:val="136A730B"/>
    <w:rsid w:val="137D0DEC"/>
    <w:rsid w:val="13A24CF6"/>
    <w:rsid w:val="13B62550"/>
    <w:rsid w:val="13BD1942"/>
    <w:rsid w:val="13C7650B"/>
    <w:rsid w:val="13CA2997"/>
    <w:rsid w:val="13E470BD"/>
    <w:rsid w:val="140137CB"/>
    <w:rsid w:val="140B464A"/>
    <w:rsid w:val="14117786"/>
    <w:rsid w:val="142851FC"/>
    <w:rsid w:val="142E658A"/>
    <w:rsid w:val="142F6F49"/>
    <w:rsid w:val="144638D4"/>
    <w:rsid w:val="14512147"/>
    <w:rsid w:val="14FD4200"/>
    <w:rsid w:val="14FE41AE"/>
    <w:rsid w:val="1517701E"/>
    <w:rsid w:val="151B08BC"/>
    <w:rsid w:val="152139F9"/>
    <w:rsid w:val="154020D1"/>
    <w:rsid w:val="154A11A2"/>
    <w:rsid w:val="15655FDB"/>
    <w:rsid w:val="15695ACC"/>
    <w:rsid w:val="15973CBB"/>
    <w:rsid w:val="15A46B04"/>
    <w:rsid w:val="15AE788B"/>
    <w:rsid w:val="15B91E83"/>
    <w:rsid w:val="15DA2525"/>
    <w:rsid w:val="15E45152"/>
    <w:rsid w:val="15F335E7"/>
    <w:rsid w:val="15F80BFE"/>
    <w:rsid w:val="15F829AC"/>
    <w:rsid w:val="15FA6F51"/>
    <w:rsid w:val="160F7CF5"/>
    <w:rsid w:val="16270B89"/>
    <w:rsid w:val="16556617"/>
    <w:rsid w:val="165C118C"/>
    <w:rsid w:val="168D57EA"/>
    <w:rsid w:val="16922719"/>
    <w:rsid w:val="16962300"/>
    <w:rsid w:val="16A173EB"/>
    <w:rsid w:val="16B234A2"/>
    <w:rsid w:val="16B6711B"/>
    <w:rsid w:val="16EA49EA"/>
    <w:rsid w:val="16F21AF1"/>
    <w:rsid w:val="16FC7D5F"/>
    <w:rsid w:val="17005FBC"/>
    <w:rsid w:val="170610F8"/>
    <w:rsid w:val="170A508C"/>
    <w:rsid w:val="177308D2"/>
    <w:rsid w:val="1796247C"/>
    <w:rsid w:val="17C20BA8"/>
    <w:rsid w:val="17E23FEB"/>
    <w:rsid w:val="17F65611"/>
    <w:rsid w:val="17F968C9"/>
    <w:rsid w:val="17FA6EAF"/>
    <w:rsid w:val="180269B7"/>
    <w:rsid w:val="1821268E"/>
    <w:rsid w:val="182201B4"/>
    <w:rsid w:val="183103F7"/>
    <w:rsid w:val="183A72AB"/>
    <w:rsid w:val="183C74C7"/>
    <w:rsid w:val="184A3267"/>
    <w:rsid w:val="18767B46"/>
    <w:rsid w:val="18AC5CCF"/>
    <w:rsid w:val="18C15A06"/>
    <w:rsid w:val="18C15E0C"/>
    <w:rsid w:val="18C2080B"/>
    <w:rsid w:val="19151AC7"/>
    <w:rsid w:val="192B4E46"/>
    <w:rsid w:val="19306900"/>
    <w:rsid w:val="193F500F"/>
    <w:rsid w:val="194A79C2"/>
    <w:rsid w:val="19510D51"/>
    <w:rsid w:val="196C5B8A"/>
    <w:rsid w:val="197467ED"/>
    <w:rsid w:val="1977452F"/>
    <w:rsid w:val="198253AE"/>
    <w:rsid w:val="198A7DBF"/>
    <w:rsid w:val="199306BA"/>
    <w:rsid w:val="19960E59"/>
    <w:rsid w:val="199B1FCC"/>
    <w:rsid w:val="19A30E80"/>
    <w:rsid w:val="19C72DC1"/>
    <w:rsid w:val="19C821FF"/>
    <w:rsid w:val="19D0740C"/>
    <w:rsid w:val="19F636A6"/>
    <w:rsid w:val="19FE52B1"/>
    <w:rsid w:val="1A00719B"/>
    <w:rsid w:val="1A231FC1"/>
    <w:rsid w:val="1A331EC7"/>
    <w:rsid w:val="1A475CB0"/>
    <w:rsid w:val="1A4F2DB6"/>
    <w:rsid w:val="1A78055F"/>
    <w:rsid w:val="1A7C004F"/>
    <w:rsid w:val="1A91517D"/>
    <w:rsid w:val="1A952EBF"/>
    <w:rsid w:val="1A9A2283"/>
    <w:rsid w:val="1AA66E7A"/>
    <w:rsid w:val="1AAB26E2"/>
    <w:rsid w:val="1AD5775F"/>
    <w:rsid w:val="1AE14356"/>
    <w:rsid w:val="1AE9320B"/>
    <w:rsid w:val="1AF5306A"/>
    <w:rsid w:val="1B3E5305"/>
    <w:rsid w:val="1B4B65BE"/>
    <w:rsid w:val="1B4D72F6"/>
    <w:rsid w:val="1B591397"/>
    <w:rsid w:val="1B5F6D18"/>
    <w:rsid w:val="1B712013"/>
    <w:rsid w:val="1B753643"/>
    <w:rsid w:val="1B754A9E"/>
    <w:rsid w:val="1B8D3BC9"/>
    <w:rsid w:val="1BA45BF2"/>
    <w:rsid w:val="1BA84E74"/>
    <w:rsid w:val="1BB2184F"/>
    <w:rsid w:val="1BB83309"/>
    <w:rsid w:val="1BCC2910"/>
    <w:rsid w:val="1BCD02DF"/>
    <w:rsid w:val="1BD16179"/>
    <w:rsid w:val="1BDF705C"/>
    <w:rsid w:val="1BE340FE"/>
    <w:rsid w:val="1BE539D2"/>
    <w:rsid w:val="1BE76486"/>
    <w:rsid w:val="1BF4219C"/>
    <w:rsid w:val="1BF56D7C"/>
    <w:rsid w:val="1C35495A"/>
    <w:rsid w:val="1C3B7F15"/>
    <w:rsid w:val="1C3E478C"/>
    <w:rsid w:val="1C4921B3"/>
    <w:rsid w:val="1C5841A4"/>
    <w:rsid w:val="1C5B5A42"/>
    <w:rsid w:val="1C6A2129"/>
    <w:rsid w:val="1C8C20A0"/>
    <w:rsid w:val="1C8C6544"/>
    <w:rsid w:val="1C952E37"/>
    <w:rsid w:val="1C9B6191"/>
    <w:rsid w:val="1CC7132A"/>
    <w:rsid w:val="1CD13F56"/>
    <w:rsid w:val="1CDF48C5"/>
    <w:rsid w:val="1CF12709"/>
    <w:rsid w:val="1D1D5F85"/>
    <w:rsid w:val="1D2422D8"/>
    <w:rsid w:val="1D294E8E"/>
    <w:rsid w:val="1D5C7CC4"/>
    <w:rsid w:val="1D631052"/>
    <w:rsid w:val="1D81597C"/>
    <w:rsid w:val="1D8B2357"/>
    <w:rsid w:val="1DAD49C3"/>
    <w:rsid w:val="1DB95116"/>
    <w:rsid w:val="1DC945CC"/>
    <w:rsid w:val="1DCB6BF8"/>
    <w:rsid w:val="1DD27F86"/>
    <w:rsid w:val="1DDB508D"/>
    <w:rsid w:val="1DF66931"/>
    <w:rsid w:val="1E0D63EC"/>
    <w:rsid w:val="1E114F52"/>
    <w:rsid w:val="1E360DD3"/>
    <w:rsid w:val="1E43187E"/>
    <w:rsid w:val="1E432C32"/>
    <w:rsid w:val="1E4B2105"/>
    <w:rsid w:val="1E522559"/>
    <w:rsid w:val="1E5E3C91"/>
    <w:rsid w:val="1E74103D"/>
    <w:rsid w:val="1E7E3C6A"/>
    <w:rsid w:val="1E840B01"/>
    <w:rsid w:val="1E8F40C9"/>
    <w:rsid w:val="1E957931"/>
    <w:rsid w:val="1EB202A6"/>
    <w:rsid w:val="1EFD3632"/>
    <w:rsid w:val="1F1F71FB"/>
    <w:rsid w:val="1F2D7B6A"/>
    <w:rsid w:val="1F361D51"/>
    <w:rsid w:val="1F394761"/>
    <w:rsid w:val="1F4C3F3B"/>
    <w:rsid w:val="1F58270D"/>
    <w:rsid w:val="1F645556"/>
    <w:rsid w:val="1F795D0D"/>
    <w:rsid w:val="1F95570F"/>
    <w:rsid w:val="1FA616CA"/>
    <w:rsid w:val="1FAF4A23"/>
    <w:rsid w:val="1FB65588"/>
    <w:rsid w:val="1FC57DA2"/>
    <w:rsid w:val="1FD32E5C"/>
    <w:rsid w:val="1FE16BA6"/>
    <w:rsid w:val="1FE2222E"/>
    <w:rsid w:val="1FF64400"/>
    <w:rsid w:val="1FF71F26"/>
    <w:rsid w:val="200B240A"/>
    <w:rsid w:val="201E367D"/>
    <w:rsid w:val="20360CA0"/>
    <w:rsid w:val="20375041"/>
    <w:rsid w:val="2039253E"/>
    <w:rsid w:val="20605EA5"/>
    <w:rsid w:val="20665E37"/>
    <w:rsid w:val="20672C08"/>
    <w:rsid w:val="20786B16"/>
    <w:rsid w:val="20893C77"/>
    <w:rsid w:val="20947775"/>
    <w:rsid w:val="20BD6CCC"/>
    <w:rsid w:val="20E34258"/>
    <w:rsid w:val="20F27EB9"/>
    <w:rsid w:val="20F546B7"/>
    <w:rsid w:val="210C5C17"/>
    <w:rsid w:val="211508B6"/>
    <w:rsid w:val="21171A7F"/>
    <w:rsid w:val="21187BA4"/>
    <w:rsid w:val="21262AC3"/>
    <w:rsid w:val="214116AB"/>
    <w:rsid w:val="214E201A"/>
    <w:rsid w:val="215A09BE"/>
    <w:rsid w:val="216655B5"/>
    <w:rsid w:val="21892883"/>
    <w:rsid w:val="218C6981"/>
    <w:rsid w:val="21A61547"/>
    <w:rsid w:val="21B04A82"/>
    <w:rsid w:val="21B87493"/>
    <w:rsid w:val="21BE0F4D"/>
    <w:rsid w:val="21C127EB"/>
    <w:rsid w:val="21C30A26"/>
    <w:rsid w:val="21EA1D42"/>
    <w:rsid w:val="21EF7359"/>
    <w:rsid w:val="22277108"/>
    <w:rsid w:val="223B07F0"/>
    <w:rsid w:val="226D4721"/>
    <w:rsid w:val="227855A0"/>
    <w:rsid w:val="227C1950"/>
    <w:rsid w:val="22A719E1"/>
    <w:rsid w:val="22AA14D2"/>
    <w:rsid w:val="22B42350"/>
    <w:rsid w:val="22BF31CF"/>
    <w:rsid w:val="22D30A28"/>
    <w:rsid w:val="22DC0A1F"/>
    <w:rsid w:val="22DD18A7"/>
    <w:rsid w:val="22E26EBD"/>
    <w:rsid w:val="22E46A00"/>
    <w:rsid w:val="22EE5862"/>
    <w:rsid w:val="230706D2"/>
    <w:rsid w:val="230B6414"/>
    <w:rsid w:val="231177A3"/>
    <w:rsid w:val="231D7EF5"/>
    <w:rsid w:val="233A2855"/>
    <w:rsid w:val="23405992"/>
    <w:rsid w:val="23447230"/>
    <w:rsid w:val="23571659"/>
    <w:rsid w:val="238E13E1"/>
    <w:rsid w:val="23B24AE2"/>
    <w:rsid w:val="23B42DDB"/>
    <w:rsid w:val="23B91F73"/>
    <w:rsid w:val="23C87E61"/>
    <w:rsid w:val="23C91E2B"/>
    <w:rsid w:val="23ED5DEC"/>
    <w:rsid w:val="23F0560A"/>
    <w:rsid w:val="24044C11"/>
    <w:rsid w:val="240864B0"/>
    <w:rsid w:val="240F5A90"/>
    <w:rsid w:val="24172B97"/>
    <w:rsid w:val="2418246B"/>
    <w:rsid w:val="241C63FF"/>
    <w:rsid w:val="242F7EE0"/>
    <w:rsid w:val="243473B1"/>
    <w:rsid w:val="244A6AC8"/>
    <w:rsid w:val="245E4322"/>
    <w:rsid w:val="245F009A"/>
    <w:rsid w:val="246F4781"/>
    <w:rsid w:val="2472601F"/>
    <w:rsid w:val="24736D00"/>
    <w:rsid w:val="248A15BB"/>
    <w:rsid w:val="248A3369"/>
    <w:rsid w:val="249E0BC2"/>
    <w:rsid w:val="24C02B77"/>
    <w:rsid w:val="24C40920"/>
    <w:rsid w:val="24CF263A"/>
    <w:rsid w:val="24FB4266"/>
    <w:rsid w:val="250C0222"/>
    <w:rsid w:val="252C08C4"/>
    <w:rsid w:val="253432D4"/>
    <w:rsid w:val="254E25E8"/>
    <w:rsid w:val="25506360"/>
    <w:rsid w:val="25541EB2"/>
    <w:rsid w:val="256C0CC0"/>
    <w:rsid w:val="2572277A"/>
    <w:rsid w:val="25873D4C"/>
    <w:rsid w:val="25956469"/>
    <w:rsid w:val="259C2D86"/>
    <w:rsid w:val="25A62424"/>
    <w:rsid w:val="25B14925"/>
    <w:rsid w:val="25B221B4"/>
    <w:rsid w:val="25C64874"/>
    <w:rsid w:val="25C93ACF"/>
    <w:rsid w:val="261B1A04"/>
    <w:rsid w:val="26211AAB"/>
    <w:rsid w:val="2624159B"/>
    <w:rsid w:val="26266F25"/>
    <w:rsid w:val="26325A66"/>
    <w:rsid w:val="26795443"/>
    <w:rsid w:val="269E759F"/>
    <w:rsid w:val="26BC7A25"/>
    <w:rsid w:val="26CD578F"/>
    <w:rsid w:val="26E36D60"/>
    <w:rsid w:val="26EF6DFB"/>
    <w:rsid w:val="272E26D1"/>
    <w:rsid w:val="273121C1"/>
    <w:rsid w:val="274719E5"/>
    <w:rsid w:val="27483067"/>
    <w:rsid w:val="27533EE6"/>
    <w:rsid w:val="27545EB0"/>
    <w:rsid w:val="276B7482"/>
    <w:rsid w:val="276C31F9"/>
    <w:rsid w:val="27764507"/>
    <w:rsid w:val="27765E26"/>
    <w:rsid w:val="277F4CDB"/>
    <w:rsid w:val="278D6728"/>
    <w:rsid w:val="27962024"/>
    <w:rsid w:val="27A116B6"/>
    <w:rsid w:val="27F058DE"/>
    <w:rsid w:val="27FE6547"/>
    <w:rsid w:val="281E2746"/>
    <w:rsid w:val="282424E5"/>
    <w:rsid w:val="28283F7D"/>
    <w:rsid w:val="283D27F5"/>
    <w:rsid w:val="284E28FF"/>
    <w:rsid w:val="287A1946"/>
    <w:rsid w:val="289A78F2"/>
    <w:rsid w:val="28EC1541"/>
    <w:rsid w:val="28FD67FF"/>
    <w:rsid w:val="29023E15"/>
    <w:rsid w:val="29053906"/>
    <w:rsid w:val="292D2626"/>
    <w:rsid w:val="293926EA"/>
    <w:rsid w:val="2939535D"/>
    <w:rsid w:val="295B3526"/>
    <w:rsid w:val="29693E94"/>
    <w:rsid w:val="298B5A4B"/>
    <w:rsid w:val="298F3CE6"/>
    <w:rsid w:val="29AF73CD"/>
    <w:rsid w:val="29DD1890"/>
    <w:rsid w:val="29E466C7"/>
    <w:rsid w:val="29F6324E"/>
    <w:rsid w:val="2A004A26"/>
    <w:rsid w:val="2A0106FC"/>
    <w:rsid w:val="2A0911D4"/>
    <w:rsid w:val="2A0C65CE"/>
    <w:rsid w:val="2A1D4C7F"/>
    <w:rsid w:val="2A1F09F7"/>
    <w:rsid w:val="2A3E0093"/>
    <w:rsid w:val="2A5C57A7"/>
    <w:rsid w:val="2A5D507B"/>
    <w:rsid w:val="2A685EFA"/>
    <w:rsid w:val="2AD73080"/>
    <w:rsid w:val="2AE80DE9"/>
    <w:rsid w:val="2B083239"/>
    <w:rsid w:val="2B0A6FB1"/>
    <w:rsid w:val="2B395AE8"/>
    <w:rsid w:val="2B4A3852"/>
    <w:rsid w:val="2B524F32"/>
    <w:rsid w:val="2B603075"/>
    <w:rsid w:val="2B69017C"/>
    <w:rsid w:val="2B6D12EE"/>
    <w:rsid w:val="2B6F150A"/>
    <w:rsid w:val="2B726905"/>
    <w:rsid w:val="2B7E34FB"/>
    <w:rsid w:val="2B870602"/>
    <w:rsid w:val="2BB94533"/>
    <w:rsid w:val="2BD307D3"/>
    <w:rsid w:val="2BD733B6"/>
    <w:rsid w:val="2BE0727F"/>
    <w:rsid w:val="2BE5745F"/>
    <w:rsid w:val="2BF10171"/>
    <w:rsid w:val="2C1C3440"/>
    <w:rsid w:val="2C223075"/>
    <w:rsid w:val="2C42277B"/>
    <w:rsid w:val="2C4C5300"/>
    <w:rsid w:val="2C5724E3"/>
    <w:rsid w:val="2C5D75B5"/>
    <w:rsid w:val="2C5F50DB"/>
    <w:rsid w:val="2C681F1F"/>
    <w:rsid w:val="2C83526D"/>
    <w:rsid w:val="2C8B4122"/>
    <w:rsid w:val="2C9A25B7"/>
    <w:rsid w:val="2CB01DDA"/>
    <w:rsid w:val="2CBD0053"/>
    <w:rsid w:val="2CC92505"/>
    <w:rsid w:val="2CE83D50"/>
    <w:rsid w:val="2D0D2D89"/>
    <w:rsid w:val="2D1F5D48"/>
    <w:rsid w:val="2D214A86"/>
    <w:rsid w:val="2D346567"/>
    <w:rsid w:val="2D393B7E"/>
    <w:rsid w:val="2D3E4386"/>
    <w:rsid w:val="2D4349FC"/>
    <w:rsid w:val="2D5C786C"/>
    <w:rsid w:val="2D5E5941"/>
    <w:rsid w:val="2D60466C"/>
    <w:rsid w:val="2D67693D"/>
    <w:rsid w:val="2D6D3827"/>
    <w:rsid w:val="2D727090"/>
    <w:rsid w:val="2D8F7C42"/>
    <w:rsid w:val="2D9B0395"/>
    <w:rsid w:val="2DB63420"/>
    <w:rsid w:val="2DB80F46"/>
    <w:rsid w:val="2DC23B73"/>
    <w:rsid w:val="2DCE076A"/>
    <w:rsid w:val="2DD35D80"/>
    <w:rsid w:val="2DE41D3C"/>
    <w:rsid w:val="2DE75388"/>
    <w:rsid w:val="2DF259C6"/>
    <w:rsid w:val="2E075A2A"/>
    <w:rsid w:val="2E297761"/>
    <w:rsid w:val="2E385BE3"/>
    <w:rsid w:val="2E3F6F72"/>
    <w:rsid w:val="2E52619A"/>
    <w:rsid w:val="2E636E27"/>
    <w:rsid w:val="2E70537D"/>
    <w:rsid w:val="2E76670C"/>
    <w:rsid w:val="2EA4738B"/>
    <w:rsid w:val="2EBB4873"/>
    <w:rsid w:val="2EE30245"/>
    <w:rsid w:val="2EFB33FE"/>
    <w:rsid w:val="2EFC1D12"/>
    <w:rsid w:val="2F300FB0"/>
    <w:rsid w:val="2F391C13"/>
    <w:rsid w:val="2F3E36CD"/>
    <w:rsid w:val="2F7C5FA4"/>
    <w:rsid w:val="302F1268"/>
    <w:rsid w:val="3038636F"/>
    <w:rsid w:val="30444D13"/>
    <w:rsid w:val="30662EDC"/>
    <w:rsid w:val="30764BE7"/>
    <w:rsid w:val="309A2B85"/>
    <w:rsid w:val="30C776F3"/>
    <w:rsid w:val="30CD16E2"/>
    <w:rsid w:val="30E87D95"/>
    <w:rsid w:val="30F027A5"/>
    <w:rsid w:val="30F32296"/>
    <w:rsid w:val="30FA6E42"/>
    <w:rsid w:val="31037E57"/>
    <w:rsid w:val="31046701"/>
    <w:rsid w:val="310F3573"/>
    <w:rsid w:val="313034EA"/>
    <w:rsid w:val="31352618"/>
    <w:rsid w:val="313528AE"/>
    <w:rsid w:val="31536FAB"/>
    <w:rsid w:val="31682C84"/>
    <w:rsid w:val="31857392"/>
    <w:rsid w:val="31AB1737"/>
    <w:rsid w:val="31B859B9"/>
    <w:rsid w:val="31BC4AE7"/>
    <w:rsid w:val="31C00377"/>
    <w:rsid w:val="31C25E79"/>
    <w:rsid w:val="31C90226"/>
    <w:rsid w:val="31CC5D7B"/>
    <w:rsid w:val="31D71BB7"/>
    <w:rsid w:val="31E3055C"/>
    <w:rsid w:val="31F77B64"/>
    <w:rsid w:val="32144BB9"/>
    <w:rsid w:val="32352D40"/>
    <w:rsid w:val="3239017C"/>
    <w:rsid w:val="32425283"/>
    <w:rsid w:val="326A6587"/>
    <w:rsid w:val="327A2C6E"/>
    <w:rsid w:val="328055A1"/>
    <w:rsid w:val="329B0E37"/>
    <w:rsid w:val="32A52782"/>
    <w:rsid w:val="32B141B6"/>
    <w:rsid w:val="32B83797"/>
    <w:rsid w:val="32C64B91"/>
    <w:rsid w:val="32CE263E"/>
    <w:rsid w:val="32E620B2"/>
    <w:rsid w:val="32F742BF"/>
    <w:rsid w:val="330F05D7"/>
    <w:rsid w:val="331309CD"/>
    <w:rsid w:val="333948D8"/>
    <w:rsid w:val="335C4122"/>
    <w:rsid w:val="336B0D0B"/>
    <w:rsid w:val="337F6063"/>
    <w:rsid w:val="33833DA5"/>
    <w:rsid w:val="338E4CED"/>
    <w:rsid w:val="339715FE"/>
    <w:rsid w:val="33A1422B"/>
    <w:rsid w:val="33A66BC8"/>
    <w:rsid w:val="33B435B0"/>
    <w:rsid w:val="33C30645"/>
    <w:rsid w:val="33C320C4"/>
    <w:rsid w:val="340C2E5E"/>
    <w:rsid w:val="344F1ED9"/>
    <w:rsid w:val="345614B9"/>
    <w:rsid w:val="346C7B97"/>
    <w:rsid w:val="346C7D60"/>
    <w:rsid w:val="34781430"/>
    <w:rsid w:val="348C6C89"/>
    <w:rsid w:val="34937A91"/>
    <w:rsid w:val="3498562E"/>
    <w:rsid w:val="34A55F9D"/>
    <w:rsid w:val="34AB0C99"/>
    <w:rsid w:val="34F5482E"/>
    <w:rsid w:val="350820D3"/>
    <w:rsid w:val="350D601C"/>
    <w:rsid w:val="354E2190"/>
    <w:rsid w:val="35507CB7"/>
    <w:rsid w:val="35DB7EC8"/>
    <w:rsid w:val="35E52AF5"/>
    <w:rsid w:val="35FF36F3"/>
    <w:rsid w:val="360D5BA8"/>
    <w:rsid w:val="36116DAA"/>
    <w:rsid w:val="361231BE"/>
    <w:rsid w:val="36270212"/>
    <w:rsid w:val="364610BA"/>
    <w:rsid w:val="3647730B"/>
    <w:rsid w:val="366C4FC4"/>
    <w:rsid w:val="3687595A"/>
    <w:rsid w:val="36981915"/>
    <w:rsid w:val="369E2CA4"/>
    <w:rsid w:val="36A302BA"/>
    <w:rsid w:val="36BB5604"/>
    <w:rsid w:val="36C02C1A"/>
    <w:rsid w:val="36D61FCF"/>
    <w:rsid w:val="36DD557A"/>
    <w:rsid w:val="36E508D2"/>
    <w:rsid w:val="36EA39D5"/>
    <w:rsid w:val="37040D59"/>
    <w:rsid w:val="371371EE"/>
    <w:rsid w:val="371A057C"/>
    <w:rsid w:val="37212067"/>
    <w:rsid w:val="373A6E70"/>
    <w:rsid w:val="373E6D06"/>
    <w:rsid w:val="37660D5D"/>
    <w:rsid w:val="377E4FAF"/>
    <w:rsid w:val="378620B5"/>
    <w:rsid w:val="378843F5"/>
    <w:rsid w:val="378E4AC6"/>
    <w:rsid w:val="37962A96"/>
    <w:rsid w:val="379876F3"/>
    <w:rsid w:val="37C369C6"/>
    <w:rsid w:val="37C50F6E"/>
    <w:rsid w:val="37D42E21"/>
    <w:rsid w:val="37DA7D0B"/>
    <w:rsid w:val="37ED5C91"/>
    <w:rsid w:val="37F01A08"/>
    <w:rsid w:val="37F62DE6"/>
    <w:rsid w:val="37FD2F07"/>
    <w:rsid w:val="37FE1C4C"/>
    <w:rsid w:val="380A4A95"/>
    <w:rsid w:val="38233460"/>
    <w:rsid w:val="382947EF"/>
    <w:rsid w:val="38397128"/>
    <w:rsid w:val="383E029A"/>
    <w:rsid w:val="38504E6F"/>
    <w:rsid w:val="38575800"/>
    <w:rsid w:val="386C12AB"/>
    <w:rsid w:val="388E7474"/>
    <w:rsid w:val="38AA1DD4"/>
    <w:rsid w:val="38B527CF"/>
    <w:rsid w:val="38B61B6D"/>
    <w:rsid w:val="38CA6CB0"/>
    <w:rsid w:val="38D46E50"/>
    <w:rsid w:val="38E250CA"/>
    <w:rsid w:val="39012314"/>
    <w:rsid w:val="39096AFA"/>
    <w:rsid w:val="39214EA9"/>
    <w:rsid w:val="393C7109"/>
    <w:rsid w:val="39477622"/>
    <w:rsid w:val="39551D3F"/>
    <w:rsid w:val="395835DE"/>
    <w:rsid w:val="395F496C"/>
    <w:rsid w:val="39602492"/>
    <w:rsid w:val="39744D1E"/>
    <w:rsid w:val="397D02D4"/>
    <w:rsid w:val="39A16D33"/>
    <w:rsid w:val="39E17D50"/>
    <w:rsid w:val="39F350B4"/>
    <w:rsid w:val="39F96B6F"/>
    <w:rsid w:val="3A0B63E1"/>
    <w:rsid w:val="3A175247"/>
    <w:rsid w:val="3A3C6A5B"/>
    <w:rsid w:val="3A557B1D"/>
    <w:rsid w:val="3A575643"/>
    <w:rsid w:val="3A5C04DB"/>
    <w:rsid w:val="3A5F274A"/>
    <w:rsid w:val="3A6D4E67"/>
    <w:rsid w:val="3A7206CF"/>
    <w:rsid w:val="3A8E4477"/>
    <w:rsid w:val="3A9C74FA"/>
    <w:rsid w:val="3AAD7959"/>
    <w:rsid w:val="3AD76784"/>
    <w:rsid w:val="3ADB2718"/>
    <w:rsid w:val="3B032C08"/>
    <w:rsid w:val="3B111708"/>
    <w:rsid w:val="3B1B0D67"/>
    <w:rsid w:val="3B2477AE"/>
    <w:rsid w:val="3B2D2C0A"/>
    <w:rsid w:val="3B2E2848"/>
    <w:rsid w:val="3B5C700A"/>
    <w:rsid w:val="3B8E778B"/>
    <w:rsid w:val="3BB84807"/>
    <w:rsid w:val="3BBE792D"/>
    <w:rsid w:val="3BC767F9"/>
    <w:rsid w:val="3BCE5DD9"/>
    <w:rsid w:val="3BFA07DD"/>
    <w:rsid w:val="3C047A4D"/>
    <w:rsid w:val="3C11114C"/>
    <w:rsid w:val="3C167F21"/>
    <w:rsid w:val="3C1C4D96"/>
    <w:rsid w:val="3C3519B4"/>
    <w:rsid w:val="3C461E13"/>
    <w:rsid w:val="3C8B7826"/>
    <w:rsid w:val="3C8C1F1C"/>
    <w:rsid w:val="3C94492D"/>
    <w:rsid w:val="3CA1529C"/>
    <w:rsid w:val="3CA54D8C"/>
    <w:rsid w:val="3CAD544D"/>
    <w:rsid w:val="3CB52AF5"/>
    <w:rsid w:val="3CC1149A"/>
    <w:rsid w:val="3CEF4259"/>
    <w:rsid w:val="3CFB49AC"/>
    <w:rsid w:val="3D3251D4"/>
    <w:rsid w:val="3D3D4FC4"/>
    <w:rsid w:val="3D430101"/>
    <w:rsid w:val="3D474095"/>
    <w:rsid w:val="3D5A3DC8"/>
    <w:rsid w:val="3D87623F"/>
    <w:rsid w:val="3D8C7CFA"/>
    <w:rsid w:val="3D9406C6"/>
    <w:rsid w:val="3DA2751D"/>
    <w:rsid w:val="3DA878BB"/>
    <w:rsid w:val="3E0548A9"/>
    <w:rsid w:val="3E300685"/>
    <w:rsid w:val="3E36714C"/>
    <w:rsid w:val="3E3C1720"/>
    <w:rsid w:val="3E442382"/>
    <w:rsid w:val="3E5A7DF8"/>
    <w:rsid w:val="3E60168E"/>
    <w:rsid w:val="3E622809"/>
    <w:rsid w:val="3E646581"/>
    <w:rsid w:val="3E7A29B1"/>
    <w:rsid w:val="3E7C23FF"/>
    <w:rsid w:val="3E832EAB"/>
    <w:rsid w:val="3E9D4299"/>
    <w:rsid w:val="3EA451EA"/>
    <w:rsid w:val="3EBC460F"/>
    <w:rsid w:val="3EE029C8"/>
    <w:rsid w:val="3EEA4CD8"/>
    <w:rsid w:val="3F261A88"/>
    <w:rsid w:val="3F5465F5"/>
    <w:rsid w:val="3F7E0A4D"/>
    <w:rsid w:val="3FA915B5"/>
    <w:rsid w:val="3FAF361E"/>
    <w:rsid w:val="3FB53538"/>
    <w:rsid w:val="3FEB5F46"/>
    <w:rsid w:val="3FF676AC"/>
    <w:rsid w:val="3FFB2F15"/>
    <w:rsid w:val="400E0E9A"/>
    <w:rsid w:val="40112359"/>
    <w:rsid w:val="40526FD9"/>
    <w:rsid w:val="40673D94"/>
    <w:rsid w:val="40692574"/>
    <w:rsid w:val="407D2605"/>
    <w:rsid w:val="40972C3D"/>
    <w:rsid w:val="40FB78EC"/>
    <w:rsid w:val="4102348A"/>
    <w:rsid w:val="410A1661"/>
    <w:rsid w:val="410F4ECA"/>
    <w:rsid w:val="41160006"/>
    <w:rsid w:val="412D35A2"/>
    <w:rsid w:val="41322966"/>
    <w:rsid w:val="414538EA"/>
    <w:rsid w:val="414B4E84"/>
    <w:rsid w:val="41601281"/>
    <w:rsid w:val="417E7959"/>
    <w:rsid w:val="418D4040"/>
    <w:rsid w:val="41967399"/>
    <w:rsid w:val="41984EBF"/>
    <w:rsid w:val="41A90E7A"/>
    <w:rsid w:val="41B617E9"/>
    <w:rsid w:val="41CA2B9F"/>
    <w:rsid w:val="41CC62BE"/>
    <w:rsid w:val="41D7554B"/>
    <w:rsid w:val="41E2613A"/>
    <w:rsid w:val="41E55C2A"/>
    <w:rsid w:val="41EC23EE"/>
    <w:rsid w:val="420F2CA7"/>
    <w:rsid w:val="4214206C"/>
    <w:rsid w:val="42424E2B"/>
    <w:rsid w:val="42470693"/>
    <w:rsid w:val="428E0070"/>
    <w:rsid w:val="429F5A58"/>
    <w:rsid w:val="42B20202"/>
    <w:rsid w:val="42B9333F"/>
    <w:rsid w:val="42BE6BA7"/>
    <w:rsid w:val="42E53C86"/>
    <w:rsid w:val="42EC61BC"/>
    <w:rsid w:val="42FF6064"/>
    <w:rsid w:val="43040332"/>
    <w:rsid w:val="430F11B1"/>
    <w:rsid w:val="43160791"/>
    <w:rsid w:val="4332516D"/>
    <w:rsid w:val="433A0A40"/>
    <w:rsid w:val="4351249E"/>
    <w:rsid w:val="438C2802"/>
    <w:rsid w:val="43BF2BD7"/>
    <w:rsid w:val="43BF2C9A"/>
    <w:rsid w:val="43EB225E"/>
    <w:rsid w:val="440F51E1"/>
    <w:rsid w:val="441E71D2"/>
    <w:rsid w:val="44421112"/>
    <w:rsid w:val="444255B6"/>
    <w:rsid w:val="44585C37"/>
    <w:rsid w:val="445F1CC4"/>
    <w:rsid w:val="44784B34"/>
    <w:rsid w:val="4491632A"/>
    <w:rsid w:val="44A07888"/>
    <w:rsid w:val="44B32010"/>
    <w:rsid w:val="44BA339E"/>
    <w:rsid w:val="44BD4C3D"/>
    <w:rsid w:val="44C1141E"/>
    <w:rsid w:val="44C24001"/>
    <w:rsid w:val="44CB735A"/>
    <w:rsid w:val="44D31252"/>
    <w:rsid w:val="44D51F86"/>
    <w:rsid w:val="44ED5522"/>
    <w:rsid w:val="4513380A"/>
    <w:rsid w:val="45433394"/>
    <w:rsid w:val="45634DF7"/>
    <w:rsid w:val="456357E4"/>
    <w:rsid w:val="45840E46"/>
    <w:rsid w:val="4588524B"/>
    <w:rsid w:val="458F65D9"/>
    <w:rsid w:val="45991206"/>
    <w:rsid w:val="45995BB2"/>
    <w:rsid w:val="45A32084"/>
    <w:rsid w:val="45E71F71"/>
    <w:rsid w:val="46020B59"/>
    <w:rsid w:val="4616639C"/>
    <w:rsid w:val="461B46D8"/>
    <w:rsid w:val="46207231"/>
    <w:rsid w:val="46244F73"/>
    <w:rsid w:val="466C0C5A"/>
    <w:rsid w:val="46712183"/>
    <w:rsid w:val="467F00E4"/>
    <w:rsid w:val="468E4AE3"/>
    <w:rsid w:val="469F284C"/>
    <w:rsid w:val="46A2233C"/>
    <w:rsid w:val="46A61E2C"/>
    <w:rsid w:val="46AD50FD"/>
    <w:rsid w:val="46D85D5E"/>
    <w:rsid w:val="46E2098A"/>
    <w:rsid w:val="46EF4E5C"/>
    <w:rsid w:val="46FA3F26"/>
    <w:rsid w:val="471843AC"/>
    <w:rsid w:val="47392CA0"/>
    <w:rsid w:val="476E221E"/>
    <w:rsid w:val="4779309D"/>
    <w:rsid w:val="47847C82"/>
    <w:rsid w:val="478657BA"/>
    <w:rsid w:val="47BC742D"/>
    <w:rsid w:val="47BD685E"/>
    <w:rsid w:val="47C85DD2"/>
    <w:rsid w:val="47DB5B06"/>
    <w:rsid w:val="47EA5D49"/>
    <w:rsid w:val="47EC27D2"/>
    <w:rsid w:val="47FC782A"/>
    <w:rsid w:val="481F2FAA"/>
    <w:rsid w:val="482C6361"/>
    <w:rsid w:val="48382F58"/>
    <w:rsid w:val="483E6094"/>
    <w:rsid w:val="484F3DFE"/>
    <w:rsid w:val="484F69D2"/>
    <w:rsid w:val="48531B40"/>
    <w:rsid w:val="4860425D"/>
    <w:rsid w:val="48693111"/>
    <w:rsid w:val="488276CC"/>
    <w:rsid w:val="48941A45"/>
    <w:rsid w:val="48D40BBB"/>
    <w:rsid w:val="48F1655B"/>
    <w:rsid w:val="48FA08C3"/>
    <w:rsid w:val="49003397"/>
    <w:rsid w:val="490E1F0B"/>
    <w:rsid w:val="49105C83"/>
    <w:rsid w:val="49156DF5"/>
    <w:rsid w:val="491D214E"/>
    <w:rsid w:val="493C6A78"/>
    <w:rsid w:val="494C27E3"/>
    <w:rsid w:val="496D09DF"/>
    <w:rsid w:val="496F29A9"/>
    <w:rsid w:val="49856524"/>
    <w:rsid w:val="49867CF3"/>
    <w:rsid w:val="49940662"/>
    <w:rsid w:val="49C600F0"/>
    <w:rsid w:val="49C8030C"/>
    <w:rsid w:val="49E54A1A"/>
    <w:rsid w:val="49E862B8"/>
    <w:rsid w:val="49F66B3A"/>
    <w:rsid w:val="4A0A0924"/>
    <w:rsid w:val="4A25750C"/>
    <w:rsid w:val="4A3D4856"/>
    <w:rsid w:val="4A5B2F2E"/>
    <w:rsid w:val="4A5C5CE8"/>
    <w:rsid w:val="4AB61F9C"/>
    <w:rsid w:val="4AC565F9"/>
    <w:rsid w:val="4ADD3943"/>
    <w:rsid w:val="4AE37EC1"/>
    <w:rsid w:val="4AFF6B16"/>
    <w:rsid w:val="4B052E99"/>
    <w:rsid w:val="4B0C247A"/>
    <w:rsid w:val="4B1055F5"/>
    <w:rsid w:val="4B26353C"/>
    <w:rsid w:val="4B2B2900"/>
    <w:rsid w:val="4B2E0642"/>
    <w:rsid w:val="4B2E18EE"/>
    <w:rsid w:val="4B4340EE"/>
    <w:rsid w:val="4B555BCF"/>
    <w:rsid w:val="4B692BD6"/>
    <w:rsid w:val="4B7702A6"/>
    <w:rsid w:val="4B847060"/>
    <w:rsid w:val="4B92297F"/>
    <w:rsid w:val="4B9F509C"/>
    <w:rsid w:val="4BB26B7D"/>
    <w:rsid w:val="4BBC79FC"/>
    <w:rsid w:val="4BC82845"/>
    <w:rsid w:val="4BD50ABE"/>
    <w:rsid w:val="4BE07B8E"/>
    <w:rsid w:val="4BE24EDF"/>
    <w:rsid w:val="4BE51056"/>
    <w:rsid w:val="4BF8453E"/>
    <w:rsid w:val="4C0B5A01"/>
    <w:rsid w:val="4C355EC6"/>
    <w:rsid w:val="4C365A00"/>
    <w:rsid w:val="4C3B4DC5"/>
    <w:rsid w:val="4C46376A"/>
    <w:rsid w:val="4C675BBA"/>
    <w:rsid w:val="4C6C1422"/>
    <w:rsid w:val="4CBF2C08"/>
    <w:rsid w:val="4CCC3C6F"/>
    <w:rsid w:val="4CD6689C"/>
    <w:rsid w:val="4CD945DE"/>
    <w:rsid w:val="4CF03E01"/>
    <w:rsid w:val="4CF338F1"/>
    <w:rsid w:val="4CF66F3E"/>
    <w:rsid w:val="4D32215D"/>
    <w:rsid w:val="4D7560B4"/>
    <w:rsid w:val="4D810EFD"/>
    <w:rsid w:val="4D986247"/>
    <w:rsid w:val="4D9863C9"/>
    <w:rsid w:val="4DA73593"/>
    <w:rsid w:val="4DB56DF9"/>
    <w:rsid w:val="4DC96400"/>
    <w:rsid w:val="4DCB03CA"/>
    <w:rsid w:val="4DE66FB2"/>
    <w:rsid w:val="4E1C0C26"/>
    <w:rsid w:val="4E1F15CD"/>
    <w:rsid w:val="4E2A3343"/>
    <w:rsid w:val="4E6976C5"/>
    <w:rsid w:val="4E704ACE"/>
    <w:rsid w:val="4E766015"/>
    <w:rsid w:val="4E7B594C"/>
    <w:rsid w:val="4E8C0706"/>
    <w:rsid w:val="4EC512BE"/>
    <w:rsid w:val="4EE71234"/>
    <w:rsid w:val="4EEA0D24"/>
    <w:rsid w:val="4F147B4F"/>
    <w:rsid w:val="4F4E4EE9"/>
    <w:rsid w:val="4F624D5E"/>
    <w:rsid w:val="4F626B0C"/>
    <w:rsid w:val="4F701229"/>
    <w:rsid w:val="4F754A92"/>
    <w:rsid w:val="4F806F93"/>
    <w:rsid w:val="4F964F12"/>
    <w:rsid w:val="4F98252E"/>
    <w:rsid w:val="4FA95577"/>
    <w:rsid w:val="4FC30DB2"/>
    <w:rsid w:val="4FCE5F50"/>
    <w:rsid w:val="4FD317B8"/>
    <w:rsid w:val="4FE65048"/>
    <w:rsid w:val="4FE75134"/>
    <w:rsid w:val="50151DD1"/>
    <w:rsid w:val="502F2E92"/>
    <w:rsid w:val="50681141"/>
    <w:rsid w:val="506D7ABD"/>
    <w:rsid w:val="508F1B83"/>
    <w:rsid w:val="50A0169A"/>
    <w:rsid w:val="50A22699"/>
    <w:rsid w:val="50C0528B"/>
    <w:rsid w:val="50C86E43"/>
    <w:rsid w:val="50CA6717"/>
    <w:rsid w:val="50E05F3B"/>
    <w:rsid w:val="50ED4988"/>
    <w:rsid w:val="512A5408"/>
    <w:rsid w:val="51330760"/>
    <w:rsid w:val="51453FF0"/>
    <w:rsid w:val="51546773"/>
    <w:rsid w:val="51756B3A"/>
    <w:rsid w:val="517F39A6"/>
    <w:rsid w:val="519230AC"/>
    <w:rsid w:val="51960EC3"/>
    <w:rsid w:val="519F2BF4"/>
    <w:rsid w:val="51B230E6"/>
    <w:rsid w:val="51B7313F"/>
    <w:rsid w:val="51C55131"/>
    <w:rsid w:val="52495D62"/>
    <w:rsid w:val="52734B8D"/>
    <w:rsid w:val="528874EE"/>
    <w:rsid w:val="529671F9"/>
    <w:rsid w:val="529A65BD"/>
    <w:rsid w:val="52C27FEE"/>
    <w:rsid w:val="52CF44B9"/>
    <w:rsid w:val="52D27B05"/>
    <w:rsid w:val="52DA35C6"/>
    <w:rsid w:val="52E55A8A"/>
    <w:rsid w:val="52EB4869"/>
    <w:rsid w:val="53057EDB"/>
    <w:rsid w:val="530879CB"/>
    <w:rsid w:val="53185E60"/>
    <w:rsid w:val="532034C7"/>
    <w:rsid w:val="53582700"/>
    <w:rsid w:val="538C05FC"/>
    <w:rsid w:val="53B11E10"/>
    <w:rsid w:val="53D855EF"/>
    <w:rsid w:val="53DF24DA"/>
    <w:rsid w:val="53FD32A8"/>
    <w:rsid w:val="5402266C"/>
    <w:rsid w:val="54696247"/>
    <w:rsid w:val="54A92112"/>
    <w:rsid w:val="54AD082A"/>
    <w:rsid w:val="54B55930"/>
    <w:rsid w:val="54B971CF"/>
    <w:rsid w:val="54C32B94"/>
    <w:rsid w:val="54C33BA9"/>
    <w:rsid w:val="54D9517B"/>
    <w:rsid w:val="55191A1B"/>
    <w:rsid w:val="55254864"/>
    <w:rsid w:val="554271C4"/>
    <w:rsid w:val="554510EA"/>
    <w:rsid w:val="555B0286"/>
    <w:rsid w:val="5588094F"/>
    <w:rsid w:val="559317CE"/>
    <w:rsid w:val="55973AE6"/>
    <w:rsid w:val="55A12394"/>
    <w:rsid w:val="55C45E2B"/>
    <w:rsid w:val="55C7591B"/>
    <w:rsid w:val="55D82B5D"/>
    <w:rsid w:val="55F34962"/>
    <w:rsid w:val="562763BA"/>
    <w:rsid w:val="5632548A"/>
    <w:rsid w:val="56336B0D"/>
    <w:rsid w:val="563A60ED"/>
    <w:rsid w:val="56644F18"/>
    <w:rsid w:val="567B1F2B"/>
    <w:rsid w:val="56861332"/>
    <w:rsid w:val="568832FC"/>
    <w:rsid w:val="569A6B8C"/>
    <w:rsid w:val="56A634F3"/>
    <w:rsid w:val="56A812A9"/>
    <w:rsid w:val="56B97761"/>
    <w:rsid w:val="56BC7FA7"/>
    <w:rsid w:val="56C500AD"/>
    <w:rsid w:val="56E9366F"/>
    <w:rsid w:val="57076D1A"/>
    <w:rsid w:val="57137FDE"/>
    <w:rsid w:val="57250B4B"/>
    <w:rsid w:val="573C5392"/>
    <w:rsid w:val="574D567F"/>
    <w:rsid w:val="57570AA4"/>
    <w:rsid w:val="57572CCF"/>
    <w:rsid w:val="575E22AF"/>
    <w:rsid w:val="57686C8A"/>
    <w:rsid w:val="5772224C"/>
    <w:rsid w:val="57723665"/>
    <w:rsid w:val="57914433"/>
    <w:rsid w:val="57916D63"/>
    <w:rsid w:val="57CC0FC7"/>
    <w:rsid w:val="57D4431F"/>
    <w:rsid w:val="57F4051E"/>
    <w:rsid w:val="580249E9"/>
    <w:rsid w:val="58093FC9"/>
    <w:rsid w:val="58216BD0"/>
    <w:rsid w:val="582E3170"/>
    <w:rsid w:val="583628E4"/>
    <w:rsid w:val="58466FCB"/>
    <w:rsid w:val="586236D9"/>
    <w:rsid w:val="586631C9"/>
    <w:rsid w:val="587E3EC7"/>
    <w:rsid w:val="589A2E73"/>
    <w:rsid w:val="58A43E3B"/>
    <w:rsid w:val="58B101BD"/>
    <w:rsid w:val="58C71978"/>
    <w:rsid w:val="58CB13BE"/>
    <w:rsid w:val="58E660B8"/>
    <w:rsid w:val="59067912"/>
    <w:rsid w:val="5915699E"/>
    <w:rsid w:val="59413C36"/>
    <w:rsid w:val="59452011"/>
    <w:rsid w:val="5982555C"/>
    <w:rsid w:val="5986281A"/>
    <w:rsid w:val="59A86BA1"/>
    <w:rsid w:val="59AC10B0"/>
    <w:rsid w:val="59BB12F3"/>
    <w:rsid w:val="59BE0DE3"/>
    <w:rsid w:val="59EF5441"/>
    <w:rsid w:val="5A0816FC"/>
    <w:rsid w:val="5A137381"/>
    <w:rsid w:val="5A1D0200"/>
    <w:rsid w:val="5A2E7D17"/>
    <w:rsid w:val="5A317807"/>
    <w:rsid w:val="5A366AB1"/>
    <w:rsid w:val="5A3840F9"/>
    <w:rsid w:val="5A5A6D5E"/>
    <w:rsid w:val="5A67147B"/>
    <w:rsid w:val="5A6B50C6"/>
    <w:rsid w:val="5A6E693B"/>
    <w:rsid w:val="5A7F67C4"/>
    <w:rsid w:val="5ADC7773"/>
    <w:rsid w:val="5AE26D53"/>
    <w:rsid w:val="5AE623A0"/>
    <w:rsid w:val="5AE76118"/>
    <w:rsid w:val="5AE91079"/>
    <w:rsid w:val="5AE91E90"/>
    <w:rsid w:val="5AEB5C08"/>
    <w:rsid w:val="5AF56A87"/>
    <w:rsid w:val="5B013AD3"/>
    <w:rsid w:val="5B127639"/>
    <w:rsid w:val="5B4B66A7"/>
    <w:rsid w:val="5B5639C9"/>
    <w:rsid w:val="5B7C4AB2"/>
    <w:rsid w:val="5B962018"/>
    <w:rsid w:val="5B984680"/>
    <w:rsid w:val="5BAB5397"/>
    <w:rsid w:val="5BAE7862"/>
    <w:rsid w:val="5BAF30D9"/>
    <w:rsid w:val="5BC1785C"/>
    <w:rsid w:val="5BC8419B"/>
    <w:rsid w:val="5BEE0BAB"/>
    <w:rsid w:val="5BF40AEC"/>
    <w:rsid w:val="5C0366CC"/>
    <w:rsid w:val="5C3B496D"/>
    <w:rsid w:val="5C5123E2"/>
    <w:rsid w:val="5C7F2AAC"/>
    <w:rsid w:val="5C831769"/>
    <w:rsid w:val="5C891B7C"/>
    <w:rsid w:val="5C89392A"/>
    <w:rsid w:val="5C8A2690"/>
    <w:rsid w:val="5C902F0B"/>
    <w:rsid w:val="5C974299"/>
    <w:rsid w:val="5C996AA2"/>
    <w:rsid w:val="5C9F314E"/>
    <w:rsid w:val="5CA32054"/>
    <w:rsid w:val="5CAA581C"/>
    <w:rsid w:val="5CB5471F"/>
    <w:rsid w:val="5CC8203E"/>
    <w:rsid w:val="5CDC6150"/>
    <w:rsid w:val="5CE13766"/>
    <w:rsid w:val="5CF50FC0"/>
    <w:rsid w:val="5CFA65D6"/>
    <w:rsid w:val="5D02548B"/>
    <w:rsid w:val="5D0E2082"/>
    <w:rsid w:val="5D101956"/>
    <w:rsid w:val="5D2738B3"/>
    <w:rsid w:val="5D301FF8"/>
    <w:rsid w:val="5D4C0850"/>
    <w:rsid w:val="5D867E6A"/>
    <w:rsid w:val="5D9D5036"/>
    <w:rsid w:val="5DAB7A08"/>
    <w:rsid w:val="5DE51034"/>
    <w:rsid w:val="5DED1C97"/>
    <w:rsid w:val="5DF50B4C"/>
    <w:rsid w:val="5E176D14"/>
    <w:rsid w:val="5E192A8C"/>
    <w:rsid w:val="5E361AD7"/>
    <w:rsid w:val="5E5D6E1D"/>
    <w:rsid w:val="5E7A2CDB"/>
    <w:rsid w:val="5E7E6403"/>
    <w:rsid w:val="5E802B0B"/>
    <w:rsid w:val="5E85118E"/>
    <w:rsid w:val="5E8953EC"/>
    <w:rsid w:val="5EA902B4"/>
    <w:rsid w:val="5EB97DCB"/>
    <w:rsid w:val="5EC073AC"/>
    <w:rsid w:val="5ECF75EF"/>
    <w:rsid w:val="5ED846F5"/>
    <w:rsid w:val="5EDE3D8C"/>
    <w:rsid w:val="5EE25A4F"/>
    <w:rsid w:val="5EE63704"/>
    <w:rsid w:val="5F3A0F0C"/>
    <w:rsid w:val="5F3A715E"/>
    <w:rsid w:val="5F7A1C50"/>
    <w:rsid w:val="5F954394"/>
    <w:rsid w:val="5FAB1E0A"/>
    <w:rsid w:val="5FC44C79"/>
    <w:rsid w:val="5FC627A0"/>
    <w:rsid w:val="5FCF537D"/>
    <w:rsid w:val="5FCF5AF8"/>
    <w:rsid w:val="5FD118B2"/>
    <w:rsid w:val="5FD650D9"/>
    <w:rsid w:val="600339F4"/>
    <w:rsid w:val="600A4D82"/>
    <w:rsid w:val="601E044E"/>
    <w:rsid w:val="602776E2"/>
    <w:rsid w:val="60402552"/>
    <w:rsid w:val="604364E6"/>
    <w:rsid w:val="604D4C6F"/>
    <w:rsid w:val="60591866"/>
    <w:rsid w:val="606326E4"/>
    <w:rsid w:val="606F21AC"/>
    <w:rsid w:val="608F34D9"/>
    <w:rsid w:val="609946E1"/>
    <w:rsid w:val="60A61E3B"/>
    <w:rsid w:val="60AA0313"/>
    <w:rsid w:val="60BB607C"/>
    <w:rsid w:val="60D62EB6"/>
    <w:rsid w:val="60DF22ED"/>
    <w:rsid w:val="60E5134B"/>
    <w:rsid w:val="60F5158E"/>
    <w:rsid w:val="61023CAB"/>
    <w:rsid w:val="610712C2"/>
    <w:rsid w:val="612754C0"/>
    <w:rsid w:val="61406582"/>
    <w:rsid w:val="61475B62"/>
    <w:rsid w:val="614B4ACA"/>
    <w:rsid w:val="61502745"/>
    <w:rsid w:val="6151078F"/>
    <w:rsid w:val="61616C24"/>
    <w:rsid w:val="617526CF"/>
    <w:rsid w:val="619743F4"/>
    <w:rsid w:val="619939F1"/>
    <w:rsid w:val="61B01959"/>
    <w:rsid w:val="61E15FB7"/>
    <w:rsid w:val="61E635CD"/>
    <w:rsid w:val="61F07FFA"/>
    <w:rsid w:val="61F45CEA"/>
    <w:rsid w:val="620B6B90"/>
    <w:rsid w:val="621243C2"/>
    <w:rsid w:val="621B3277"/>
    <w:rsid w:val="62285788"/>
    <w:rsid w:val="624452BB"/>
    <w:rsid w:val="6245787E"/>
    <w:rsid w:val="624D71A8"/>
    <w:rsid w:val="624F3EEF"/>
    <w:rsid w:val="625A3327"/>
    <w:rsid w:val="626F35C2"/>
    <w:rsid w:val="628D50EC"/>
    <w:rsid w:val="62951F87"/>
    <w:rsid w:val="629923ED"/>
    <w:rsid w:val="62B334AF"/>
    <w:rsid w:val="62B45479"/>
    <w:rsid w:val="631877B6"/>
    <w:rsid w:val="63307A30"/>
    <w:rsid w:val="633A597E"/>
    <w:rsid w:val="63414F5F"/>
    <w:rsid w:val="63500CFE"/>
    <w:rsid w:val="63626C83"/>
    <w:rsid w:val="63662844"/>
    <w:rsid w:val="637569B7"/>
    <w:rsid w:val="639A641D"/>
    <w:rsid w:val="63DF6526"/>
    <w:rsid w:val="63F0603D"/>
    <w:rsid w:val="63F91396"/>
    <w:rsid w:val="6416019A"/>
    <w:rsid w:val="641B0AB8"/>
    <w:rsid w:val="644B7717"/>
    <w:rsid w:val="64524F4A"/>
    <w:rsid w:val="64572560"/>
    <w:rsid w:val="645C1924"/>
    <w:rsid w:val="64744EC0"/>
    <w:rsid w:val="64DD0462"/>
    <w:rsid w:val="64F25DE5"/>
    <w:rsid w:val="650A312E"/>
    <w:rsid w:val="65141AED"/>
    <w:rsid w:val="65442AE4"/>
    <w:rsid w:val="655820EC"/>
    <w:rsid w:val="655F16CC"/>
    <w:rsid w:val="655F347A"/>
    <w:rsid w:val="65680979"/>
    <w:rsid w:val="6570237E"/>
    <w:rsid w:val="658811DC"/>
    <w:rsid w:val="658B411E"/>
    <w:rsid w:val="65BD4645"/>
    <w:rsid w:val="65DA0D53"/>
    <w:rsid w:val="65DB2DEA"/>
    <w:rsid w:val="65DD6A95"/>
    <w:rsid w:val="65EB2F60"/>
    <w:rsid w:val="65F53DDF"/>
    <w:rsid w:val="65FE01FB"/>
    <w:rsid w:val="6603474E"/>
    <w:rsid w:val="66083B12"/>
    <w:rsid w:val="662B5A52"/>
    <w:rsid w:val="66304E17"/>
    <w:rsid w:val="663F505A"/>
    <w:rsid w:val="66477914"/>
    <w:rsid w:val="66A01F9C"/>
    <w:rsid w:val="66B15F58"/>
    <w:rsid w:val="66C043ED"/>
    <w:rsid w:val="66DE4873"/>
    <w:rsid w:val="670F2C7E"/>
    <w:rsid w:val="671D3215"/>
    <w:rsid w:val="671D35ED"/>
    <w:rsid w:val="671D539B"/>
    <w:rsid w:val="67670D0C"/>
    <w:rsid w:val="67845513"/>
    <w:rsid w:val="678C2521"/>
    <w:rsid w:val="679C6C08"/>
    <w:rsid w:val="679D472E"/>
    <w:rsid w:val="67A23AF2"/>
    <w:rsid w:val="67A71109"/>
    <w:rsid w:val="67B170B2"/>
    <w:rsid w:val="67BC2E06"/>
    <w:rsid w:val="67E20393"/>
    <w:rsid w:val="67F0485E"/>
    <w:rsid w:val="68093B71"/>
    <w:rsid w:val="68210172"/>
    <w:rsid w:val="683873C3"/>
    <w:rsid w:val="68570D81"/>
    <w:rsid w:val="685F7C35"/>
    <w:rsid w:val="686D23BF"/>
    <w:rsid w:val="68753CFC"/>
    <w:rsid w:val="687F7C3A"/>
    <w:rsid w:val="68C55CEA"/>
    <w:rsid w:val="68D22B2E"/>
    <w:rsid w:val="68E5638C"/>
    <w:rsid w:val="68E61B56"/>
    <w:rsid w:val="68E63EB3"/>
    <w:rsid w:val="68ED75DF"/>
    <w:rsid w:val="68EF4B15"/>
    <w:rsid w:val="69074555"/>
    <w:rsid w:val="690F6F65"/>
    <w:rsid w:val="693966D8"/>
    <w:rsid w:val="694A2C61"/>
    <w:rsid w:val="694D153E"/>
    <w:rsid w:val="6978767A"/>
    <w:rsid w:val="698E2580"/>
    <w:rsid w:val="69962577"/>
    <w:rsid w:val="69B315B8"/>
    <w:rsid w:val="69B63885"/>
    <w:rsid w:val="69BD4C13"/>
    <w:rsid w:val="69D07E37"/>
    <w:rsid w:val="69E06B54"/>
    <w:rsid w:val="69F04628"/>
    <w:rsid w:val="6A324C34"/>
    <w:rsid w:val="6A4E7F61"/>
    <w:rsid w:val="6A5877AE"/>
    <w:rsid w:val="6A611A43"/>
    <w:rsid w:val="6A7F45BF"/>
    <w:rsid w:val="6AB83A62"/>
    <w:rsid w:val="6ACC6F26"/>
    <w:rsid w:val="6ACF2E50"/>
    <w:rsid w:val="6AD81268"/>
    <w:rsid w:val="6AE54422"/>
    <w:rsid w:val="6AF723A7"/>
    <w:rsid w:val="6AFF5E6D"/>
    <w:rsid w:val="6B1747F7"/>
    <w:rsid w:val="6B1C1A9C"/>
    <w:rsid w:val="6B217424"/>
    <w:rsid w:val="6B2A452A"/>
    <w:rsid w:val="6B2D5DC9"/>
    <w:rsid w:val="6B506EB0"/>
    <w:rsid w:val="6BC04E8F"/>
    <w:rsid w:val="6BF652DA"/>
    <w:rsid w:val="6BF863D7"/>
    <w:rsid w:val="6BFF59B7"/>
    <w:rsid w:val="6C00528B"/>
    <w:rsid w:val="6C0703C8"/>
    <w:rsid w:val="6C101972"/>
    <w:rsid w:val="6C2B055A"/>
    <w:rsid w:val="6C445178"/>
    <w:rsid w:val="6C53092D"/>
    <w:rsid w:val="6C6E070F"/>
    <w:rsid w:val="6C8E0AE9"/>
    <w:rsid w:val="6C9348F0"/>
    <w:rsid w:val="6C9E6F7E"/>
    <w:rsid w:val="6CA12E60"/>
    <w:rsid w:val="6D45389E"/>
    <w:rsid w:val="6D5533B5"/>
    <w:rsid w:val="6D5720D2"/>
    <w:rsid w:val="6D714693"/>
    <w:rsid w:val="6DB24CEA"/>
    <w:rsid w:val="6DB85E1E"/>
    <w:rsid w:val="6DCA006B"/>
    <w:rsid w:val="6DD469CF"/>
    <w:rsid w:val="6DE704B1"/>
    <w:rsid w:val="6E072901"/>
    <w:rsid w:val="6E2F3C06"/>
    <w:rsid w:val="6E386F5E"/>
    <w:rsid w:val="6E421B8B"/>
    <w:rsid w:val="6E4B5505"/>
    <w:rsid w:val="6E652244"/>
    <w:rsid w:val="6E657628"/>
    <w:rsid w:val="6EBE56B6"/>
    <w:rsid w:val="6EE53B2E"/>
    <w:rsid w:val="6EE92007"/>
    <w:rsid w:val="6EF86442"/>
    <w:rsid w:val="6F1277AF"/>
    <w:rsid w:val="6F215C44"/>
    <w:rsid w:val="6F6C426D"/>
    <w:rsid w:val="6F854425"/>
    <w:rsid w:val="6F997ED1"/>
    <w:rsid w:val="6FC860C0"/>
    <w:rsid w:val="6FD338E2"/>
    <w:rsid w:val="6FFF3C3A"/>
    <w:rsid w:val="70076BE8"/>
    <w:rsid w:val="701B2772"/>
    <w:rsid w:val="702F7EED"/>
    <w:rsid w:val="70335974"/>
    <w:rsid w:val="70383246"/>
    <w:rsid w:val="70455963"/>
    <w:rsid w:val="704A0779"/>
    <w:rsid w:val="705A140E"/>
    <w:rsid w:val="70690614"/>
    <w:rsid w:val="706E4EB9"/>
    <w:rsid w:val="707103B0"/>
    <w:rsid w:val="70875F7B"/>
    <w:rsid w:val="70A46B2D"/>
    <w:rsid w:val="70B84386"/>
    <w:rsid w:val="70BB79D3"/>
    <w:rsid w:val="70E76A1A"/>
    <w:rsid w:val="70EE7DA8"/>
    <w:rsid w:val="7104581E"/>
    <w:rsid w:val="710475CC"/>
    <w:rsid w:val="710E21F8"/>
    <w:rsid w:val="71245578"/>
    <w:rsid w:val="712571B0"/>
    <w:rsid w:val="71381023"/>
    <w:rsid w:val="713E2ADE"/>
    <w:rsid w:val="71585F27"/>
    <w:rsid w:val="71634A72"/>
    <w:rsid w:val="716F2C97"/>
    <w:rsid w:val="71810C1C"/>
    <w:rsid w:val="719C5A56"/>
    <w:rsid w:val="71A2398B"/>
    <w:rsid w:val="71B71E6E"/>
    <w:rsid w:val="71B920AA"/>
    <w:rsid w:val="71C30383"/>
    <w:rsid w:val="71C56D5B"/>
    <w:rsid w:val="71C95F2F"/>
    <w:rsid w:val="71CA4371"/>
    <w:rsid w:val="71D451F0"/>
    <w:rsid w:val="71DE7E1D"/>
    <w:rsid w:val="71F15D2F"/>
    <w:rsid w:val="72203F91"/>
    <w:rsid w:val="723F6B0D"/>
    <w:rsid w:val="72444124"/>
    <w:rsid w:val="727D13E4"/>
    <w:rsid w:val="728C5ACB"/>
    <w:rsid w:val="72B452B6"/>
    <w:rsid w:val="72BD5C84"/>
    <w:rsid w:val="72C74B35"/>
    <w:rsid w:val="72D34ED2"/>
    <w:rsid w:val="72D82ABE"/>
    <w:rsid w:val="72DB610A"/>
    <w:rsid w:val="733A1083"/>
    <w:rsid w:val="733E6DC5"/>
    <w:rsid w:val="7349296F"/>
    <w:rsid w:val="735E1215"/>
    <w:rsid w:val="73923BD7"/>
    <w:rsid w:val="73A62711"/>
    <w:rsid w:val="73AF6424"/>
    <w:rsid w:val="73BE1CB4"/>
    <w:rsid w:val="73CF2113"/>
    <w:rsid w:val="73D019E7"/>
    <w:rsid w:val="73D54732"/>
    <w:rsid w:val="73F27BAF"/>
    <w:rsid w:val="74085625"/>
    <w:rsid w:val="74324450"/>
    <w:rsid w:val="7433340D"/>
    <w:rsid w:val="74465911"/>
    <w:rsid w:val="747D1B6F"/>
    <w:rsid w:val="748922C2"/>
    <w:rsid w:val="74926997"/>
    <w:rsid w:val="74A25132"/>
    <w:rsid w:val="74B3733F"/>
    <w:rsid w:val="74C25B79"/>
    <w:rsid w:val="74D01C2F"/>
    <w:rsid w:val="74E67714"/>
    <w:rsid w:val="74E91F9B"/>
    <w:rsid w:val="74FD680C"/>
    <w:rsid w:val="750E6C6B"/>
    <w:rsid w:val="755723C0"/>
    <w:rsid w:val="755D72AA"/>
    <w:rsid w:val="758111EB"/>
    <w:rsid w:val="759E1D9D"/>
    <w:rsid w:val="759F78C3"/>
    <w:rsid w:val="75C26B49"/>
    <w:rsid w:val="75D21A46"/>
    <w:rsid w:val="762B1157"/>
    <w:rsid w:val="76432944"/>
    <w:rsid w:val="764A782F"/>
    <w:rsid w:val="764B35A7"/>
    <w:rsid w:val="766F7295"/>
    <w:rsid w:val="76870A83"/>
    <w:rsid w:val="76887139"/>
    <w:rsid w:val="768F5B89"/>
    <w:rsid w:val="769B62DC"/>
    <w:rsid w:val="769D3E02"/>
    <w:rsid w:val="76A059B2"/>
    <w:rsid w:val="76A71125"/>
    <w:rsid w:val="76AF3B36"/>
    <w:rsid w:val="76C92E49"/>
    <w:rsid w:val="76CF20EA"/>
    <w:rsid w:val="76D33CC8"/>
    <w:rsid w:val="76E47C83"/>
    <w:rsid w:val="76EE29EE"/>
    <w:rsid w:val="76EF6628"/>
    <w:rsid w:val="77057BFA"/>
    <w:rsid w:val="774D5DF1"/>
    <w:rsid w:val="775F37AE"/>
    <w:rsid w:val="77664B3C"/>
    <w:rsid w:val="777803CC"/>
    <w:rsid w:val="77860D3A"/>
    <w:rsid w:val="77955421"/>
    <w:rsid w:val="779B0C3B"/>
    <w:rsid w:val="779F144D"/>
    <w:rsid w:val="779F1DFC"/>
    <w:rsid w:val="77B63DB5"/>
    <w:rsid w:val="77BA299A"/>
    <w:rsid w:val="77BF5FFA"/>
    <w:rsid w:val="77CB0E43"/>
    <w:rsid w:val="77D575CC"/>
    <w:rsid w:val="77E25042"/>
    <w:rsid w:val="77E31CE9"/>
    <w:rsid w:val="780453FB"/>
    <w:rsid w:val="7834795B"/>
    <w:rsid w:val="783562BD"/>
    <w:rsid w:val="784A1D68"/>
    <w:rsid w:val="78571E88"/>
    <w:rsid w:val="785B5D23"/>
    <w:rsid w:val="7863107C"/>
    <w:rsid w:val="78722BAE"/>
    <w:rsid w:val="78767E87"/>
    <w:rsid w:val="787D76B6"/>
    <w:rsid w:val="788D60F9"/>
    <w:rsid w:val="789D27E0"/>
    <w:rsid w:val="78CD2160"/>
    <w:rsid w:val="78F75DA3"/>
    <w:rsid w:val="791A5BDE"/>
    <w:rsid w:val="791D4E46"/>
    <w:rsid w:val="79254583"/>
    <w:rsid w:val="793149C1"/>
    <w:rsid w:val="79421D81"/>
    <w:rsid w:val="795658DF"/>
    <w:rsid w:val="796C5D0E"/>
    <w:rsid w:val="797258EA"/>
    <w:rsid w:val="79863CF7"/>
    <w:rsid w:val="79B140BE"/>
    <w:rsid w:val="79C142AC"/>
    <w:rsid w:val="79C726F9"/>
    <w:rsid w:val="79CE0777"/>
    <w:rsid w:val="79E87A8A"/>
    <w:rsid w:val="79ED50A1"/>
    <w:rsid w:val="79F06632"/>
    <w:rsid w:val="7A044CC1"/>
    <w:rsid w:val="7A1545F8"/>
    <w:rsid w:val="7A1A4594"/>
    <w:rsid w:val="7A2111EE"/>
    <w:rsid w:val="7A7D3051"/>
    <w:rsid w:val="7A9D384B"/>
    <w:rsid w:val="7AC22CD2"/>
    <w:rsid w:val="7ACD0A2E"/>
    <w:rsid w:val="7ACE7238"/>
    <w:rsid w:val="7ADB139D"/>
    <w:rsid w:val="7B452CBB"/>
    <w:rsid w:val="7B4544EE"/>
    <w:rsid w:val="7B590514"/>
    <w:rsid w:val="7B66737D"/>
    <w:rsid w:val="7B670E83"/>
    <w:rsid w:val="7B931C78"/>
    <w:rsid w:val="7BB22494"/>
    <w:rsid w:val="7BCE2CB0"/>
    <w:rsid w:val="7BD06A28"/>
    <w:rsid w:val="7BE728EE"/>
    <w:rsid w:val="7BF22E42"/>
    <w:rsid w:val="7BFA3AA5"/>
    <w:rsid w:val="7BFD3595"/>
    <w:rsid w:val="7C044924"/>
    <w:rsid w:val="7C352D2F"/>
    <w:rsid w:val="7C4371FA"/>
    <w:rsid w:val="7C5C4E60"/>
    <w:rsid w:val="7C6374A7"/>
    <w:rsid w:val="7C6D6EB5"/>
    <w:rsid w:val="7C6F7FEF"/>
    <w:rsid w:val="7C75312C"/>
    <w:rsid w:val="7C7E46D6"/>
    <w:rsid w:val="7C887303"/>
    <w:rsid w:val="7C943EFA"/>
    <w:rsid w:val="7C977546"/>
    <w:rsid w:val="7CA12173"/>
    <w:rsid w:val="7CA659DB"/>
    <w:rsid w:val="7CA81753"/>
    <w:rsid w:val="7CB66027"/>
    <w:rsid w:val="7CB9570E"/>
    <w:rsid w:val="7D625DA6"/>
    <w:rsid w:val="7D6F3144"/>
    <w:rsid w:val="7D7020D1"/>
    <w:rsid w:val="7D813925"/>
    <w:rsid w:val="7D844E18"/>
    <w:rsid w:val="7D8775BA"/>
    <w:rsid w:val="7DA168CE"/>
    <w:rsid w:val="7DA61F6B"/>
    <w:rsid w:val="7DC12ACC"/>
    <w:rsid w:val="7DCE51E9"/>
    <w:rsid w:val="7DD56578"/>
    <w:rsid w:val="7DE6183B"/>
    <w:rsid w:val="7DE93DD1"/>
    <w:rsid w:val="7DEA2140"/>
    <w:rsid w:val="7DF0480D"/>
    <w:rsid w:val="7E1210B5"/>
    <w:rsid w:val="7E265C51"/>
    <w:rsid w:val="7E266E73"/>
    <w:rsid w:val="7E2B43EA"/>
    <w:rsid w:val="7E2E7A36"/>
    <w:rsid w:val="7E3E6757"/>
    <w:rsid w:val="7E3F7E95"/>
    <w:rsid w:val="7E447259"/>
    <w:rsid w:val="7E533FDF"/>
    <w:rsid w:val="7E5F4093"/>
    <w:rsid w:val="7E8B4E88"/>
    <w:rsid w:val="7E906943"/>
    <w:rsid w:val="7EA877E8"/>
    <w:rsid w:val="7EC87E8B"/>
    <w:rsid w:val="7ED50BC3"/>
    <w:rsid w:val="7ED93E46"/>
    <w:rsid w:val="7F0C5047"/>
    <w:rsid w:val="7F1D01D6"/>
    <w:rsid w:val="7F2A46A1"/>
    <w:rsid w:val="7F392B36"/>
    <w:rsid w:val="7F435763"/>
    <w:rsid w:val="7F475253"/>
    <w:rsid w:val="7F544F27"/>
    <w:rsid w:val="7F5C44BA"/>
    <w:rsid w:val="7F6B5B29"/>
    <w:rsid w:val="7F7973D7"/>
    <w:rsid w:val="7FAB3200"/>
    <w:rsid w:val="7FBD5515"/>
    <w:rsid w:val="7FC5261C"/>
    <w:rsid w:val="7FC543CA"/>
    <w:rsid w:val="7FC95C68"/>
    <w:rsid w:val="7FD36AE7"/>
    <w:rsid w:val="7FD4460D"/>
    <w:rsid w:val="7FD50CF2"/>
    <w:rsid w:val="7FE86CA9"/>
    <w:rsid w:val="7FF86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6" w:lineRule="auto"/>
      <w:outlineLvl w:val="0"/>
    </w:pPr>
    <w:rPr>
      <w:b/>
      <w:bCs/>
      <w:kern w:val="44"/>
      <w:sz w:val="44"/>
      <w:szCs w:val="44"/>
    </w:rPr>
  </w:style>
  <w:style w:type="paragraph" w:styleId="5">
    <w:name w:val="heading 2"/>
    <w:basedOn w:val="1"/>
    <w:next w:val="1"/>
    <w:qFormat/>
    <w:uiPriority w:val="0"/>
    <w:pPr>
      <w:keepNext/>
      <w:adjustRightInd w:val="0"/>
      <w:spacing w:before="80" w:after="80" w:line="460" w:lineRule="exact"/>
      <w:textAlignment w:val="baseline"/>
      <w:outlineLvl w:val="1"/>
    </w:pPr>
    <w:rPr>
      <w:b/>
      <w:sz w:val="24"/>
    </w:rPr>
  </w:style>
  <w:style w:type="paragraph" w:styleId="6">
    <w:name w:val="heading 3"/>
    <w:basedOn w:val="5"/>
    <w:next w:val="1"/>
    <w:qFormat/>
    <w:uiPriority w:val="0"/>
    <w:pPr>
      <w:spacing w:line="360" w:lineRule="auto"/>
      <w:jc w:val="left"/>
      <w:outlineLvl w:val="2"/>
    </w:pPr>
  </w:style>
  <w:style w:type="paragraph" w:styleId="7">
    <w:name w:val="heading 4"/>
    <w:basedOn w:val="1"/>
    <w:next w:val="1"/>
    <w:qFormat/>
    <w:uiPriority w:val="0"/>
    <w:pPr>
      <w:keepNext/>
      <w:keepLines/>
      <w:spacing w:before="280" w:after="290" w:line="376" w:lineRule="auto"/>
      <w:outlineLvl w:val="3"/>
    </w:pPr>
    <w:rPr>
      <w:rFonts w:ascii="Calibri Light" w:hAnsi="Calibri Light"/>
      <w:b/>
      <w:bCs/>
      <w:sz w:val="28"/>
      <w:szCs w:val="28"/>
    </w:rPr>
  </w:style>
  <w:style w:type="character" w:default="1" w:styleId="27">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tabs>
        <w:tab w:val="left" w:pos="284"/>
        <w:tab w:val="right" w:pos="4111"/>
      </w:tabs>
      <w:suppressAutoHyphens/>
      <w:spacing w:before="20" w:after="20"/>
    </w:pPr>
    <w:rPr>
      <w:sz w:val="18"/>
      <w:szCs w:val="18"/>
      <w:u w:val="single"/>
      <w:lang w:val="en-GB"/>
    </w:rPr>
  </w:style>
  <w:style w:type="paragraph" w:styleId="3">
    <w:name w:val="toc 5"/>
    <w:basedOn w:val="1"/>
    <w:next w:val="1"/>
    <w:qFormat/>
    <w:uiPriority w:val="0"/>
    <w:pPr>
      <w:ind w:left="1120"/>
      <w:jc w:val="left"/>
    </w:pPr>
    <w:rPr>
      <w:sz w:val="18"/>
      <w:szCs w:val="18"/>
    </w:rPr>
  </w:style>
  <w:style w:type="paragraph" w:styleId="8">
    <w:name w:val="Normal Indent"/>
    <w:basedOn w:val="1"/>
    <w:next w:val="1"/>
    <w:qFormat/>
    <w:uiPriority w:val="0"/>
    <w:pPr>
      <w:ind w:firstLine="420" w:firstLineChars="200"/>
    </w:pPr>
    <w:rPr>
      <w:rFonts w:ascii="宋体" w:hAnsi="Courier New"/>
      <w:sz w:val="28"/>
    </w:rPr>
  </w:style>
  <w:style w:type="paragraph" w:styleId="9">
    <w:name w:val="annotation text"/>
    <w:basedOn w:val="1"/>
    <w:link w:val="54"/>
    <w:qFormat/>
    <w:uiPriority w:val="0"/>
    <w:pPr>
      <w:jc w:val="left"/>
    </w:pPr>
  </w:style>
  <w:style w:type="paragraph" w:styleId="10">
    <w:name w:val="index 6"/>
    <w:basedOn w:val="1"/>
    <w:next w:val="1"/>
    <w:qFormat/>
    <w:uiPriority w:val="0"/>
    <w:pPr>
      <w:widowControl w:val="0"/>
      <w:ind w:left="2100"/>
      <w:jc w:val="left"/>
    </w:pPr>
    <w:rPr>
      <w:rFonts w:ascii="Times New Roman" w:hAnsi="Times New Roman" w:eastAsia="仿宋_GB2312" w:cs="Times New Roman"/>
      <w:kern w:val="2"/>
      <w:sz w:val="28"/>
      <w:szCs w:val="24"/>
      <w:lang w:val="en-US" w:eastAsia="zh-CN" w:bidi="ar-SA"/>
    </w:rPr>
  </w:style>
  <w:style w:type="paragraph" w:styleId="11">
    <w:name w:val="toc 3"/>
    <w:basedOn w:val="1"/>
    <w:next w:val="1"/>
    <w:qFormat/>
    <w:uiPriority w:val="0"/>
    <w:pPr>
      <w:ind w:left="840" w:leftChars="400"/>
    </w:pPr>
  </w:style>
  <w:style w:type="paragraph" w:styleId="12">
    <w:name w:val="Plain Text"/>
    <w:basedOn w:val="1"/>
    <w:next w:val="13"/>
    <w:qFormat/>
    <w:uiPriority w:val="0"/>
    <w:rPr>
      <w:rFonts w:ascii="宋体" w:hAnsi="Courier New"/>
    </w:rPr>
  </w:style>
  <w:style w:type="paragraph" w:customStyle="1" w:styleId="13">
    <w:name w:val="Default"/>
    <w:basedOn w:val="14"/>
    <w:qFormat/>
    <w:uiPriority w:val="0"/>
    <w:pPr>
      <w:autoSpaceDE w:val="0"/>
      <w:autoSpaceDN w:val="0"/>
      <w:spacing w:line="240" w:lineRule="atLeast"/>
    </w:pPr>
    <w:rPr>
      <w:rFonts w:ascii="新宋体" w:eastAsia="新宋体" w:cs="新宋体"/>
      <w:color w:val="000000"/>
      <w:sz w:val="24"/>
      <w:szCs w:val="24"/>
    </w:rPr>
  </w:style>
  <w:style w:type="paragraph" w:customStyle="1" w:styleId="14">
    <w:name w:val="表格17"/>
    <w:qFormat/>
    <w:uiPriority w:val="0"/>
    <w:pPr>
      <w:widowControl w:val="0"/>
      <w:adjustRightInd w:val="0"/>
      <w:jc w:val="center"/>
    </w:pPr>
    <w:rPr>
      <w:rFonts w:ascii="Times New Roman" w:hAnsi="Times New Roman" w:eastAsia="宋体" w:cs="Times New Roman"/>
      <w:kern w:val="28"/>
      <w:sz w:val="28"/>
      <w:lang w:val="en-US" w:eastAsia="zh-CN" w:bidi="ar-SA"/>
    </w:rPr>
  </w:style>
  <w:style w:type="paragraph" w:styleId="15">
    <w:name w:val="Balloon Text"/>
    <w:basedOn w:val="1"/>
    <w:semiHidden/>
    <w:qFormat/>
    <w:uiPriority w:val="0"/>
    <w:rPr>
      <w:sz w:val="18"/>
      <w:szCs w:val="18"/>
    </w:rPr>
  </w:style>
  <w:style w:type="paragraph" w:styleId="16">
    <w:name w:val="footer"/>
    <w:basedOn w:val="1"/>
    <w:next w:val="3"/>
    <w:qFormat/>
    <w:uiPriority w:val="0"/>
    <w:pPr>
      <w:tabs>
        <w:tab w:val="center" w:pos="4153"/>
        <w:tab w:val="right" w:pos="8306"/>
      </w:tabs>
      <w:autoSpaceDE w:val="0"/>
      <w:autoSpaceDN w:val="0"/>
      <w:adjustRightInd w:val="0"/>
      <w:jc w:val="left"/>
      <w:textAlignment w:val="baseline"/>
    </w:pPr>
    <w:rPr>
      <w:sz w:val="18"/>
    </w:rPr>
  </w:style>
  <w:style w:type="paragraph" w:styleId="17">
    <w:name w:val="header"/>
    <w:basedOn w:val="1"/>
    <w:qFormat/>
    <w:uiPriority w:val="0"/>
    <w:pPr>
      <w:pBdr>
        <w:bottom w:val="single" w:color="auto" w:sz="6" w:space="1"/>
      </w:pBdr>
      <w:tabs>
        <w:tab w:val="center" w:pos="4153"/>
        <w:tab w:val="right" w:pos="8306"/>
      </w:tabs>
      <w:autoSpaceDE w:val="0"/>
      <w:autoSpaceDN w:val="0"/>
      <w:adjustRightInd w:val="0"/>
      <w:jc w:val="center"/>
      <w:textAlignment w:val="baseline"/>
    </w:pPr>
    <w:rPr>
      <w:sz w:val="18"/>
    </w:rPr>
  </w:style>
  <w:style w:type="paragraph" w:styleId="18">
    <w:name w:val="toc 1"/>
    <w:basedOn w:val="1"/>
    <w:next w:val="1"/>
    <w:qFormat/>
    <w:uiPriority w:val="0"/>
  </w:style>
  <w:style w:type="paragraph" w:styleId="19">
    <w:name w:val="toc 4"/>
    <w:basedOn w:val="1"/>
    <w:next w:val="1"/>
    <w:qFormat/>
    <w:uiPriority w:val="0"/>
    <w:pPr>
      <w:ind w:left="1260" w:leftChars="600"/>
    </w:pPr>
  </w:style>
  <w:style w:type="paragraph" w:styleId="20">
    <w:name w:val="Body Text Indent 3"/>
    <w:basedOn w:val="1"/>
    <w:semiHidden/>
    <w:unhideWhenUsed/>
    <w:qFormat/>
    <w:uiPriority w:val="0"/>
    <w:pPr>
      <w:spacing w:after="120"/>
      <w:ind w:left="420" w:leftChars="200"/>
    </w:pPr>
    <w:rPr>
      <w:sz w:val="16"/>
      <w:szCs w:val="16"/>
    </w:rPr>
  </w:style>
  <w:style w:type="paragraph" w:styleId="21">
    <w:name w:val="toc 2"/>
    <w:basedOn w:val="1"/>
    <w:next w:val="1"/>
    <w:qFormat/>
    <w:uiPriority w:val="0"/>
    <w:pPr>
      <w:ind w:left="420" w:leftChars="200"/>
    </w:pPr>
  </w:style>
  <w:style w:type="paragraph" w:styleId="22">
    <w:name w:val="Normal (Web)"/>
    <w:basedOn w:val="1"/>
    <w:semiHidden/>
    <w:unhideWhenUsed/>
    <w:qFormat/>
    <w:uiPriority w:val="99"/>
    <w:pPr>
      <w:spacing w:before="100" w:beforeAutospacing="1" w:after="100" w:afterAutospacing="1"/>
      <w:jc w:val="left"/>
    </w:pPr>
    <w:rPr>
      <w:kern w:val="0"/>
      <w:sz w:val="24"/>
    </w:rPr>
  </w:style>
  <w:style w:type="paragraph" w:styleId="23">
    <w:name w:val="Title"/>
    <w:basedOn w:val="1"/>
    <w:qFormat/>
    <w:uiPriority w:val="10"/>
    <w:pPr>
      <w:spacing w:before="240" w:after="60"/>
      <w:jc w:val="center"/>
      <w:outlineLvl w:val="0"/>
    </w:pPr>
    <w:rPr>
      <w:rFonts w:ascii="Cambria" w:hAnsi="Cambria"/>
      <w:b/>
      <w:bCs/>
      <w:szCs w:val="32"/>
    </w:rPr>
  </w:style>
  <w:style w:type="paragraph" w:styleId="24">
    <w:name w:val="annotation subject"/>
    <w:basedOn w:val="9"/>
    <w:next w:val="9"/>
    <w:link w:val="55"/>
    <w:qFormat/>
    <w:uiPriority w:val="0"/>
    <w:rPr>
      <w:b/>
      <w:bCs/>
    </w:rPr>
  </w:style>
  <w:style w:type="paragraph" w:styleId="25">
    <w:name w:val="Body Text First Indent"/>
    <w:basedOn w:val="2"/>
    <w:next w:val="19"/>
    <w:qFormat/>
    <w:uiPriority w:val="0"/>
    <w:pPr>
      <w:ind w:firstLine="420" w:firstLineChars="100"/>
    </w:pPr>
  </w:style>
  <w:style w:type="character" w:styleId="28">
    <w:name w:val="Strong"/>
    <w:basedOn w:val="27"/>
    <w:qFormat/>
    <w:uiPriority w:val="0"/>
    <w:rPr>
      <w:b/>
    </w:rPr>
  </w:style>
  <w:style w:type="character" w:styleId="29">
    <w:name w:val="page number"/>
    <w:qFormat/>
    <w:uiPriority w:val="0"/>
  </w:style>
  <w:style w:type="character" w:styleId="30">
    <w:name w:val="annotation reference"/>
    <w:basedOn w:val="27"/>
    <w:qFormat/>
    <w:uiPriority w:val="0"/>
    <w:rPr>
      <w:sz w:val="21"/>
      <w:szCs w:val="21"/>
    </w:rPr>
  </w:style>
  <w:style w:type="paragraph" w:styleId="31">
    <w:name w:val="List Paragraph"/>
    <w:basedOn w:val="1"/>
    <w:next w:val="1"/>
    <w:qFormat/>
    <w:uiPriority w:val="34"/>
    <w:pPr>
      <w:ind w:firstLine="420" w:firstLineChars="200"/>
    </w:pPr>
  </w:style>
  <w:style w:type="character" w:customStyle="1" w:styleId="32">
    <w:name w:val="font61"/>
    <w:basedOn w:val="27"/>
    <w:qFormat/>
    <w:uiPriority w:val="0"/>
    <w:rPr>
      <w:rFonts w:hint="eastAsia" w:ascii="宋体" w:hAnsi="宋体" w:eastAsia="宋体" w:cs="宋体"/>
      <w:color w:val="000000"/>
      <w:sz w:val="18"/>
      <w:szCs w:val="18"/>
      <w:u w:val="none"/>
    </w:rPr>
  </w:style>
  <w:style w:type="character" w:customStyle="1" w:styleId="33">
    <w:name w:val="font71"/>
    <w:basedOn w:val="27"/>
    <w:qFormat/>
    <w:uiPriority w:val="0"/>
    <w:rPr>
      <w:rFonts w:hint="default" w:ascii="Times New Roman" w:hAnsi="Times New Roman" w:cs="Times New Roman"/>
      <w:color w:val="000000"/>
      <w:sz w:val="18"/>
      <w:szCs w:val="18"/>
      <w:u w:val="none"/>
    </w:rPr>
  </w:style>
  <w:style w:type="character" w:customStyle="1" w:styleId="34">
    <w:name w:val="font41"/>
    <w:basedOn w:val="27"/>
    <w:qFormat/>
    <w:uiPriority w:val="0"/>
    <w:rPr>
      <w:rFonts w:hint="eastAsia" w:ascii="楷体_GB2312" w:eastAsia="楷体_GB2312" w:cs="楷体_GB2312"/>
      <w:color w:val="000000"/>
      <w:sz w:val="18"/>
      <w:szCs w:val="18"/>
      <w:u w:val="none"/>
      <w:vertAlign w:val="subscript"/>
    </w:rPr>
  </w:style>
  <w:style w:type="character" w:customStyle="1" w:styleId="35">
    <w:name w:val="font81"/>
    <w:basedOn w:val="27"/>
    <w:qFormat/>
    <w:uiPriority w:val="0"/>
    <w:rPr>
      <w:rFonts w:hint="eastAsia" w:ascii="楷体_GB2312" w:eastAsia="楷体_GB2312" w:cs="楷体_GB2312"/>
      <w:color w:val="000000"/>
      <w:sz w:val="18"/>
      <w:szCs w:val="18"/>
      <w:u w:val="none"/>
    </w:rPr>
  </w:style>
  <w:style w:type="character" w:customStyle="1" w:styleId="36">
    <w:name w:val="font91"/>
    <w:basedOn w:val="27"/>
    <w:qFormat/>
    <w:uiPriority w:val="0"/>
    <w:rPr>
      <w:rFonts w:hint="default" w:ascii="Times New Roman" w:hAnsi="Times New Roman" w:cs="Times New Roman"/>
      <w:color w:val="000000"/>
      <w:sz w:val="18"/>
      <w:szCs w:val="18"/>
      <w:u w:val="none"/>
      <w:vertAlign w:val="subscript"/>
    </w:rPr>
  </w:style>
  <w:style w:type="character" w:customStyle="1" w:styleId="37">
    <w:name w:val="font51"/>
    <w:basedOn w:val="27"/>
    <w:qFormat/>
    <w:uiPriority w:val="0"/>
    <w:rPr>
      <w:rFonts w:hint="eastAsia" w:ascii="宋体" w:hAnsi="宋体" w:eastAsia="宋体" w:cs="宋体"/>
      <w:color w:val="000000"/>
      <w:sz w:val="18"/>
      <w:szCs w:val="18"/>
      <w:u w:val="none"/>
    </w:rPr>
  </w:style>
  <w:style w:type="paragraph" w:customStyle="1" w:styleId="38">
    <w:name w:val="样式3"/>
    <w:basedOn w:val="39"/>
    <w:qFormat/>
    <w:uiPriority w:val="0"/>
    <w:pPr>
      <w:tabs>
        <w:tab w:val="left" w:pos="2160"/>
      </w:tabs>
      <w:adjustRightInd w:val="0"/>
      <w:spacing w:line="312" w:lineRule="exact"/>
      <w:textAlignment w:val="baseline"/>
    </w:pPr>
    <w:rPr>
      <w:rFonts w:ascii="EU-F1" w:eastAsia="黑体"/>
      <w:kern w:val="0"/>
      <w:sz w:val="21"/>
      <w:szCs w:val="21"/>
    </w:rPr>
  </w:style>
  <w:style w:type="paragraph" w:customStyle="1" w:styleId="39">
    <w:name w:val="样式1"/>
    <w:basedOn w:val="1"/>
    <w:qFormat/>
    <w:uiPriority w:val="0"/>
    <w:rPr>
      <w:sz w:val="28"/>
      <w:szCs w:val="24"/>
    </w:rPr>
  </w:style>
  <w:style w:type="paragraph" w:customStyle="1" w:styleId="40">
    <w:name w:val="文档正文"/>
    <w:basedOn w:val="1"/>
    <w:qFormat/>
    <w:uiPriority w:val="0"/>
    <w:pPr>
      <w:adjustRightInd w:val="0"/>
      <w:spacing w:line="312" w:lineRule="atLeast"/>
      <w:ind w:firstLine="567"/>
      <w:textAlignment w:val="baseline"/>
    </w:pPr>
    <w:rPr>
      <w:rFonts w:ascii="长城仿宋" w:hAnsi="Calibri" w:eastAsia="长城仿宋"/>
      <w:kern w:val="0"/>
      <w:sz w:val="28"/>
    </w:rPr>
  </w:style>
  <w:style w:type="paragraph" w:customStyle="1" w:styleId="41">
    <w:name w:val="wang正文"/>
    <w:basedOn w:val="1"/>
    <w:qFormat/>
    <w:uiPriority w:val="0"/>
    <w:pPr>
      <w:tabs>
        <w:tab w:val="left" w:pos="6840"/>
      </w:tabs>
      <w:topLinePunct/>
      <w:ind w:firstLine="420"/>
    </w:pPr>
  </w:style>
  <w:style w:type="character" w:customStyle="1" w:styleId="42">
    <w:name w:val="font11"/>
    <w:basedOn w:val="27"/>
    <w:qFormat/>
    <w:uiPriority w:val="0"/>
    <w:rPr>
      <w:rFonts w:hint="default" w:ascii="Times New Roman" w:hAnsi="Times New Roman" w:cs="Times New Roman"/>
      <w:color w:val="000000"/>
      <w:sz w:val="20"/>
      <w:szCs w:val="20"/>
      <w:u w:val="none"/>
    </w:rPr>
  </w:style>
  <w:style w:type="paragraph" w:customStyle="1" w:styleId="43">
    <w:name w:val="WPSOffice手动目录 1"/>
    <w:qFormat/>
    <w:uiPriority w:val="0"/>
    <w:rPr>
      <w:rFonts w:ascii="Times New Roman" w:hAnsi="Times New Roman" w:eastAsia="宋体" w:cs="Times New Roman"/>
      <w:lang w:val="en-US" w:eastAsia="zh-CN" w:bidi="ar-SA"/>
    </w:rPr>
  </w:style>
  <w:style w:type="paragraph" w:customStyle="1" w:styleId="44">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6">
    <w:name w:val="Char Char Char1 Char Char Char Char Char Char Char Char Char Char"/>
    <w:semiHidden/>
    <w:qFormat/>
    <w:uiPriority w:val="0"/>
    <w:pPr>
      <w:widowControl w:val="0"/>
      <w:adjustRightInd w:val="0"/>
      <w:snapToGrid w:val="0"/>
      <w:spacing w:line="360" w:lineRule="auto"/>
      <w:ind w:firstLine="200" w:firstLineChars="200"/>
      <w:jc w:val="both"/>
    </w:pPr>
    <w:rPr>
      <w:rFonts w:ascii="宋体" w:hAnsi="宋体" w:eastAsia="宋体" w:cs="宋体"/>
      <w:kern w:val="2"/>
      <w:sz w:val="24"/>
      <w:szCs w:val="26"/>
      <w:lang w:val="en-US" w:eastAsia="zh-CN" w:bidi="ar-SA"/>
    </w:rPr>
  </w:style>
  <w:style w:type="paragraph" w:customStyle="1" w:styleId="47">
    <w:name w:val="样式 标题8 + 四号 加粗 行距: 多倍行距 1.45 字行"/>
    <w:basedOn w:val="48"/>
    <w:qFormat/>
    <w:uiPriority w:val="0"/>
    <w:pPr>
      <w:spacing w:line="348" w:lineRule="auto"/>
      <w:outlineLvl w:val="1"/>
    </w:pPr>
    <w:rPr>
      <w:rFonts w:cs="宋体"/>
      <w:b/>
      <w:bCs/>
      <w:sz w:val="28"/>
    </w:rPr>
  </w:style>
  <w:style w:type="paragraph" w:customStyle="1" w:styleId="48">
    <w:name w:val="标题8"/>
    <w:basedOn w:val="1"/>
    <w:qFormat/>
    <w:uiPriority w:val="0"/>
  </w:style>
  <w:style w:type="paragraph" w:customStyle="1" w:styleId="49">
    <w:name w:val="标题7"/>
    <w:basedOn w:val="1"/>
    <w:qFormat/>
    <w:uiPriority w:val="0"/>
    <w:pPr>
      <w:spacing w:line="348" w:lineRule="auto"/>
      <w:outlineLvl w:val="0"/>
    </w:pPr>
    <w:rPr>
      <w:b/>
      <w:sz w:val="28"/>
      <w:szCs w:val="28"/>
    </w:rPr>
  </w:style>
  <w:style w:type="paragraph" w:customStyle="1" w:styleId="50">
    <w:name w:val="样式 宋体 小四 黑色 行距: 多倍行距 1.45 字行"/>
    <w:basedOn w:val="1"/>
    <w:qFormat/>
    <w:uiPriority w:val="0"/>
    <w:pPr>
      <w:spacing w:line="348" w:lineRule="auto"/>
      <w:ind w:firstLine="480" w:firstLineChars="200"/>
    </w:pPr>
    <w:rPr>
      <w:rFonts w:ascii="宋体" w:hAnsi="宋体" w:cs="Arial"/>
      <w:sz w:val="24"/>
    </w:rPr>
  </w:style>
  <w:style w:type="paragraph" w:customStyle="1" w:styleId="51">
    <w:name w:val="正文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52">
    <w:name w:val="font01"/>
    <w:basedOn w:val="27"/>
    <w:qFormat/>
    <w:uiPriority w:val="0"/>
    <w:rPr>
      <w:rFonts w:hint="eastAsia" w:ascii="宋体" w:hAnsi="宋体" w:eastAsia="宋体" w:cs="宋体"/>
      <w:color w:val="FF0000"/>
      <w:sz w:val="20"/>
      <w:szCs w:val="20"/>
      <w:u w:val="none"/>
    </w:rPr>
  </w:style>
  <w:style w:type="paragraph" w:customStyle="1" w:styleId="53">
    <w:name w:val="二级条标题"/>
    <w:basedOn w:val="1"/>
    <w:next w:val="1"/>
    <w:qFormat/>
    <w:uiPriority w:val="0"/>
    <w:pPr>
      <w:widowControl/>
      <w:numPr>
        <w:ilvl w:val="3"/>
        <w:numId w:val="1"/>
      </w:numPr>
      <w:outlineLvl w:val="3"/>
    </w:pPr>
    <w:rPr>
      <w:rFonts w:ascii="黑体" w:eastAsia="黑体"/>
      <w:kern w:val="0"/>
    </w:rPr>
  </w:style>
  <w:style w:type="character" w:customStyle="1" w:styleId="54">
    <w:name w:val="批注文字 字符"/>
    <w:basedOn w:val="27"/>
    <w:link w:val="9"/>
    <w:qFormat/>
    <w:uiPriority w:val="0"/>
    <w:rPr>
      <w:kern w:val="2"/>
      <w:sz w:val="21"/>
    </w:rPr>
  </w:style>
  <w:style w:type="character" w:customStyle="1" w:styleId="55">
    <w:name w:val="批注主题 字符"/>
    <w:basedOn w:val="54"/>
    <w:link w:val="24"/>
    <w:qFormat/>
    <w:uiPriority w:val="0"/>
    <w:rPr>
      <w:b/>
      <w:bCs/>
      <w:kern w:val="2"/>
      <w:sz w:val="21"/>
    </w:rPr>
  </w:style>
  <w:style w:type="paragraph" w:customStyle="1" w:styleId="56">
    <w:name w:val="TOC Heading"/>
    <w:basedOn w:val="4"/>
    <w:next w:val="1"/>
    <w:unhideWhenUsed/>
    <w:qFormat/>
    <w:uiPriority w:val="39"/>
    <w:pPr>
      <w:spacing w:before="240" w:line="259" w:lineRule="auto"/>
      <w:jc w:val="left"/>
      <w:outlineLvl w:val="9"/>
    </w:pPr>
    <w:rPr>
      <w:rFonts w:ascii="Cambria" w:hAnsi="Cambria" w:eastAsia="宋体" w:cs="Times New Roman"/>
      <w:color w:val="366091"/>
      <w:kern w:val="0"/>
      <w:sz w:val="32"/>
      <w:szCs w:val="32"/>
    </w:rPr>
  </w:style>
  <w:style w:type="paragraph" w:customStyle="1" w:styleId="57">
    <w:name w:val="D3"/>
    <w:basedOn w:val="1"/>
    <w:qFormat/>
    <w:uiPriority w:val="0"/>
    <w:pPr>
      <w:topLinePunct/>
      <w:spacing w:line="312" w:lineRule="exact"/>
    </w:pPr>
    <w:rPr>
      <w:rFonts w:ascii="黑体" w:hAnsi="Times New Roman" w:eastAsia="黑体" w:cs="Times New Roman"/>
      <w:szCs w:val="21"/>
    </w:rPr>
  </w:style>
  <w:style w:type="paragraph" w:customStyle="1" w:styleId="58">
    <w:name w:val="D2"/>
    <w:basedOn w:val="1"/>
    <w:qFormat/>
    <w:uiPriority w:val="0"/>
    <w:pPr>
      <w:spacing w:line="312" w:lineRule="exact"/>
    </w:pPr>
    <w:rPr>
      <w:rFonts w:ascii="EU-F1" w:hAnsi="Times New Roman" w:eastAsia="黑体" w:cs="Times New Roman"/>
      <w:kern w:val="21"/>
      <w:szCs w:val="21"/>
    </w:rPr>
  </w:style>
  <w:style w:type="paragraph" w:customStyle="1" w:styleId="59">
    <w:name w:val=" Char"/>
    <w:basedOn w:val="1"/>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3857</Words>
  <Characters>4285</Characters>
  <Lines>112</Lines>
  <Paragraphs>31</Paragraphs>
  <TotalTime>17</TotalTime>
  <ScaleCrop>false</ScaleCrop>
  <LinksUpToDate>false</LinksUpToDate>
  <CharactersWithSpaces>4549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2024-04-26T03:09:00Z</dcterms:created>
  <dc:creator>金刚</dc:creator>
  <cp:lastModifiedBy>林滨</cp:lastModifiedBy>
  <cp:lastPrinted>2026-03-05T00:40:00Z</cp:lastPrinted>
  <dcterms:modified xsi:type="dcterms:W3CDTF">2026-06-01T11:04:29Z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98DB967FA4554620A1473E85AD142F78</vt:lpwstr>
  </property>
  <property fmtid="{D5CDD505-2E9C-101B-9397-08002B2CF9AE}" pid="4" name="KSOTemplateDocerSaveRecord">
    <vt:lpwstr>eyJoZGlkIjoiMDcwOGUzMDdiZWZlMGQ0YWM3YjVmOWU2YjQyNjI0NTMiLCJ1c2VySWQiOiIxNjQ5NTAwMzQyIn0=</vt:lpwstr>
  </property>
</Properties>
</file>