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tLeast"/>
        <w:ind w:right="2" w:rightChars="1"/>
        <w:jc w:val="center"/>
        <w:rPr>
          <w:rFonts w:hint="eastAsia" w:ascii="宋体" w:hAnsi="宋体" w:cs="宋体"/>
          <w:b/>
          <w:bCs/>
          <w:sz w:val="44"/>
          <w:szCs w:val="44"/>
        </w:rPr>
      </w:pPr>
    </w:p>
    <w:p>
      <w:pPr>
        <w:snapToGrid w:val="0"/>
        <w:spacing w:line="240" w:lineRule="atLeast"/>
        <w:ind w:right="2" w:rightChars="1"/>
        <w:jc w:val="center"/>
        <w:rPr>
          <w:rFonts w:hint="eastAsia" w:ascii="宋体" w:hAnsi="宋体"/>
          <w:sz w:val="44"/>
          <w:szCs w:val="44"/>
        </w:rPr>
      </w:pPr>
      <w:r>
        <w:rPr>
          <w:rFonts w:hint="eastAsia" w:ascii="宋体" w:hAnsi="宋体" w:cs="宋体"/>
          <w:b/>
          <w:bCs/>
          <w:sz w:val="44"/>
          <w:szCs w:val="44"/>
        </w:rPr>
        <w:t>酒泉钢铁（集团）宏兴股份公司</w:t>
      </w:r>
    </w:p>
    <w:p>
      <w:pPr>
        <w:snapToGrid w:val="0"/>
        <w:spacing w:line="240" w:lineRule="atLeast"/>
        <w:ind w:right="2" w:rightChars="1"/>
        <w:jc w:val="center"/>
        <w:rPr>
          <w:rFonts w:hint="eastAsia" w:hAnsi="宋体" w:eastAsia="宋体"/>
          <w:sz w:val="44"/>
          <w:szCs w:val="44"/>
          <w:lang w:eastAsia="zh-CN"/>
        </w:rPr>
      </w:pPr>
      <w:r>
        <w:rPr>
          <w:rFonts w:hint="eastAsia" w:ascii="宋体" w:hAnsi="宋体"/>
          <w:sz w:val="40"/>
          <w:szCs w:val="40"/>
        </w:rPr>
        <w:t>（</w:t>
      </w:r>
      <w:r>
        <w:rPr>
          <w:rFonts w:hint="eastAsia" w:hAnsi="宋体" w:eastAsia="宋体"/>
          <w:sz w:val="40"/>
          <w:szCs w:val="40"/>
          <w:lang w:eastAsia="zh-CN"/>
        </w:rPr>
        <w:t>采购设备名称：自清洗过滤器）</w:t>
      </w:r>
    </w:p>
    <w:p>
      <w:pPr>
        <w:snapToGrid w:val="0"/>
        <w:spacing w:line="240" w:lineRule="atLeast"/>
        <w:ind w:right="2" w:rightChars="1"/>
        <w:jc w:val="center"/>
        <w:rPr>
          <w:rFonts w:hint="eastAsia" w:ascii="宋体" w:hAnsi="宋体"/>
          <w:b/>
          <w:bCs/>
          <w:sz w:val="32"/>
        </w:rPr>
      </w:pPr>
      <w:r>
        <w:rPr>
          <w:rFonts w:hint="eastAsia" w:hAnsi="宋体" w:eastAsia="宋体"/>
          <w:sz w:val="44"/>
          <w:szCs w:val="44"/>
          <w:lang w:val="en-US" w:eastAsia="zh-CN"/>
        </w:rPr>
        <w:t>技术规格书</w:t>
      </w:r>
    </w:p>
    <w:p>
      <w:pPr>
        <w:rPr>
          <w:rFonts w:hint="eastAsia" w:ascii="宋体" w:hAnsi="宋体"/>
          <w:b/>
          <w:bCs/>
          <w:sz w:val="32"/>
        </w:rPr>
      </w:pPr>
    </w:p>
    <w:p>
      <w:pPr>
        <w:rPr>
          <w:rFonts w:hint="eastAsia" w:ascii="宋体" w:hAnsi="宋体"/>
          <w:b/>
          <w:bCs/>
          <w:sz w:val="32"/>
        </w:rPr>
      </w:pPr>
    </w:p>
    <w:p>
      <w:pPr>
        <w:rPr>
          <w:rFonts w:hint="eastAsia" w:ascii="宋体" w:hAnsi="宋体"/>
          <w:b/>
          <w:bCs/>
          <w:sz w:val="32"/>
        </w:rPr>
      </w:pPr>
    </w:p>
    <w:p>
      <w:pPr>
        <w:rPr>
          <w:rFonts w:hint="eastAsia" w:ascii="宋体" w:hAnsi="宋体"/>
          <w:b/>
          <w:bCs/>
          <w:sz w:val="32"/>
        </w:rPr>
      </w:pPr>
    </w:p>
    <w:p>
      <w:pPr>
        <w:rPr>
          <w:rFonts w:hint="eastAsia" w:ascii="宋体" w:hAnsi="宋体"/>
          <w:b/>
          <w:bCs/>
          <w:sz w:val="32"/>
        </w:rPr>
      </w:pPr>
    </w:p>
    <w:p>
      <w:pPr>
        <w:rPr>
          <w:rFonts w:hint="eastAsia" w:ascii="宋体" w:hAnsi="宋体"/>
          <w:b/>
          <w:bCs/>
          <w:sz w:val="32"/>
        </w:rPr>
      </w:pPr>
    </w:p>
    <w:p>
      <w:pPr>
        <w:rPr>
          <w:rFonts w:hint="eastAsia" w:ascii="宋体" w:hAnsi="宋体"/>
          <w:b/>
          <w:bCs/>
          <w:sz w:val="32"/>
        </w:rPr>
      </w:pPr>
    </w:p>
    <w:p>
      <w:pPr>
        <w:rPr>
          <w:rFonts w:hint="eastAsia" w:ascii="宋体" w:hAnsi="宋体"/>
          <w:b/>
          <w:bCs/>
          <w:sz w:val="32"/>
        </w:rPr>
      </w:pPr>
    </w:p>
    <w:p>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lang w:val="en-US" w:eastAsia="zh-CN" w:bidi="ar-SA"/>
        </w:rPr>
      </w:pPr>
    </w:p>
    <w:p>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lang w:val="en-US" w:eastAsia="zh-CN" w:bidi="ar-SA"/>
        </w:rPr>
      </w:pPr>
      <w:r>
        <w:rPr>
          <w:rFonts w:hint="eastAsia" w:ascii="仿宋_GB2312" w:hAnsi="宋体" w:eastAsia="仿宋_GB2312"/>
          <w:b/>
          <w:bCs/>
          <w:caps w:val="0"/>
          <w:smallCaps w:val="0"/>
          <w:vanish w:val="0"/>
          <w:kern w:val="0"/>
          <w:sz w:val="28"/>
          <w:szCs w:val="28"/>
          <w:lang w:val="en-US" w:eastAsia="zh-CN" w:bidi="ar-SA"/>
        </w:rPr>
        <w:t>甲  方：酒泉钢铁（集团）宏兴股份公司动力厂</w:t>
      </w:r>
    </w:p>
    <w:p>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lang w:val="en-US" w:eastAsia="zh-CN" w:bidi="ar-SA"/>
        </w:rPr>
      </w:pPr>
      <w:r>
        <w:rPr>
          <w:rFonts w:hint="eastAsia" w:ascii="仿宋_GB2312" w:hAnsi="宋体" w:eastAsia="仿宋_GB2312"/>
          <w:b/>
          <w:bCs/>
          <w:caps w:val="0"/>
          <w:smallCaps w:val="0"/>
          <w:vanish w:val="0"/>
          <w:kern w:val="0"/>
          <w:sz w:val="28"/>
          <w:szCs w:val="28"/>
          <w:lang w:val="en-US" w:eastAsia="zh-CN" w:bidi="ar-SA"/>
        </w:rPr>
        <w:t>乙  方：</w:t>
      </w:r>
    </w:p>
    <w:p>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lang w:val="en-US" w:eastAsia="zh-CN" w:bidi="ar-SA"/>
        </w:rPr>
      </w:pPr>
    </w:p>
    <w:p/>
    <w:p/>
    <w:p/>
    <w:p/>
    <w:p/>
    <w:p/>
    <w:p>
      <w:pPr>
        <w:pStyle w:val="8"/>
      </w:pPr>
    </w:p>
    <w:p>
      <w:pPr>
        <w:pStyle w:val="8"/>
      </w:pPr>
    </w:p>
    <w:p>
      <w:pPr>
        <w:pStyle w:val="8"/>
      </w:pPr>
    </w:p>
    <w:p>
      <w:pPr>
        <w:pStyle w:val="8"/>
      </w:pPr>
    </w:p>
    <w:p>
      <w:pPr>
        <w:pStyle w:val="8"/>
      </w:pPr>
    </w:p>
    <w:p>
      <w:pPr>
        <w:pStyle w:val="8"/>
      </w:pPr>
    </w:p>
    <w:p>
      <w:pPr>
        <w:pStyle w:val="8"/>
      </w:pPr>
    </w:p>
    <w:p>
      <w:pPr>
        <w:pStyle w:val="8"/>
      </w:pPr>
    </w:p>
    <w:p>
      <w:pPr>
        <w:pStyle w:val="8"/>
      </w:pPr>
    </w:p>
    <w:p/>
    <w:p>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pPr>
        <w:spacing w:line="460" w:lineRule="exact"/>
        <w:ind w:firstLine="3791"/>
        <w:rPr>
          <w:rFonts w:hint="eastAsia" w:ascii="仿宋_GB2312" w:hAnsi="仿宋_GB2312" w:eastAsia="仿宋_GB2312" w:cs="仿宋_GB2312"/>
          <w:b/>
          <w:sz w:val="30"/>
          <w:szCs w:val="30"/>
          <w:highlight w:val="none"/>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GB" w:eastAsia="zh-CN"/>
        </w:rPr>
      </w:pPr>
      <w:r>
        <w:rPr>
          <w:rFonts w:hint="eastAsia" w:ascii="仿宋_GB2312" w:hAnsi="仿宋_GB2312" w:eastAsia="仿宋_GB2312" w:cs="仿宋_GB2312"/>
          <w:b w:val="0"/>
          <w:bCs w:val="0"/>
          <w:kern w:val="2"/>
          <w:sz w:val="30"/>
          <w:szCs w:val="30"/>
          <w:lang w:val="en-US" w:eastAsia="zh-CN"/>
        </w:rPr>
        <w:t>一、总则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GB" w:eastAsia="zh-CN"/>
        </w:rPr>
      </w:pPr>
      <w:r>
        <w:rPr>
          <w:rFonts w:hint="eastAsia" w:ascii="仿宋_GB2312" w:hAnsi="仿宋_GB2312" w:eastAsia="仿宋_GB2312" w:cs="仿宋_GB2312"/>
          <w:b w:val="0"/>
          <w:bCs w:val="0"/>
          <w:kern w:val="2"/>
          <w:sz w:val="30"/>
          <w:szCs w:val="30"/>
          <w:lang w:val="en-GB" w:eastAsia="zh-CN"/>
        </w:rPr>
        <w:t>二、供货范围及设备参数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三、制造技术要求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四、</w:t>
      </w:r>
      <w:r>
        <w:rPr>
          <w:rFonts w:hint="eastAsia" w:ascii="仿宋_GB2312" w:hAnsi="仿宋_GB2312" w:eastAsia="仿宋_GB2312" w:cs="仿宋_GB2312"/>
          <w:b w:val="0"/>
          <w:bCs w:val="0"/>
          <w:kern w:val="2"/>
          <w:sz w:val="30"/>
          <w:szCs w:val="30"/>
          <w:lang w:val="en-GB" w:eastAsia="zh-CN"/>
        </w:rPr>
        <w:t>验收及技术服务：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五、提供资料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六、交货时间及地点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七、其它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GB" w:eastAsia="zh-CN"/>
        </w:rPr>
      </w:pPr>
      <w:r>
        <w:rPr>
          <w:rFonts w:hint="eastAsia" w:ascii="仿宋_GB2312" w:hAnsi="仿宋_GB2312" w:eastAsia="仿宋_GB2312" w:cs="仿宋_GB2312"/>
          <w:b w:val="0"/>
          <w:bCs w:val="0"/>
          <w:kern w:val="2"/>
          <w:sz w:val="30"/>
          <w:szCs w:val="30"/>
          <w:lang w:val="en-US" w:eastAsia="zh-CN"/>
        </w:rPr>
        <w:t>甘肃酒钢集团宏兴钢铁股份有限公司动力厂</w:t>
      </w:r>
      <w:r>
        <w:rPr>
          <w:rFonts w:hint="eastAsia" w:ascii="仿宋_GB2312" w:hAnsi="仿宋_GB2312" w:eastAsia="仿宋_GB2312" w:cs="仿宋_GB2312"/>
          <w:b w:val="0"/>
          <w:bCs w:val="0"/>
          <w:kern w:val="2"/>
          <w:sz w:val="30"/>
          <w:szCs w:val="30"/>
          <w:lang w:val="en-GB" w:eastAsia="zh-CN"/>
        </w:rPr>
        <w:t>（以下称甲方）与</w:t>
      </w:r>
      <w:r>
        <w:rPr>
          <w:rFonts w:hint="eastAsia" w:ascii="仿宋_GB2312" w:hAnsi="仿宋_GB2312" w:eastAsia="仿宋_GB2312" w:cs="仿宋_GB2312"/>
          <w:b w:val="0"/>
          <w:bCs w:val="0"/>
          <w:kern w:val="2"/>
          <w:sz w:val="30"/>
          <w:szCs w:val="30"/>
          <w:u w:val="single"/>
          <w:lang w:val="en-US" w:eastAsia="zh-CN"/>
        </w:rPr>
        <w:t xml:space="preserve">                    </w:t>
      </w:r>
      <w:r>
        <w:rPr>
          <w:rFonts w:hint="eastAsia" w:ascii="仿宋_GB2312" w:hAnsi="仿宋_GB2312" w:eastAsia="仿宋_GB2312" w:cs="仿宋_GB2312"/>
          <w:b w:val="0"/>
          <w:bCs w:val="0"/>
          <w:kern w:val="2"/>
          <w:sz w:val="30"/>
          <w:szCs w:val="30"/>
          <w:lang w:val="en-GB" w:eastAsia="zh-CN"/>
        </w:rPr>
        <w:t>（以下称乙方）就甲方</w:t>
      </w:r>
      <w:r>
        <w:rPr>
          <w:rFonts w:hint="eastAsia" w:ascii="仿宋_GB2312" w:hAnsi="仿宋_GB2312" w:eastAsia="仿宋_GB2312" w:cs="仿宋_GB2312"/>
          <w:b w:val="0"/>
          <w:bCs w:val="0"/>
          <w:kern w:val="2"/>
          <w:sz w:val="30"/>
          <w:szCs w:val="30"/>
          <w:highlight w:val="none"/>
          <w:lang w:val="en-US" w:eastAsia="zh-CN"/>
        </w:rPr>
        <w:t>自清洗过滤器</w:t>
      </w:r>
      <w:r>
        <w:rPr>
          <w:rFonts w:hint="eastAsia" w:ascii="仿宋_GB2312" w:hAnsi="仿宋_GB2312" w:eastAsia="仿宋_GB2312" w:cs="仿宋_GB2312"/>
          <w:b w:val="0"/>
          <w:bCs w:val="0"/>
          <w:kern w:val="2"/>
          <w:sz w:val="30"/>
          <w:szCs w:val="30"/>
          <w:lang w:val="en-GB" w:eastAsia="zh-CN"/>
        </w:rPr>
        <w:t>采购经双方协商，达成如下技术协议：</w:t>
      </w:r>
    </w:p>
    <w:p>
      <w:pPr>
        <w:pStyle w:val="5"/>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一、总则</w:t>
      </w:r>
      <w:r>
        <w:rPr>
          <w:rFonts w:hint="eastAsia" w:ascii="仿宋_GB2312" w:hAnsi="仿宋_GB2312" w:eastAsia="仿宋_GB2312" w:cs="仿宋_GB2312"/>
          <w:sz w:val="30"/>
          <w:szCs w:val="30"/>
          <w:lang w:val="en-US" w:eastAsia="zh-CN"/>
        </w:rPr>
        <w:t>：</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b w:val="0"/>
          <w:bCs w:val="0"/>
          <w:kern w:val="2"/>
          <w:sz w:val="30"/>
          <w:szCs w:val="30"/>
          <w:lang w:val="en-US" w:eastAsia="zh-CN"/>
        </w:rPr>
        <w:t>本技术协议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pPr>
        <w:pStyle w:val="5"/>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b w:val="0"/>
          <w:bCs w:val="0"/>
          <w:kern w:val="2"/>
          <w:sz w:val="30"/>
          <w:szCs w:val="30"/>
          <w:lang w:val="en-US" w:eastAsia="zh-CN"/>
        </w:rPr>
        <w:t>本技术协议提出的是最低限度的技术要求，并未对一切技术要求作出详细规定，也未充分引述有关标准及规范的条文。卖方应保证提供符合本规范书和相关的国际、国内工业标准的高质量产品及其相应服务，对国家有关安全、环保等强制性标准，必须满足其要求。</w:t>
      </w:r>
    </w:p>
    <w:p>
      <w:pPr>
        <w:widowControl/>
        <w:spacing w:line="460" w:lineRule="exact"/>
        <w:ind w:firstLine="480"/>
        <w:jc w:val="left"/>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3.卖方提供的设备应是成熟可靠、技术先进的产品，在钢铁行业机组有2家及以上运行超过3年，已证明安全可靠的优质产品。</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4.对于国家明令禁止使用的和已淘汰的产品和设备，一律不准在本工程中使用。在电控元件中不准采用原厂家已经确定不再生产的和即将换代的电子元件产品。</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5.若卖方所提供的投标文件前后有不一致的地方，应以更有利于设备安装运行、工程质量为原则，由买方确定。</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6.卖方应按技术规范书中顺序逐条应答，如对本技术规范书有偏差（无论多少）都必须清楚地表示在本技术规范书中的 “差异表”中。否则将认为卖方提供的设备完全符合本技术规范书和标准的要求。</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7.本技术协议所引用的标准若与卖方所执行的标准发生矛盾时，按较高的标准执行。卖方在设备设计和制造中所涉及的各项规程、规范和标准必须遵循现行最新标准版本。</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8.在合同签订后，买方有权因规范、标准、规程发生变化而提出一些补充要求。在设备投料生产前，卖方应在设计上给予修改，具体项目由供需双方共同商定。</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9. 在合同签订15天内，按本技术协议的要求，卖方提出合同设备的设计、制造、检验/试验、装配、安装、调试、试运、验收、试验、运行和维护等标准清单给买方，供买方确认。</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10.乙方在合同货物制造中，发生侵犯专利的行为时其侵权责任与甲方无关。</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11.乙方须对自清洗过滤器整体设计的完整性、合理性和设计质量承担全部责任。</w:t>
      </w:r>
    </w:p>
    <w:p>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lang w:val="en-GB" w:eastAsia="zh-CN"/>
        </w:rPr>
      </w:pPr>
      <w:r>
        <w:rPr>
          <w:rFonts w:hint="eastAsia" w:ascii="仿宋_GB2312" w:hAnsi="仿宋_GB2312" w:eastAsia="仿宋_GB2312" w:cs="仿宋_GB2312"/>
          <w:b/>
          <w:bCs/>
          <w:kern w:val="2"/>
          <w:sz w:val="30"/>
          <w:szCs w:val="30"/>
          <w:lang w:val="en-GB" w:eastAsia="zh-CN"/>
        </w:rPr>
        <w:t>二、供货范围及设备参数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GB" w:eastAsia="zh-CN"/>
        </w:rPr>
      </w:pPr>
      <w:r>
        <w:rPr>
          <w:rFonts w:hint="eastAsia" w:ascii="仿宋_GB2312" w:hAnsi="仿宋_GB2312" w:eastAsia="仿宋_GB2312" w:cs="仿宋_GB2312"/>
          <w:b w:val="0"/>
          <w:bCs w:val="0"/>
          <w:kern w:val="2"/>
          <w:sz w:val="30"/>
          <w:szCs w:val="30"/>
          <w:lang w:val="en-US" w:eastAsia="zh-CN"/>
        </w:rPr>
        <w:t>1.供货范围</w:t>
      </w:r>
    </w:p>
    <w:p>
      <w:pPr>
        <w:ind w:firstLine="640" w:firstLineChars="200"/>
        <w:rPr>
          <w:rFonts w:hint="eastAsia" w:ascii="仿宋_GB2312" w:hAnsi="仿宋_GB2312" w:eastAsia="仿宋_GB2312" w:cs="仿宋_GB2312"/>
          <w:sz w:val="30"/>
          <w:szCs w:val="30"/>
          <w:lang w:val="en-US" w:eastAsia="zh-CN"/>
        </w:rPr>
      </w:pPr>
      <w:r>
        <w:rPr>
          <w:rFonts w:hint="eastAsia" w:ascii="仿宋" w:hAnsi="仿宋" w:eastAsia="仿宋"/>
          <w:sz w:val="32"/>
          <w:szCs w:val="32"/>
          <w:lang w:eastAsia="zh-CN"/>
        </w:rPr>
        <w:t>（</w:t>
      </w:r>
      <w:r>
        <w:rPr>
          <w:rFonts w:hint="eastAsia" w:ascii="仿宋_GB2312" w:hAnsi="仿宋_GB2312" w:eastAsia="仿宋_GB2312" w:cs="仿宋_GB2312"/>
          <w:sz w:val="30"/>
          <w:szCs w:val="30"/>
          <w:lang w:val="en-US" w:eastAsia="zh-CN"/>
        </w:rPr>
        <w:t>1）完整的PLC机电一体化产品，包括过滤器本体、滤芯、滤刷、驱动减速机及配套电机、配套密封件等。</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（2）电控装置，包括电控柜及内部电气元件（IP65）、压差开关、定时继电器、电控箱至设备之间的线缆等，同时要求电控柜上预留远传信号端子，能将自清洗管道过滤器的运行状态信号传至集控室内。</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（3）排污总成，包括：手动排污阀、电动排污阀、配对法兰、紧固件及垫片等。</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（4）自清洗过滤器1台。</w:t>
      </w:r>
    </w:p>
    <w:p>
      <w:pPr>
        <w:pStyle w:val="5"/>
        <w:ind w:left="0" w:leftChars="0"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2.单套设备参数</w:t>
      </w:r>
    </w:p>
    <w:tbl>
      <w:tblPr>
        <w:tblStyle w:val="6"/>
        <w:tblW w:w="0" w:type="auto"/>
        <w:jc w:val="center"/>
        <w:tblLayout w:type="fixed"/>
        <w:tblCellMar>
          <w:top w:w="0" w:type="dxa"/>
          <w:left w:w="108" w:type="dxa"/>
          <w:bottom w:w="0" w:type="dxa"/>
          <w:right w:w="108" w:type="dxa"/>
        </w:tblCellMar>
      </w:tblPr>
      <w:tblGrid>
        <w:gridCol w:w="2551"/>
        <w:gridCol w:w="1101"/>
        <w:gridCol w:w="3291"/>
      </w:tblGrid>
      <w:tr>
        <w:tblPrEx>
          <w:tblCellMar>
            <w:top w:w="0" w:type="dxa"/>
            <w:left w:w="108" w:type="dxa"/>
            <w:bottom w:w="0" w:type="dxa"/>
            <w:right w:w="108" w:type="dxa"/>
          </w:tblCellMar>
        </w:tblPrEx>
        <w:trPr>
          <w:trHeight w:val="454" w:hRule="exact"/>
          <w:jc w:val="center"/>
        </w:trPr>
        <w:tc>
          <w:tcPr>
            <w:tcW w:w="255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94" w:hanging="94"/>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    目</w:t>
            </w:r>
          </w:p>
        </w:tc>
        <w:tc>
          <w:tcPr>
            <w:tcW w:w="110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15" w:firstLine="21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 位</w:t>
            </w:r>
          </w:p>
        </w:tc>
        <w:tc>
          <w:tcPr>
            <w:tcW w:w="329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参数</w:t>
            </w:r>
          </w:p>
        </w:tc>
      </w:tr>
      <w:tr>
        <w:tblPrEx>
          <w:tblCellMar>
            <w:top w:w="0" w:type="dxa"/>
            <w:left w:w="108" w:type="dxa"/>
            <w:bottom w:w="0" w:type="dxa"/>
            <w:right w:w="108" w:type="dxa"/>
          </w:tblCellMar>
        </w:tblPrEx>
        <w:trPr>
          <w:trHeight w:val="454" w:hRule="exact"/>
          <w:jc w:val="center"/>
        </w:trPr>
        <w:tc>
          <w:tcPr>
            <w:tcW w:w="255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94" w:leftChars="0" w:hanging="94" w:firstLineChars="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单台过滤水量</w:t>
            </w:r>
          </w:p>
        </w:tc>
        <w:tc>
          <w:tcPr>
            <w:tcW w:w="110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15" w:leftChars="0" w:firstLine="21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仿宋_GB2312" w:hAnsi="仿宋_GB2312" w:eastAsia="仿宋_GB2312" w:cs="仿宋_GB2312"/>
                <w:b w:val="0"/>
                <w:bCs w:val="0"/>
                <w:sz w:val="24"/>
                <w:szCs w:val="24"/>
                <w:highlight w:val="none"/>
                <w:lang w:val="en-US" w:eastAsia="zh-CN"/>
              </w:rPr>
              <w:t>m</w:t>
            </w:r>
            <w:r>
              <w:rPr>
                <w:rFonts w:hint="eastAsia" w:ascii="仿宋_GB2312" w:hAnsi="仿宋_GB2312" w:eastAsia="仿宋_GB2312" w:cs="仿宋_GB2312"/>
                <w:b w:val="0"/>
                <w:bCs w:val="0"/>
                <w:sz w:val="24"/>
                <w:szCs w:val="24"/>
                <w:highlight w:val="none"/>
                <w:vertAlign w:val="superscript"/>
                <w:lang w:val="en-US" w:eastAsia="zh-CN"/>
              </w:rPr>
              <w:t>3</w:t>
            </w:r>
            <w:r>
              <w:rPr>
                <w:rFonts w:hint="eastAsia" w:ascii="仿宋_GB2312" w:hAnsi="仿宋_GB2312" w:eastAsia="仿宋_GB2312" w:cs="仿宋_GB2312"/>
                <w:b w:val="0"/>
                <w:bCs w:val="0"/>
                <w:sz w:val="24"/>
                <w:szCs w:val="24"/>
                <w:highlight w:val="none"/>
                <w:lang w:val="en-US" w:eastAsia="zh-CN"/>
              </w:rPr>
              <w:t>/h</w:t>
            </w:r>
          </w:p>
        </w:tc>
        <w:tc>
          <w:tcPr>
            <w:tcW w:w="329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0" w:leftChars="0" w:firstLine="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300</w:t>
            </w:r>
          </w:p>
        </w:tc>
      </w:tr>
      <w:tr>
        <w:tblPrEx>
          <w:tblCellMar>
            <w:top w:w="0" w:type="dxa"/>
            <w:left w:w="108" w:type="dxa"/>
            <w:bottom w:w="0" w:type="dxa"/>
            <w:right w:w="108" w:type="dxa"/>
          </w:tblCellMar>
        </w:tblPrEx>
        <w:trPr>
          <w:trHeight w:val="454" w:hRule="exact"/>
          <w:jc w:val="center"/>
        </w:trPr>
        <w:tc>
          <w:tcPr>
            <w:tcW w:w="255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94" w:hanging="94"/>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过滤精度</w:t>
            </w:r>
          </w:p>
        </w:tc>
        <w:tc>
          <w:tcPr>
            <w:tcW w:w="110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15" w:firstLine="21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μm</w:t>
            </w:r>
          </w:p>
        </w:tc>
        <w:tc>
          <w:tcPr>
            <w:tcW w:w="329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50</w:t>
            </w:r>
          </w:p>
        </w:tc>
      </w:tr>
      <w:tr>
        <w:tblPrEx>
          <w:tblCellMar>
            <w:top w:w="0" w:type="dxa"/>
            <w:left w:w="108" w:type="dxa"/>
            <w:bottom w:w="0" w:type="dxa"/>
            <w:right w:w="108" w:type="dxa"/>
          </w:tblCellMar>
        </w:tblPrEx>
        <w:trPr>
          <w:trHeight w:val="454" w:hRule="exact"/>
          <w:jc w:val="center"/>
        </w:trPr>
        <w:tc>
          <w:tcPr>
            <w:tcW w:w="255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94" w:hanging="94"/>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设计压力</w:t>
            </w:r>
          </w:p>
        </w:tc>
        <w:tc>
          <w:tcPr>
            <w:tcW w:w="110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15" w:firstLine="21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MPa</w:t>
            </w:r>
          </w:p>
        </w:tc>
        <w:tc>
          <w:tcPr>
            <w:tcW w:w="329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1.6 </w:t>
            </w:r>
          </w:p>
        </w:tc>
      </w:tr>
      <w:tr>
        <w:tblPrEx>
          <w:tblCellMar>
            <w:top w:w="0" w:type="dxa"/>
            <w:left w:w="108" w:type="dxa"/>
            <w:bottom w:w="0" w:type="dxa"/>
            <w:right w:w="108" w:type="dxa"/>
          </w:tblCellMar>
        </w:tblPrEx>
        <w:trPr>
          <w:trHeight w:val="454" w:hRule="exact"/>
          <w:jc w:val="center"/>
        </w:trPr>
        <w:tc>
          <w:tcPr>
            <w:tcW w:w="255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94" w:leftChars="0" w:hanging="94" w:firstLineChars="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工作压力</w:t>
            </w:r>
          </w:p>
        </w:tc>
        <w:tc>
          <w:tcPr>
            <w:tcW w:w="110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15" w:leftChars="0" w:firstLine="21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MPa</w:t>
            </w:r>
          </w:p>
        </w:tc>
        <w:tc>
          <w:tcPr>
            <w:tcW w:w="329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0" w:leftChars="0" w:firstLine="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0.1-0.8</w:t>
            </w:r>
          </w:p>
        </w:tc>
      </w:tr>
      <w:tr>
        <w:tblPrEx>
          <w:tblCellMar>
            <w:top w:w="0" w:type="dxa"/>
            <w:left w:w="108" w:type="dxa"/>
            <w:bottom w:w="0" w:type="dxa"/>
            <w:right w:w="108" w:type="dxa"/>
          </w:tblCellMar>
        </w:tblPrEx>
        <w:trPr>
          <w:trHeight w:val="454" w:hRule="exact"/>
          <w:jc w:val="center"/>
        </w:trPr>
        <w:tc>
          <w:tcPr>
            <w:tcW w:w="255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94" w:leftChars="0" w:hanging="94" w:firstLineChars="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工作温度</w:t>
            </w:r>
          </w:p>
        </w:tc>
        <w:tc>
          <w:tcPr>
            <w:tcW w:w="110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ind w:left="15" w:leftChars="0" w:firstLine="21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329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napToGrid w:val="0"/>
              <w:spacing w:line="460" w:lineRule="exact"/>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5-35℃</w:t>
            </w:r>
          </w:p>
        </w:tc>
      </w:tr>
    </w:tbl>
    <w:p>
      <w:pPr>
        <w:pStyle w:val="5"/>
        <w:ind w:left="0" w:leftChars="0" w:firstLine="602"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bCs/>
          <w:kern w:val="2"/>
          <w:sz w:val="30"/>
          <w:szCs w:val="30"/>
          <w:lang w:val="en-US" w:eastAsia="zh-CN"/>
        </w:rPr>
        <w:t>三、制造技术要求</w:t>
      </w:r>
    </w:p>
    <w:p>
      <w:pPr>
        <w:pStyle w:val="5"/>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1.设备安装方式：立式</w:t>
      </w:r>
    </w:p>
    <w:p>
      <w:pPr>
        <w:pStyle w:val="5"/>
        <w:ind w:left="0" w:leftChars="0"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2.工作介质或使用工况：工业净环水</w:t>
      </w:r>
    </w:p>
    <w:tbl>
      <w:tblPr>
        <w:tblStyle w:val="6"/>
        <w:tblW w:w="0" w:type="auto"/>
        <w:jc w:val="center"/>
        <w:tblLayout w:type="fixed"/>
        <w:tblCellMar>
          <w:top w:w="0" w:type="dxa"/>
          <w:left w:w="108" w:type="dxa"/>
          <w:bottom w:w="0" w:type="dxa"/>
          <w:right w:w="108" w:type="dxa"/>
        </w:tblCellMar>
      </w:tblPr>
      <w:tblGrid>
        <w:gridCol w:w="1526"/>
        <w:gridCol w:w="1239"/>
        <w:gridCol w:w="1350"/>
        <w:gridCol w:w="955"/>
        <w:gridCol w:w="1663"/>
        <w:gridCol w:w="1035"/>
      </w:tblGrid>
      <w:tr>
        <w:tblPrEx>
          <w:tblCellMar>
            <w:top w:w="0" w:type="dxa"/>
            <w:left w:w="108" w:type="dxa"/>
            <w:bottom w:w="0" w:type="dxa"/>
            <w:right w:w="108" w:type="dxa"/>
          </w:tblCellMar>
        </w:tblPrEx>
        <w:trPr>
          <w:trHeight w:val="454" w:hRule="exact"/>
          <w:jc w:val="center"/>
        </w:trPr>
        <w:tc>
          <w:tcPr>
            <w:tcW w:w="152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Ansi="宋体"/>
                <w:szCs w:val="21"/>
                <w:highlight w:val="none"/>
              </w:rPr>
            </w:pPr>
            <w:r>
              <w:rPr>
                <w:rFonts w:hAnsi="宋体"/>
                <w:szCs w:val="21"/>
                <w:highlight w:val="none"/>
              </w:rPr>
              <w:t>参数</w:t>
            </w:r>
          </w:p>
        </w:tc>
        <w:tc>
          <w:tcPr>
            <w:tcW w:w="123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Ansi="宋体"/>
                <w:szCs w:val="21"/>
                <w:highlight w:val="none"/>
              </w:rPr>
            </w:pPr>
            <w:r>
              <w:rPr>
                <w:rFonts w:hAnsi="宋体"/>
                <w:szCs w:val="21"/>
                <w:highlight w:val="none"/>
              </w:rPr>
              <w:t>悬浮物</w:t>
            </w:r>
          </w:p>
        </w:tc>
        <w:tc>
          <w:tcPr>
            <w:tcW w:w="135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int="eastAsia" w:hAnsi="宋体"/>
                <w:szCs w:val="21"/>
                <w:highlight w:val="none"/>
              </w:rPr>
            </w:pPr>
            <w:r>
              <w:rPr>
                <w:rFonts w:hint="eastAsia" w:hAnsi="宋体"/>
                <w:szCs w:val="21"/>
                <w:highlight w:val="none"/>
              </w:rPr>
              <w:t>氯根</w:t>
            </w:r>
          </w:p>
        </w:tc>
        <w:tc>
          <w:tcPr>
            <w:tcW w:w="95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Ansi="宋体"/>
                <w:szCs w:val="21"/>
                <w:highlight w:val="none"/>
              </w:rPr>
            </w:pPr>
            <w:r>
              <w:rPr>
                <w:rFonts w:hAnsi="宋体"/>
                <w:szCs w:val="21"/>
                <w:highlight w:val="none"/>
              </w:rPr>
              <w:t>PH</w:t>
            </w:r>
          </w:p>
        </w:tc>
        <w:tc>
          <w:tcPr>
            <w:tcW w:w="166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Ansi="宋体"/>
                <w:szCs w:val="21"/>
                <w:highlight w:val="none"/>
              </w:rPr>
            </w:pPr>
            <w:r>
              <w:rPr>
                <w:rFonts w:hAnsi="宋体"/>
                <w:szCs w:val="21"/>
                <w:highlight w:val="none"/>
              </w:rPr>
              <w:t>硬度</w:t>
            </w:r>
          </w:p>
        </w:tc>
        <w:tc>
          <w:tcPr>
            <w:tcW w:w="103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Ansi="宋体"/>
                <w:szCs w:val="21"/>
                <w:highlight w:val="none"/>
              </w:rPr>
            </w:pPr>
            <w:r>
              <w:rPr>
                <w:rFonts w:hAnsi="宋体"/>
                <w:szCs w:val="21"/>
                <w:highlight w:val="none"/>
              </w:rPr>
              <w:t>水温</w:t>
            </w:r>
          </w:p>
        </w:tc>
      </w:tr>
      <w:tr>
        <w:tblPrEx>
          <w:tblCellMar>
            <w:top w:w="0" w:type="dxa"/>
            <w:left w:w="108" w:type="dxa"/>
            <w:bottom w:w="0" w:type="dxa"/>
            <w:right w:w="108" w:type="dxa"/>
          </w:tblCellMar>
        </w:tblPrEx>
        <w:trPr>
          <w:trHeight w:val="454" w:hRule="exact"/>
          <w:jc w:val="center"/>
        </w:trPr>
        <w:tc>
          <w:tcPr>
            <w:tcW w:w="152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tabs>
                <w:tab w:val="left" w:pos="0"/>
              </w:tabs>
              <w:spacing w:line="460" w:lineRule="exact"/>
              <w:jc w:val="center"/>
              <w:rPr>
                <w:rFonts w:hAnsi="宋体"/>
                <w:szCs w:val="21"/>
                <w:highlight w:val="none"/>
              </w:rPr>
            </w:pPr>
            <w:r>
              <w:rPr>
                <w:rFonts w:hAnsi="宋体"/>
                <w:szCs w:val="21"/>
                <w:highlight w:val="none"/>
              </w:rPr>
              <w:t>数值</w:t>
            </w:r>
          </w:p>
        </w:tc>
        <w:tc>
          <w:tcPr>
            <w:tcW w:w="123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hAnsi="宋体"/>
                <w:szCs w:val="21"/>
                <w:highlight w:val="none"/>
              </w:rPr>
            </w:pPr>
            <w:r>
              <w:rPr>
                <w:rFonts w:hint="eastAsia" w:ascii="仿宋_GB2312" w:hAnsi="仿宋_GB2312" w:eastAsia="仿宋_GB2312" w:cs="仿宋_GB2312"/>
                <w:b w:val="0"/>
                <w:bCs w:val="0"/>
                <w:sz w:val="24"/>
                <w:szCs w:val="24"/>
                <w:highlight w:val="none"/>
                <w:lang w:val="en-US" w:eastAsia="zh-CN"/>
              </w:rPr>
              <w:t>≤20</w:t>
            </w:r>
            <w:r>
              <w:rPr>
                <w:rFonts w:hint="eastAsia" w:ascii="仿宋_GB2312" w:hAnsi="仿宋_GB2312" w:eastAsia="仿宋_GB2312" w:cs="仿宋_GB2312"/>
                <w:b w:val="0"/>
                <w:bCs w:val="0"/>
                <w:sz w:val="24"/>
                <w:szCs w:val="24"/>
                <w:highlight w:val="none"/>
              </w:rPr>
              <w:t>mg/L</w:t>
            </w:r>
          </w:p>
        </w:tc>
        <w:tc>
          <w:tcPr>
            <w:tcW w:w="135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hAnsi="宋体"/>
                <w:szCs w:val="21"/>
                <w:highlight w:val="none"/>
              </w:rPr>
            </w:pPr>
            <w:r>
              <w:rPr>
                <w:rFonts w:hint="eastAsia" w:ascii="仿宋_GB2312" w:hAnsi="仿宋_GB2312" w:eastAsia="仿宋_GB2312" w:cs="仿宋_GB2312"/>
                <w:b w:val="0"/>
                <w:bCs w:val="0"/>
                <w:sz w:val="24"/>
                <w:szCs w:val="24"/>
                <w:highlight w:val="none"/>
                <w:lang w:val="en-US" w:eastAsia="zh-CN"/>
              </w:rPr>
              <w:t>≤50</w:t>
            </w:r>
            <w:r>
              <w:rPr>
                <w:rFonts w:hint="eastAsia" w:ascii="仿宋_GB2312" w:hAnsi="仿宋_GB2312" w:eastAsia="仿宋_GB2312" w:cs="仿宋_GB2312"/>
                <w:b w:val="0"/>
                <w:bCs w:val="0"/>
                <w:sz w:val="24"/>
                <w:szCs w:val="24"/>
                <w:highlight w:val="none"/>
              </w:rPr>
              <w:t>mg/L</w:t>
            </w:r>
          </w:p>
        </w:tc>
        <w:tc>
          <w:tcPr>
            <w:tcW w:w="95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hAnsi="宋体" w:eastAsia="宋体"/>
                <w:szCs w:val="21"/>
                <w:highlight w:val="none"/>
                <w:lang w:val="en-US" w:eastAsia="zh-CN"/>
              </w:rPr>
            </w:pPr>
            <w:r>
              <w:rPr>
                <w:rFonts w:hint="eastAsia" w:ascii="仿宋_GB2312" w:hAnsi="仿宋_GB2312" w:eastAsia="仿宋_GB2312" w:cs="仿宋_GB2312"/>
                <w:b w:val="0"/>
                <w:bCs w:val="0"/>
                <w:sz w:val="24"/>
                <w:szCs w:val="24"/>
                <w:highlight w:val="none"/>
                <w:lang w:val="en-US" w:eastAsia="zh-CN"/>
              </w:rPr>
              <w:t>7-9</w:t>
            </w:r>
          </w:p>
        </w:tc>
        <w:tc>
          <w:tcPr>
            <w:tcW w:w="166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hAnsi="宋体"/>
                <w:szCs w:val="21"/>
                <w:highlight w:val="none"/>
              </w:rPr>
            </w:pPr>
            <w:r>
              <w:rPr>
                <w:rFonts w:hint="eastAsia" w:ascii="仿宋_GB2312" w:hAnsi="仿宋_GB2312" w:eastAsia="仿宋_GB2312" w:cs="仿宋_GB2312"/>
                <w:b w:val="0"/>
                <w:bCs w:val="0"/>
                <w:sz w:val="24"/>
                <w:szCs w:val="24"/>
                <w:highlight w:val="none"/>
                <w:lang w:val="en-US" w:eastAsia="zh-CN"/>
              </w:rPr>
              <w:t>220-280</w:t>
            </w:r>
            <w:r>
              <w:rPr>
                <w:rFonts w:hint="eastAsia" w:ascii="仿宋_GB2312" w:hAnsi="仿宋_GB2312" w:eastAsia="仿宋_GB2312" w:cs="仿宋_GB2312"/>
                <w:b w:val="0"/>
                <w:bCs w:val="0"/>
                <w:sz w:val="24"/>
                <w:szCs w:val="24"/>
                <w:highlight w:val="none"/>
              </w:rPr>
              <w:t>mg/L</w:t>
            </w:r>
          </w:p>
        </w:tc>
        <w:tc>
          <w:tcPr>
            <w:tcW w:w="103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hAnsi="宋体"/>
                <w:szCs w:val="21"/>
                <w:highlight w:val="none"/>
              </w:rPr>
            </w:pPr>
            <w:r>
              <w:rPr>
                <w:rFonts w:hint="eastAsia" w:ascii="仿宋_GB2312" w:hAnsi="仿宋_GB2312" w:eastAsia="仿宋_GB2312" w:cs="仿宋_GB2312"/>
                <w:b w:val="0"/>
                <w:bCs w:val="0"/>
                <w:sz w:val="24"/>
                <w:szCs w:val="24"/>
                <w:highlight w:val="none"/>
                <w:lang w:val="en-US" w:eastAsia="zh-CN"/>
              </w:rPr>
              <w:t>5-40</w:t>
            </w:r>
            <w:r>
              <w:rPr>
                <w:rFonts w:hint="eastAsia" w:ascii="仿宋_GB2312" w:hAnsi="仿宋_GB2312" w:eastAsia="仿宋_GB2312" w:cs="仿宋_GB2312"/>
                <w:b w:val="0"/>
                <w:bCs w:val="0"/>
                <w:sz w:val="24"/>
                <w:szCs w:val="24"/>
                <w:highlight w:val="none"/>
              </w:rPr>
              <w:t>℃</w:t>
            </w:r>
          </w:p>
        </w:tc>
      </w:tr>
    </w:tbl>
    <w:p>
      <w:pPr>
        <w:pStyle w:val="5"/>
        <w:ind w:left="0" w:leftChars="0" w:firstLine="600" w:firstLineChars="200"/>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3.材质要求</w:t>
      </w:r>
    </w:p>
    <w:p>
      <w:pPr>
        <w:ind w:firstLine="56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val="0"/>
          <w:bCs w:val="0"/>
          <w:kern w:val="2"/>
          <w:sz w:val="28"/>
          <w:szCs w:val="28"/>
          <w:lang w:val="en-US" w:eastAsia="zh-CN"/>
        </w:rPr>
        <w:t>主要零部件材料表：</w:t>
      </w:r>
    </w:p>
    <w:tbl>
      <w:tblPr>
        <w:tblStyle w:val="6"/>
        <w:tblW w:w="7962" w:type="dxa"/>
        <w:jc w:val="center"/>
        <w:tblLayout w:type="fixed"/>
        <w:tblCellMar>
          <w:top w:w="0" w:type="dxa"/>
          <w:left w:w="108" w:type="dxa"/>
          <w:bottom w:w="0" w:type="dxa"/>
          <w:right w:w="108" w:type="dxa"/>
        </w:tblCellMar>
      </w:tblPr>
      <w:tblGrid>
        <w:gridCol w:w="1630"/>
        <w:gridCol w:w="2650"/>
        <w:gridCol w:w="622"/>
        <w:gridCol w:w="810"/>
        <w:gridCol w:w="2250"/>
      </w:tblGrid>
      <w:tr>
        <w:tblPrEx>
          <w:tblCellMar>
            <w:top w:w="0" w:type="dxa"/>
            <w:left w:w="108" w:type="dxa"/>
            <w:bottom w:w="0" w:type="dxa"/>
            <w:right w:w="108" w:type="dxa"/>
          </w:tblCellMar>
        </w:tblPrEx>
        <w:trPr>
          <w:trHeight w:val="454"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rPr>
            </w:pPr>
            <w:r>
              <w:rPr>
                <w:rFonts w:hint="eastAsia" w:ascii="仿宋_GB2312" w:hAnsi="仿宋_GB2312" w:eastAsia="仿宋_GB2312" w:cs="仿宋_GB2312"/>
                <w:color w:val="auto"/>
                <w:sz w:val="20"/>
                <w:highlight w:val="none"/>
              </w:rPr>
              <w:t>零件名称</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材质</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数量</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单位</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规格</w:t>
            </w:r>
          </w:p>
        </w:tc>
      </w:tr>
      <w:tr>
        <w:tblPrEx>
          <w:tblCellMar>
            <w:top w:w="0" w:type="dxa"/>
            <w:left w:w="108" w:type="dxa"/>
            <w:bottom w:w="0" w:type="dxa"/>
            <w:right w:w="108" w:type="dxa"/>
          </w:tblCellMar>
        </w:tblPrEx>
        <w:trPr>
          <w:trHeight w:val="454"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罐体</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val="en-US" w:eastAsia="zh-CN"/>
              </w:rPr>
              <w:t>不锈钢</w:t>
            </w:r>
            <w:r>
              <w:rPr>
                <w:rFonts w:hint="eastAsia" w:ascii="宋体" w:hAnsi="宋体" w:cs="宋体"/>
                <w:sz w:val="21"/>
                <w:szCs w:val="21"/>
                <w:lang w:val="en-US" w:eastAsia="zh-CN"/>
              </w:rPr>
              <w:t>316L</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台</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壁厚不小于8mm</w:t>
            </w:r>
          </w:p>
        </w:tc>
      </w:tr>
      <w:tr>
        <w:tblPrEx>
          <w:tblCellMar>
            <w:top w:w="0" w:type="dxa"/>
            <w:left w:w="108" w:type="dxa"/>
            <w:bottom w:w="0" w:type="dxa"/>
            <w:right w:w="108" w:type="dxa"/>
          </w:tblCellMar>
        </w:tblPrEx>
        <w:trPr>
          <w:trHeight w:val="454"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val="en-US" w:eastAsia="zh-CN"/>
              </w:rPr>
              <w:t>滤网</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不锈钢</w:t>
            </w:r>
            <w:r>
              <w:rPr>
                <w:rFonts w:hint="eastAsia" w:ascii="宋体" w:hAnsi="宋体" w:cs="宋体"/>
                <w:sz w:val="21"/>
                <w:szCs w:val="21"/>
                <w:lang w:val="en-US" w:eastAsia="zh-CN"/>
              </w:rPr>
              <w:t>316L</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支</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val="en-US" w:eastAsia="zh-CN"/>
              </w:rPr>
            </w:pPr>
          </w:p>
        </w:tc>
      </w:tr>
      <w:tr>
        <w:tblPrEx>
          <w:tblCellMar>
            <w:top w:w="0" w:type="dxa"/>
            <w:left w:w="108" w:type="dxa"/>
            <w:bottom w:w="0" w:type="dxa"/>
            <w:right w:w="108" w:type="dxa"/>
          </w:tblCellMar>
        </w:tblPrEx>
        <w:trPr>
          <w:trHeight w:val="459"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清洗架及滤刷</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不锈钢316L</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套</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反洗口间隙不大于5mm</w:t>
            </w:r>
          </w:p>
        </w:tc>
      </w:tr>
      <w:tr>
        <w:tblPrEx>
          <w:tblCellMar>
            <w:top w:w="0" w:type="dxa"/>
            <w:left w:w="108" w:type="dxa"/>
            <w:bottom w:w="0" w:type="dxa"/>
            <w:right w:w="108" w:type="dxa"/>
          </w:tblCellMar>
        </w:tblPrEx>
        <w:trPr>
          <w:trHeight w:val="486"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自动排气阀</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不锈钢316L</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件</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DN20</w:t>
            </w:r>
          </w:p>
        </w:tc>
      </w:tr>
      <w:tr>
        <w:tblPrEx>
          <w:tblCellMar>
            <w:top w:w="0" w:type="dxa"/>
            <w:left w:w="108" w:type="dxa"/>
            <w:bottom w:w="0" w:type="dxa"/>
            <w:right w:w="108" w:type="dxa"/>
          </w:tblCellMar>
        </w:tblPrEx>
        <w:trPr>
          <w:trHeight w:val="486"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排污阀</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不锈钢316L</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件</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电动球阀DN80电压380V</w:t>
            </w:r>
          </w:p>
        </w:tc>
      </w:tr>
      <w:tr>
        <w:tblPrEx>
          <w:tblCellMar>
            <w:top w:w="0" w:type="dxa"/>
            <w:left w:w="108" w:type="dxa"/>
            <w:bottom w:w="0" w:type="dxa"/>
            <w:right w:w="108" w:type="dxa"/>
          </w:tblCellMar>
        </w:tblPrEx>
        <w:trPr>
          <w:trHeight w:val="486"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电动排污阀</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球阀不锈钢316L</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件</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球阀DN80，阀芯不锈钢</w:t>
            </w:r>
          </w:p>
        </w:tc>
      </w:tr>
      <w:tr>
        <w:tblPrEx>
          <w:tblCellMar>
            <w:top w:w="0" w:type="dxa"/>
            <w:left w:w="108" w:type="dxa"/>
            <w:bottom w:w="0" w:type="dxa"/>
            <w:right w:w="108" w:type="dxa"/>
          </w:tblCellMar>
        </w:tblPrEx>
        <w:trPr>
          <w:trHeight w:val="486"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手动排污阀</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蝶板不锈钢+里衬F46</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1</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件</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default"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蝶阀DN80</w:t>
            </w:r>
          </w:p>
        </w:tc>
      </w:tr>
      <w:tr>
        <w:tblPrEx>
          <w:tblCellMar>
            <w:top w:w="0" w:type="dxa"/>
            <w:left w:w="108" w:type="dxa"/>
            <w:bottom w:w="0" w:type="dxa"/>
            <w:right w:w="108" w:type="dxa"/>
          </w:tblCellMar>
        </w:tblPrEx>
        <w:trPr>
          <w:trHeight w:val="486"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200" w:firstLineChars="100"/>
              <w:jc w:val="both"/>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阀门（手动）</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蝶板不锈钢+里衬F46</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2</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件</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蝶阀DN250</w:t>
            </w:r>
          </w:p>
        </w:tc>
      </w:tr>
      <w:tr>
        <w:tblPrEx>
          <w:tblCellMar>
            <w:top w:w="0" w:type="dxa"/>
            <w:left w:w="108" w:type="dxa"/>
            <w:bottom w:w="0" w:type="dxa"/>
            <w:right w:w="108" w:type="dxa"/>
          </w:tblCellMar>
        </w:tblPrEx>
        <w:trPr>
          <w:trHeight w:val="486" w:hRule="exact"/>
          <w:jc w:val="center"/>
        </w:trPr>
        <w:tc>
          <w:tcPr>
            <w:tcW w:w="163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eastAsia="zh-CN"/>
              </w:rPr>
            </w:pPr>
            <w:r>
              <w:rPr>
                <w:rFonts w:hint="eastAsia" w:ascii="仿宋_GB2312" w:hAnsi="仿宋_GB2312" w:eastAsia="仿宋_GB2312" w:cs="仿宋_GB2312"/>
                <w:color w:val="auto"/>
                <w:sz w:val="20"/>
                <w:highlight w:val="none"/>
                <w:lang w:eastAsia="zh-CN"/>
              </w:rPr>
              <w:t>阀门（电动）</w:t>
            </w:r>
          </w:p>
        </w:tc>
        <w:tc>
          <w:tcPr>
            <w:tcW w:w="26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蝶板不锈钢+里衬F46</w:t>
            </w:r>
          </w:p>
        </w:tc>
        <w:tc>
          <w:tcPr>
            <w:tcW w:w="622"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2</w:t>
            </w:r>
          </w:p>
        </w:tc>
        <w:tc>
          <w:tcPr>
            <w:tcW w:w="81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件</w:t>
            </w:r>
          </w:p>
        </w:tc>
        <w:tc>
          <w:tcPr>
            <w:tcW w:w="2250"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pPr>
              <w:spacing w:line="460" w:lineRule="exact"/>
              <w:ind w:left="0" w:leftChars="0" w:firstLine="0" w:firstLineChars="0"/>
              <w:jc w:val="center"/>
              <w:rPr>
                <w:rFonts w:hint="eastAsia" w:ascii="仿宋_GB2312" w:hAnsi="仿宋_GB2312" w:eastAsia="仿宋_GB2312" w:cs="仿宋_GB2312"/>
                <w:color w:val="auto"/>
                <w:sz w:val="20"/>
                <w:highlight w:val="none"/>
                <w:lang w:val="en-US" w:eastAsia="zh-CN"/>
              </w:rPr>
            </w:pPr>
            <w:r>
              <w:rPr>
                <w:rFonts w:hint="eastAsia" w:ascii="仿宋_GB2312" w:hAnsi="仿宋_GB2312" w:eastAsia="仿宋_GB2312" w:cs="仿宋_GB2312"/>
                <w:color w:val="auto"/>
                <w:sz w:val="20"/>
                <w:highlight w:val="none"/>
                <w:lang w:val="en-US" w:eastAsia="zh-CN"/>
              </w:rPr>
              <w:t>蝶阀DN250  电压380V</w:t>
            </w:r>
          </w:p>
        </w:tc>
      </w:tr>
    </w:tbl>
    <w:p>
      <w:pPr>
        <w:pStyle w:val="5"/>
        <w:ind w:left="0" w:leftChars="0"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4.技术要求</w:t>
      </w:r>
    </w:p>
    <w:p>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 设备安装尺寸，配套管道安装尺寸在中标后安排技术人员现场实际测量。</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4.2自清洗过滤器（以下简称过滤器）为焊接不锈钢结构的圆柱形立式容器。过滤器内部件在工厂安装定位，并提供正确、牢固的安全支撑，以防止运输及搬运时的偏位、松动及损坏。</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4.3过滤器罐体壁厚不小于8mm，材质不锈钢316L，设备焊接采用氩弧焊焊接技术，过滤器出口处装设防止滤芯变形的筋板且不影响出水流量，本体外表面进行酸洗钝化处理，连接部位螺栓材质不锈钢304。</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4.4过滤器内安装的滤芯过滤精度为50um，滤芯使用高强度一体式骨架，上下边缘使用一体成型的包边加强筋板焊接在一体式骨架上，滤芯表面光滑无毛刺，避免挂污，同时保证可轻易拆卸便于清洗和更换，反洗时保证过滤精度及压差要求。</w:t>
      </w:r>
    </w:p>
    <w:p>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4.5过滤器清洗架要有足够的强度，保证反洗运行时无变形，滤刷钢丝固定牢固，正常使用3年内不脱落，磨损量满足反洗口间隙要求。</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4.6过滤器进、出水口直径DN250mm，分别配制手动对夹蝶阀（衬氟，蝶板不锈钢），电动对夹蝶阀（衬氟，蝶板不锈钢，380V）各一件；罐体底部设泄空管，阀门法兰（DN80）连接，采用双控制的下排污方式（手动球阀+自动控制电动球阀），具备快速启闭，附带手动启动装置，排污阀球芯材质：不锈钢316L；罐体顶部配自动排气阀（不锈钢316L）及手动球阀。</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4.6过滤器反洗控制方式为压差+手动+时间控制，压差优先，反洗时间可在0～180 秒范围内可调设定。反洗时压差≤0.05 MPa，反洗耗水量≤过滤水量的1%，反洗时在保证过滤精度的同时保证正常供水。</w:t>
      </w:r>
    </w:p>
    <w:p>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4.7控制系统电气元件参照或相当于施耐德；压差控制器选用进口或国内一线品牌；导压管采用不锈钢管；压力表采用充油式防震压力表；驱动减速机、电机要求选用进口或国内一线品牌。</w:t>
      </w:r>
    </w:p>
    <w:p>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4.8过滤器控制要求：自动控制时过滤器选择按钮打至自动位置，过滤器由差压控制器与时间继电器同时控制，当差压控制器动作或时间控制达到设定反洗周期时过滤器反洗（压差控制优先）。手动控制时过滤器选择按钮打至手动位置，过滤器处于手动状态时可以通过强制反洗按钮对过滤器进行强制反洗。</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4.9过滤器自动控制柜参照或相当于西门子触摸屏操作、显示运行状态等信息，PLC控制系统设置PLC输入输出模块与上级PLC通讯以太网接口，以实现在主控室监控设备状态功能。</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4.10罐体整体承压不得低于1.6MPa，过滤器出厂前应整体进行组装、调试保压48小时及性能试验。罐体内承压1.6MPa时罐体不得有外鼓变形，所有焊缝无渗漏、开裂等影响安全生产的缺陷，内部金属结构不得有变形导致滤芯无法正确安装的缺陷，滤芯压盖及密封必须满足承压要求。</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4.11过滤器应在明显部位固定耐久性标牌，明确：过滤器型号及名称；明确主要技术参数：最大工作压力，最高工作温度，最大压差等；设备制造日期及编号；制造厂名称和商标。</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4.12自动排气阀阀前必须装设配套的不锈钢手动阀。</w:t>
      </w:r>
    </w:p>
    <w:p>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4.13主机设备额外附带滤芯压盖密封件2件，原装滤芯一套，随主机同时配送。</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4.14电控柜除向过滤器提供电源外，还需满足控制、显示以及报警等功能，以确保过滤系统的安全运行，能实现手动或自动控制。</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4.15乙方负责所供设备本体至电控柜之间信号电缆、动力电缆、保护管等所有安装材料。</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4.16控制系统必须完全开放，软硬件不得加密或留有后门程序。</w:t>
      </w:r>
    </w:p>
    <w:p>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4.17控制系统PLC若需特殊编程电缆，乙方负责配套供应。</w:t>
      </w:r>
    </w:p>
    <w:p>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highlight w:val="none"/>
          <w:lang w:val="en-US" w:eastAsia="zh-CN"/>
        </w:rPr>
        <w:t>4.18</w:t>
      </w:r>
      <w:r>
        <w:rPr>
          <w:rFonts w:hint="eastAsia" w:ascii="仿宋" w:hAnsi="仿宋" w:eastAsia="仿宋"/>
          <w:sz w:val="30"/>
          <w:szCs w:val="30"/>
        </w:rPr>
        <w:t>乙方公司必须为自清洗管道过滤器的制造商</w:t>
      </w:r>
      <w:r>
        <w:rPr>
          <w:rFonts w:hint="eastAsia" w:ascii="仿宋" w:hAnsi="仿宋" w:eastAsia="仿宋"/>
          <w:sz w:val="30"/>
          <w:szCs w:val="30"/>
          <w:lang w:eastAsia="zh-CN"/>
        </w:rPr>
        <w:t>，</w:t>
      </w:r>
      <w:r>
        <w:rPr>
          <w:rFonts w:hint="eastAsia" w:ascii="仿宋" w:hAnsi="仿宋" w:eastAsia="仿宋"/>
          <w:sz w:val="30"/>
          <w:szCs w:val="30"/>
          <w:lang w:val="zh-CN" w:eastAsia="zh-CN"/>
        </w:rPr>
        <w:t>必须拥有</w:t>
      </w:r>
      <w:r>
        <w:rPr>
          <w:rFonts w:hint="eastAsia" w:ascii="仿宋" w:hAnsi="仿宋" w:eastAsia="仿宋"/>
          <w:sz w:val="30"/>
          <w:szCs w:val="30"/>
          <w:lang w:eastAsia="zh-CN"/>
        </w:rPr>
        <w:t>管道过滤器设备的研究、开发、</w:t>
      </w:r>
      <w:r>
        <w:rPr>
          <w:rFonts w:hint="eastAsia" w:ascii="仿宋" w:hAnsi="仿宋" w:eastAsia="仿宋"/>
          <w:sz w:val="30"/>
          <w:szCs w:val="30"/>
          <w:lang w:val="zh-CN" w:eastAsia="zh-CN"/>
        </w:rPr>
        <w:t>设计、制造、安装、调试、维修的专业技术人才，</w:t>
      </w:r>
      <w:r>
        <w:rPr>
          <w:rFonts w:hint="eastAsia" w:ascii="仿宋" w:hAnsi="仿宋" w:eastAsia="仿宋"/>
          <w:sz w:val="30"/>
          <w:szCs w:val="30"/>
          <w:lang w:val="en-US" w:eastAsia="zh-CN"/>
        </w:rPr>
        <w:t>并</w:t>
      </w:r>
      <w:r>
        <w:rPr>
          <w:rFonts w:hint="eastAsia" w:ascii="仿宋" w:hAnsi="仿宋" w:eastAsia="仿宋"/>
          <w:sz w:val="30"/>
          <w:szCs w:val="30"/>
          <w:lang w:val="zh-CN" w:eastAsia="zh-CN"/>
        </w:rPr>
        <w:t>通过ISO9001质量管理体系认证。</w:t>
      </w:r>
      <w:r>
        <w:rPr>
          <w:rFonts w:hint="eastAsia" w:ascii="仿宋_GB2312" w:hAnsi="仿宋_GB2312" w:eastAsia="仿宋_GB2312" w:cs="仿宋_GB2312"/>
          <w:sz w:val="30"/>
          <w:szCs w:val="30"/>
          <w:highlight w:val="none"/>
          <w:lang w:val="en-US" w:eastAsia="zh-CN"/>
        </w:rPr>
        <w:t>推荐厂家</w:t>
      </w:r>
      <w:r>
        <w:rPr>
          <w:rFonts w:hint="eastAsia" w:ascii="仿宋_GB2312" w:hAnsi="仿宋_GB2312" w:eastAsia="仿宋_GB2312" w:cs="仿宋_GB2312"/>
          <w:sz w:val="30"/>
          <w:szCs w:val="30"/>
          <w:lang w:val="en-US" w:eastAsia="zh-CN"/>
        </w:rPr>
        <w:t>参照或相当于</w:t>
      </w:r>
      <w:r>
        <w:rPr>
          <w:rFonts w:hint="eastAsia" w:ascii="仿宋_GB2312" w:hAnsi="仿宋_GB2312" w:eastAsia="仿宋_GB2312" w:cs="仿宋_GB2312"/>
          <w:sz w:val="30"/>
          <w:szCs w:val="30"/>
          <w:highlight w:val="none"/>
          <w:lang w:val="en-US" w:eastAsia="zh-CN"/>
        </w:rPr>
        <w:t>：宜兴市绿宝给排水工程有限公司、营口华海设备有限公司、成都神龙水处理设备有限公司；其他采购品牌应不低于推荐厂家行业等级。</w:t>
      </w:r>
    </w:p>
    <w:p>
      <w:pPr>
        <w:keepNext w:val="0"/>
        <w:keepLines w:val="0"/>
        <w:pageBreakBefore w:val="0"/>
        <w:widowControl w:val="0"/>
        <w:kinsoku/>
        <w:wordWrap/>
        <w:overflowPunct/>
        <w:topLinePunct w:val="0"/>
        <w:autoSpaceDE/>
        <w:autoSpaceDN/>
        <w:bidi w:val="0"/>
        <w:adjustRightInd/>
        <w:snapToGrid/>
        <w:ind w:left="0" w:leftChars="0"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US" w:eastAsia="zh-CN"/>
        </w:rPr>
        <w:t>四、</w:t>
      </w:r>
      <w:r>
        <w:rPr>
          <w:rFonts w:hint="eastAsia" w:ascii="仿宋_GB2312" w:hAnsi="仿宋_GB2312" w:eastAsia="仿宋_GB2312" w:cs="仿宋_GB2312"/>
          <w:b/>
          <w:bCs/>
          <w:kern w:val="2"/>
          <w:sz w:val="30"/>
          <w:szCs w:val="30"/>
          <w:highlight w:val="none"/>
          <w:lang w:val="en-GB" w:eastAsia="zh-CN"/>
        </w:rPr>
        <w:t>验收及技术服务</w:t>
      </w:r>
    </w:p>
    <w:p>
      <w:pPr>
        <w:pStyle w:val="5"/>
        <w:ind w:left="0" w:leftChars="0" w:firstLine="602" w:firstLineChars="200"/>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1.验收标准</w:t>
      </w:r>
    </w:p>
    <w:p>
      <w:pPr>
        <w:pStyle w:val="4"/>
        <w:spacing w:before="0" w:beforeAutospacing="0" w:after="0" w:afterAutospacing="0" w:line="240" w:lineRule="auto"/>
        <w:ind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1.1 NB/T10790-2021 水处理设备制造技术条件</w:t>
      </w:r>
    </w:p>
    <w:p>
      <w:pPr>
        <w:pStyle w:val="4"/>
        <w:spacing w:before="0" w:beforeAutospacing="0" w:after="0" w:afterAutospacing="0" w:line="240" w:lineRule="auto"/>
        <w:ind w:firstLine="600" w:firstLineChars="200"/>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1.2 JB/T47003.1-2022 钢制焊接常压容器</w:t>
      </w:r>
    </w:p>
    <w:p>
      <w:pPr>
        <w:pStyle w:val="4"/>
        <w:spacing w:before="0" w:beforeAutospacing="0" w:after="0" w:afterAutospacing="0" w:line="240" w:lineRule="auto"/>
        <w:ind w:firstLine="600" w:firstLineChars="200"/>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1.3 GB/T13922-3水处理设备性能试验、吸附设备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1.4所有设备均按国家标准的规定进行组装。所提供的备件在现场进行验收，如存在质量问题，乙方无条件负责免费更换。</w:t>
      </w:r>
    </w:p>
    <w:p>
      <w:pPr>
        <w:pStyle w:val="5"/>
        <w:ind w:left="0" w:leftChars="0"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1.5乙方对整个设备的合理性、完整性负责，负责设备本体的全部设计，包含提供与设备配套的土建基础、设备连接方式的最终资料。</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1.6设备到货后由乙方组织甲方相关人员对设备进行开箱验收，重点对设备的材质、罐体壁厚、虑芯机械强度按照本协议制造要求进行测试验收，若存在与国家、行业标准和本协议要求不符合的项目，甲方有权直接进行退货，并按照商务合同的有关条款对乙方进行罚款或索赔。</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1.7本协议中的其它未明确项依据国家标准或国家有关规定制造验收。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1.8乙方负责设备的运输管理，并有必要的防护包装，设备的包装应能满足长途运输、多次搬运及存储的要求，包装要坚固、牢靠、防腐、防潮、防盗。</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1.9箱内每个零部件均应挂有标签，标明零部件的名称、零件图号及所属装配图号、件号和数量等内容。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1.10乙方应保管好到达现场的设备材料随机资料，包括产品合格证、有关检验报告、产品使用说明书等相关资料，按合同规定及时移交给甲方。</w:t>
      </w:r>
    </w:p>
    <w:p>
      <w:pPr>
        <w:pStyle w:val="5"/>
        <w:ind w:left="0" w:leftChars="0" w:firstLine="602" w:firstLineChars="200"/>
        <w:rPr>
          <w:rFonts w:hint="eastAsia"/>
          <w:b/>
          <w:bCs/>
          <w:lang w:val="en-US" w:eastAsia="zh-CN"/>
        </w:rPr>
      </w:pPr>
      <w:r>
        <w:rPr>
          <w:rFonts w:hint="eastAsia" w:ascii="仿宋_GB2312" w:hAnsi="仿宋_GB2312" w:eastAsia="仿宋_GB2312" w:cs="仿宋_GB2312"/>
          <w:b/>
          <w:bCs/>
          <w:kern w:val="2"/>
          <w:sz w:val="30"/>
          <w:szCs w:val="30"/>
          <w:highlight w:val="none"/>
          <w:lang w:val="en-US" w:eastAsia="zh-CN"/>
        </w:rPr>
        <w:t>2.</w:t>
      </w:r>
      <w:r>
        <w:rPr>
          <w:rFonts w:hint="eastAsia"/>
          <w:b/>
          <w:bCs/>
          <w:lang w:val="en-US" w:eastAsia="zh-CN"/>
        </w:rPr>
        <w:t>技术服务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2.1乙方负责派有经验的技术人员进行安装指导，安装完成现场调试，同时对甲方操作维护人员进行技术培训，培训资料由乙方提供。对设备的运行检查、点检维护检修须出具书面材料进行培训。</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2.2产品质保期为12个月，从设备功能考核合格之日算起，质保期内的产品质量问题，乙方免费维修、更换，由于乙方供货设备的质量问题而造成的故障或设备停运，乙方应在7日内免费负责更换有缺陷或损坏的部件，设备的质保期将延长，延长时间为设备重新恢复后12个月。</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2.3出现设备质量问题、到货及安装拖期问题，按照合同违约条款执行。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2.4乙方供货如果出现图物不符现象（如设备结构、部件材质、安装尺寸、防腐工艺等），造成的一切后果由乙方承担，必要时甲方有权终止合同。</w:t>
      </w:r>
    </w:p>
    <w:p>
      <w:pPr>
        <w:keepNext w:val="0"/>
        <w:keepLines w:val="0"/>
        <w:pageBreakBefore w:val="0"/>
        <w:widowControl w:val="0"/>
        <w:numPr>
          <w:ilvl w:val="0"/>
          <w:numId w:val="1"/>
        </w:numPr>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提供资料</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乙方在中标后20日内将准确的电子版和纸质版如下资料提供给甲方：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所供设备及相关附件所用的材料、备件需要符合相应国家（行业）标准并得到甲方的认可，同时提供质量保证的相关文件，包括：产品检验合格证书、主要零部件材料检验合格证书、主要零部件材料试验报告、各项试验报告、电气试验报告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2.电子版图纸包括自动过滤器结构图、电气控制原理接线图、控制盘端子接线图、盘内电器元件布置图、整机装配图、PLC程序光盘。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3.每台套设备的产品合格证（包括主要外购件）；主要用材的合格证及质量检验书和有关的规程、规范标准。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4.易损件一览表、易损件图纸或型号。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5.提供出厂最终资料</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6.邮寄地址；甲方邮寄信息：甘肃省嘉峪关市酒钢集团动力厂，邮政编码：735100，收件人：董世平。联系电话：17793732678</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电子邮箱：dsp3037@jiugang.com</w:t>
      </w:r>
    </w:p>
    <w:p>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lang w:val="en-US" w:eastAsia="zh-CN"/>
        </w:rPr>
      </w:pPr>
      <w:r>
        <w:rPr>
          <w:rFonts w:hint="eastAsia" w:ascii="仿宋_GB2312" w:hAnsi="仿宋_GB2312" w:eastAsia="仿宋_GB2312" w:cs="仿宋_GB2312"/>
          <w:b/>
          <w:bCs/>
          <w:kern w:val="2"/>
          <w:sz w:val="30"/>
          <w:szCs w:val="30"/>
          <w:lang w:val="en-US" w:eastAsia="zh-CN"/>
        </w:rPr>
        <w:t>六、交货时间及地点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r>
        <w:rPr>
          <w:rFonts w:hint="eastAsia" w:ascii="仿宋_GB2312" w:hAnsi="仿宋_GB2312" w:eastAsia="仿宋_GB2312" w:cs="仿宋_GB2312"/>
          <w:b w:val="0"/>
          <w:bCs w:val="0"/>
          <w:kern w:val="2"/>
          <w:sz w:val="30"/>
          <w:szCs w:val="30"/>
          <w:lang w:val="en-US" w:eastAsia="zh-CN"/>
        </w:rPr>
        <w:t>以招标时双方确定时间地点为准</w:t>
      </w:r>
    </w:p>
    <w:p>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lang w:val="en-US" w:eastAsia="zh-CN"/>
        </w:rPr>
      </w:pPr>
      <w:r>
        <w:rPr>
          <w:rFonts w:hint="eastAsia" w:ascii="仿宋_GB2312" w:hAnsi="仿宋_GB2312" w:eastAsia="仿宋_GB2312" w:cs="仿宋_GB2312"/>
          <w:b/>
          <w:bCs/>
          <w:kern w:val="2"/>
          <w:sz w:val="30"/>
          <w:szCs w:val="30"/>
          <w:lang w:val="en-US" w:eastAsia="zh-CN"/>
        </w:rPr>
        <w:t>七、其它</w:t>
      </w:r>
    </w:p>
    <w:p>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1.本规格书内容经由甲乙双方于</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年</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 月</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日</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时至</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时通过</w:t>
      </w:r>
      <w:r>
        <w:rPr>
          <w:rFonts w:hint="eastAsia" w:ascii="仿宋" w:hAnsi="仿宋" w:eastAsia="仿宋" w:cs="仿宋"/>
          <w:kern w:val="2"/>
          <w:sz w:val="28"/>
          <w:szCs w:val="28"/>
          <w:highlight w:val="none"/>
          <w:u w:val="single"/>
          <w:lang w:val="en-US" w:eastAsia="zh-CN" w:bidi="ar-SA"/>
        </w:rPr>
        <w:t xml:space="preserve">              </w:t>
      </w:r>
      <w:bookmarkStart w:id="0" w:name="_GoBack"/>
      <w:bookmarkEnd w:id="0"/>
      <w:r>
        <w:rPr>
          <w:rFonts w:hint="eastAsia" w:ascii="仿宋" w:hAnsi="仿宋" w:eastAsia="仿宋" w:cs="仿宋"/>
          <w:kern w:val="2"/>
          <w:sz w:val="28"/>
          <w:szCs w:val="28"/>
          <w:highlight w:val="none"/>
          <w:u w:val="single"/>
          <w:lang w:val="en-US" w:eastAsia="zh-CN" w:bidi="ar-SA"/>
        </w:rPr>
        <w:t>    </w:t>
      </w:r>
      <w:r>
        <w:rPr>
          <w:rFonts w:hint="eastAsia" w:ascii="仿宋" w:hAnsi="仿宋" w:eastAsia="仿宋" w:cs="仿宋"/>
          <w:kern w:val="2"/>
          <w:sz w:val="28"/>
          <w:szCs w:val="28"/>
          <w:highlight w:val="none"/>
          <w:lang w:val="en-US" w:eastAsia="zh-CN" w:bidi="ar-SA"/>
        </w:rPr>
        <w:t>方式商定。</w:t>
      </w:r>
    </w:p>
    <w:p>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2甲乙双方应当就签订本规格书的相关事宜保密，不得将签订主体、时间、内容等信息透露给其他第三人。</w:t>
      </w:r>
    </w:p>
    <w:p>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 若 </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  单位不中标，本技术规格书自动失效，双方互不承担任何责任。</w:t>
      </w:r>
    </w:p>
    <w:p>
      <w:pPr>
        <w:pStyle w:val="5"/>
        <w:keepNext w:val="0"/>
        <w:keepLines w:val="0"/>
        <w:pageBreakBefore w:val="0"/>
        <w:kinsoku/>
        <w:wordWrap/>
        <w:overflowPunct/>
        <w:topLinePunct w:val="0"/>
        <w:autoSpaceDE/>
        <w:autoSpaceDN/>
        <w:bidi w:val="0"/>
        <w:adjustRightInd/>
        <w:snapToGrid/>
        <w:spacing w:before="10" w:beforeAutospacing="0" w:after="10" w:afterAutospacing="0" w:line="360" w:lineRule="auto"/>
        <w:ind w:left="0" w:leftChars="0" w:firstLine="560" w:firstLineChars="200"/>
        <w:textAlignment w:val="auto"/>
        <w:rPr>
          <w:rFonts w:hint="eastAsia" w:ascii="仿宋_GB2312" w:hAnsi="仿宋_GB2312" w:eastAsia="仿宋_GB2312" w:cs="仿宋_GB2312"/>
          <w:b/>
          <w:bCs/>
          <w:color w:val="FF0000"/>
          <w:kern w:val="2"/>
          <w:sz w:val="28"/>
          <w:szCs w:val="28"/>
          <w:lang w:val="en-US" w:eastAsia="zh-CN"/>
        </w:rPr>
      </w:pPr>
      <w:r>
        <w:rPr>
          <w:rFonts w:hint="eastAsia" w:ascii="仿宋" w:hAnsi="仿宋" w:eastAsia="仿宋" w:cs="仿宋"/>
          <w:kern w:val="2"/>
          <w:sz w:val="28"/>
          <w:szCs w:val="28"/>
          <w:highlight w:val="none"/>
          <w:lang w:val="en-US" w:eastAsia="zh-CN" w:bidi="ar-SA"/>
        </w:rPr>
        <w:t>4本协议一式四份，甲方三份，乙方一份其他未尽事宜，双方友好协商。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甲方：（行政公章）         乙方：（合同专用章）</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甲方代表：                乙方代表：</w:t>
      </w:r>
    </w:p>
    <w:p>
      <w:pPr>
        <w:keepNext w:val="0"/>
        <w:keepLines w:val="0"/>
        <w:pageBreakBefore w:val="0"/>
        <w:widowControl w:val="0"/>
        <w:kinsoku/>
        <w:wordWrap/>
        <w:overflowPunct/>
        <w:topLinePunct w:val="0"/>
        <w:autoSpaceDE/>
        <w:autoSpaceDN/>
        <w:bidi w:val="0"/>
        <w:adjustRightInd/>
        <w:snapToGrid/>
        <w:spacing w:line="240" w:lineRule="auto"/>
        <w:ind w:firstLine="1500" w:firstLineChars="5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3D77C"/>
    <w:multiLevelType w:val="singleLevel"/>
    <w:tmpl w:val="7183D77C"/>
    <w:lvl w:ilvl="0" w:tentative="0">
      <w:start w:val="5"/>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MDQ2NDViNWM5ZmMwZWZlY2JlMmVhZDMzYTgxNWEifQ=="/>
    <w:docVar w:name="KSO_WPS_MARK_KEY" w:val="08e7ae8c-3320-403a-81f9-4ca11b7dccf0"/>
  </w:docVars>
  <w:rsids>
    <w:rsidRoot w:val="1F48661C"/>
    <w:rsid w:val="08BF48C9"/>
    <w:rsid w:val="0B402E83"/>
    <w:rsid w:val="0B9C437D"/>
    <w:rsid w:val="11097BB7"/>
    <w:rsid w:val="125C398E"/>
    <w:rsid w:val="13D754E4"/>
    <w:rsid w:val="14514716"/>
    <w:rsid w:val="1A62038D"/>
    <w:rsid w:val="1C4D6733"/>
    <w:rsid w:val="1CD26759"/>
    <w:rsid w:val="1E893B8E"/>
    <w:rsid w:val="1F48661C"/>
    <w:rsid w:val="20B00A53"/>
    <w:rsid w:val="21F030D1"/>
    <w:rsid w:val="2B1678C3"/>
    <w:rsid w:val="2B943EF7"/>
    <w:rsid w:val="2F4D7997"/>
    <w:rsid w:val="30711658"/>
    <w:rsid w:val="32447A0E"/>
    <w:rsid w:val="32547E2E"/>
    <w:rsid w:val="34CB06B2"/>
    <w:rsid w:val="35E36D7D"/>
    <w:rsid w:val="39131393"/>
    <w:rsid w:val="3B5B73B5"/>
    <w:rsid w:val="3C011D42"/>
    <w:rsid w:val="3EBC0417"/>
    <w:rsid w:val="3FD9084E"/>
    <w:rsid w:val="40AE7F87"/>
    <w:rsid w:val="449F20EB"/>
    <w:rsid w:val="48396961"/>
    <w:rsid w:val="48D63D39"/>
    <w:rsid w:val="4B511C8C"/>
    <w:rsid w:val="4E1312EE"/>
    <w:rsid w:val="51D309E6"/>
    <w:rsid w:val="51D81084"/>
    <w:rsid w:val="543765C3"/>
    <w:rsid w:val="54B7174E"/>
    <w:rsid w:val="57781C10"/>
    <w:rsid w:val="5BFE7917"/>
    <w:rsid w:val="62417422"/>
    <w:rsid w:val="656C3DE9"/>
    <w:rsid w:val="67A36C5B"/>
    <w:rsid w:val="67D85766"/>
    <w:rsid w:val="6A30683A"/>
    <w:rsid w:val="6A4A6362"/>
    <w:rsid w:val="6C57098E"/>
    <w:rsid w:val="71431EA2"/>
    <w:rsid w:val="742E3ADE"/>
    <w:rsid w:val="77625BC3"/>
    <w:rsid w:val="78534A6C"/>
    <w:rsid w:val="7E117254"/>
    <w:rsid w:val="7F6F6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hAnsi="Times New Roman"/>
      <w:sz w:val="24"/>
      <w:szCs w:val="24"/>
    </w:rPr>
  </w:style>
  <w:style w:type="paragraph" w:styleId="3">
    <w:name w:val="Plain Text"/>
    <w:basedOn w:val="1"/>
    <w:qFormat/>
    <w:uiPriority w:val="0"/>
    <w:pPr>
      <w:widowControl w:val="0"/>
      <w:jc w:val="both"/>
    </w:pPr>
    <w:rPr>
      <w:rFonts w:ascii="宋体" w:hAnsi="Courier New"/>
      <w:kern w:val="2"/>
      <w:sz w:val="21"/>
    </w:rPr>
  </w:style>
  <w:style w:type="paragraph" w:styleId="4">
    <w:name w:val="Normal (Web)"/>
    <w:basedOn w:val="1"/>
    <w:semiHidden/>
    <w:unhideWhenUsed/>
    <w:qFormat/>
    <w:uiPriority w:val="99"/>
    <w:pPr>
      <w:widowControl/>
      <w:spacing w:before="100" w:beforeAutospacing="1" w:after="100" w:afterAutospacing="1"/>
      <w:jc w:val="left"/>
    </w:pPr>
    <w:rPr>
      <w:rFonts w:ascii="新宋体" w:hAnsi="新宋体" w:eastAsia="新宋体" w:cs="新宋体"/>
      <w:kern w:val="0"/>
      <w:sz w:val="24"/>
      <w:szCs w:val="24"/>
    </w:rPr>
  </w:style>
  <w:style w:type="paragraph" w:styleId="5">
    <w:name w:val="Body Text First Indent 2"/>
    <w:basedOn w:val="2"/>
    <w:qFormat/>
    <w:uiPriority w:val="0"/>
    <w:pPr>
      <w:spacing w:after="120" w:line="560" w:lineRule="exact"/>
      <w:ind w:left="420" w:leftChars="200" w:firstLine="420"/>
    </w:pPr>
    <w:rPr>
      <w:rFonts w:hAnsi="宋体"/>
      <w:sz w:val="28"/>
      <w:szCs w:val="22"/>
    </w:rPr>
  </w:style>
  <w:style w:type="paragraph" w:customStyle="1" w:styleId="8">
    <w:name w:val="样式 样式 行距: 1.5 倍行距 + 两端对齐 Char"/>
    <w:basedOn w:val="1"/>
    <w:qFormat/>
    <w:uiPriority w:val="99"/>
    <w:pPr>
      <w:tabs>
        <w:tab w:val="left" w:pos="720"/>
      </w:tabs>
      <w:adjustRightInd w:val="0"/>
      <w:snapToGrid w:val="0"/>
      <w:ind w:firstLine="480" w:firstLineChars="200"/>
    </w:pPr>
    <w:rPr>
      <w:rFonts w:ascii="宋体" w:hAnsi="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962</Words>
  <Characters>976</Characters>
  <Lines>0</Lines>
  <Paragraphs>0</Paragraphs>
  <TotalTime>1</TotalTime>
  <ScaleCrop>false</ScaleCrop>
  <LinksUpToDate>false</LinksUpToDate>
  <CharactersWithSpaces>1004</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2024-02-06T08:52:00Z</dcterms:created>
  <dc:creator>刘天燕</dc:creator>
  <cp:lastModifiedBy>心海</cp:lastModifiedBy>
  <dcterms:modified xsi:type="dcterms:W3CDTF">2026-01-21T09:55:54Z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4B70D3246806478FA611E7C42456D5CA</vt:lpwstr>
  </property>
  <property fmtid="{D5CDD505-2E9C-101B-9397-08002B2CF9AE}" pid="4" name="KSOTemplateDocerSaveRecord">
    <vt:lpwstr>eyJoZGlkIjoiZGY4NTY5Y2Y1NzU3NzVmN2RhNWY5YThjYTM2OWI3OWUiLCJ1c2VySWQiOiIxNDg5MzAzMjAxIn0=</vt:lpwstr>
  </property>
</Properties>
</file>