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F1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kern w:val="2"/>
          <w:sz w:val="44"/>
          <w:szCs w:val="44"/>
          <w:lang w:val="en-US" w:eastAsia="zh-CN" w:bidi="ar-SA"/>
        </w:rPr>
      </w:pPr>
    </w:p>
    <w:p w14:paraId="548328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kern w:val="2"/>
          <w:sz w:val="44"/>
          <w:szCs w:val="44"/>
          <w:lang w:val="en-US" w:eastAsia="zh-CN" w:bidi="ar-SA"/>
        </w:rPr>
      </w:pPr>
      <w:bookmarkStart w:id="0" w:name="_GoBack"/>
      <w:bookmarkEnd w:id="0"/>
      <w:r>
        <w:rPr>
          <w:rFonts w:hint="eastAsia" w:ascii="华文中宋" w:hAnsi="华文中宋" w:eastAsia="华文中宋" w:cs="华文中宋"/>
          <w:color w:val="auto"/>
          <w:kern w:val="2"/>
          <w:sz w:val="44"/>
          <w:szCs w:val="44"/>
          <w:lang w:val="en-US" w:eastAsia="zh-CN" w:bidi="ar-SA"/>
        </w:rPr>
        <w:t>甘肃东兴嘉宇新材料有限公司</w:t>
      </w:r>
    </w:p>
    <w:p w14:paraId="7770A2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kern w:val="2"/>
          <w:sz w:val="44"/>
          <w:szCs w:val="44"/>
          <w:lang w:val="en-US" w:eastAsia="zh-CN" w:bidi="ar-SA"/>
        </w:rPr>
      </w:pPr>
      <w:r>
        <w:rPr>
          <w:rFonts w:hint="eastAsia" w:ascii="华文中宋" w:hAnsi="华文中宋" w:eastAsia="华文中宋" w:cs="华文中宋"/>
          <w:color w:val="auto"/>
          <w:kern w:val="2"/>
          <w:sz w:val="44"/>
          <w:szCs w:val="44"/>
          <w:lang w:val="en-US" w:eastAsia="zh-CN" w:bidi="ar-SA"/>
        </w:rPr>
        <w:t>石墨乳采购技术规格书</w:t>
      </w:r>
    </w:p>
    <w:p w14:paraId="0B7B6A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637740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1F9DBC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7E5CC0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4B88AC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55CAFC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3E60C8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1516C4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53EC1E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5B899F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1249476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44"/>
          <w:szCs w:val="44"/>
          <w:lang w:val="en-US" w:eastAsia="zh-CN" w:bidi="ar-SA"/>
        </w:rPr>
      </w:pPr>
    </w:p>
    <w:p w14:paraId="05F41B9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44"/>
          <w:szCs w:val="44"/>
          <w:lang w:val="en-US" w:eastAsia="zh-CN" w:bidi="ar-SA"/>
        </w:rPr>
      </w:pPr>
    </w:p>
    <w:p w14:paraId="4AF1BA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44"/>
          <w:szCs w:val="44"/>
          <w:lang w:val="en-US" w:eastAsia="zh-CN" w:bidi="ar-SA"/>
        </w:rPr>
      </w:pPr>
    </w:p>
    <w:p w14:paraId="68F3B104">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技术规格编号：</w:t>
      </w:r>
    </w:p>
    <w:p w14:paraId="2E4C5A6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32"/>
          <w:szCs w:val="32"/>
          <w:lang w:val="en-US" w:eastAsia="zh-CN" w:bidi="ar-SA"/>
        </w:rPr>
      </w:pPr>
    </w:p>
    <w:p w14:paraId="0A2ABD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32"/>
          <w:szCs w:val="32"/>
          <w:lang w:val="en-US" w:eastAsia="zh-CN" w:bidi="ar-SA"/>
        </w:rPr>
      </w:pPr>
    </w:p>
    <w:p w14:paraId="2BA2442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32"/>
          <w:szCs w:val="32"/>
          <w:lang w:val="en-US" w:eastAsia="zh-CN" w:bidi="ar-SA"/>
        </w:rPr>
      </w:pPr>
    </w:p>
    <w:p w14:paraId="6D0FF455">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甲方：甘肃东兴嘉宇新材料有限公司</w:t>
      </w:r>
    </w:p>
    <w:p w14:paraId="1C9E194C">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乙方：</w:t>
      </w:r>
    </w:p>
    <w:p w14:paraId="233B91A4">
      <w:pPr>
        <w:pStyle w:val="12"/>
        <w:keepNext w:val="0"/>
        <w:keepLines w:val="0"/>
        <w:pageBreakBefore w:val="0"/>
        <w:kinsoku/>
        <w:wordWrap/>
        <w:overflowPunct/>
        <w:topLinePunct w:val="0"/>
        <w:autoSpaceDE/>
        <w:autoSpaceDN/>
        <w:bidi w:val="0"/>
        <w:adjustRightInd/>
        <w:snapToGrid/>
        <w:spacing w:line="600" w:lineRule="exact"/>
        <w:ind w:left="0" w:leftChars="0" w:firstLine="48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rPr>
        <w:br w:type="page"/>
      </w:r>
      <w:r>
        <w:rPr>
          <w:rFonts w:hint="eastAsia" w:ascii="仿宋_GB2312" w:hAnsi="仿宋_GB2312" w:eastAsia="仿宋_GB2312" w:cs="仿宋_GB2312"/>
          <w:color w:val="auto"/>
          <w:sz w:val="32"/>
          <w:szCs w:val="32"/>
        </w:rPr>
        <w:t>甘肃东兴嘉宇新材料有限公司（以下简称甲方）委托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（以下简称乙方），进行石墨乳的生产与调试，经双方协商，达成如下技术协议</w:t>
      </w:r>
      <w:r>
        <w:rPr>
          <w:rFonts w:hint="eastAsia" w:ascii="仿宋_GB2312" w:hAnsi="仿宋_GB2312" w:eastAsia="仿宋_GB2312" w:cs="仿宋_GB2312"/>
          <w:sz w:val="32"/>
          <w:szCs w:val="32"/>
        </w:rPr>
        <w:t>：</w:t>
      </w:r>
    </w:p>
    <w:p w14:paraId="326DE748">
      <w:pPr>
        <w:pStyle w:val="2"/>
        <w:keepNext w:val="0"/>
        <w:keepLines w:val="0"/>
        <w:pageBreakBefore w:val="0"/>
        <w:numPr>
          <w:ilvl w:val="0"/>
          <w:numId w:val="2"/>
        </w:numPr>
        <w:tabs>
          <w:tab w:val="left" w:pos="963"/>
        </w:tabs>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技术依据及说明</w:t>
      </w:r>
    </w:p>
    <w:p w14:paraId="2B3F6FA1">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以甲方提供的订货计划及相关确认图为设计与检验依据。技术协议明确了</w:t>
      </w:r>
      <w:r>
        <w:rPr>
          <w:rFonts w:hint="eastAsia" w:ascii="仿宋_GB2312" w:hAnsi="仿宋_GB2312" w:eastAsia="仿宋_GB2312" w:cs="仿宋_GB2312"/>
          <w:sz w:val="32"/>
          <w:szCs w:val="32"/>
        </w:rPr>
        <w:t>该批石墨乳生产、主要技术参数、甲方检验内容、乙方需提交的质量资料以及包装、运输、贮藏、使用全过程的技术和质量管理要求。本技术协议作为主合同的技术定义部分，与主合同具备同等法律效力，随主合同生效而生效。</w:t>
      </w:r>
    </w:p>
    <w:p w14:paraId="7959993A">
      <w:pPr>
        <w:pStyle w:val="2"/>
        <w:keepNext w:val="0"/>
        <w:keepLines w:val="0"/>
        <w:pageBreakBefore w:val="0"/>
        <w:numPr>
          <w:ilvl w:val="0"/>
          <w:numId w:val="2"/>
        </w:numPr>
        <w:tabs>
          <w:tab w:val="left" w:pos="963"/>
        </w:tabs>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型号及技术要求</w:t>
      </w:r>
    </w:p>
    <w:p w14:paraId="5A3A0B68">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一</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名称：铝及铝合金铸轧用石墨乳</w:t>
      </w:r>
    </w:p>
    <w:p w14:paraId="194E03AB">
      <w:pPr>
        <w:pStyle w:val="3"/>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技术要求</w:t>
      </w:r>
      <w:r>
        <w:rPr>
          <w:rFonts w:hint="eastAsia" w:ascii="仿宋_GB2312" w:hAnsi="仿宋_GB2312" w:eastAsia="仿宋_GB2312" w:cs="仿宋_GB2312"/>
          <w:b w:val="0"/>
          <w:bCs w:val="0"/>
          <w:sz w:val="32"/>
          <w:szCs w:val="32"/>
          <w:lang w:eastAsia="zh-CN"/>
        </w:rPr>
        <w:t>：</w:t>
      </w:r>
    </w:p>
    <w:tbl>
      <w:tblPr>
        <w:tblStyle w:val="21"/>
        <w:tblW w:w="8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33"/>
        <w:gridCol w:w="1341"/>
        <w:gridCol w:w="1498"/>
        <w:gridCol w:w="910"/>
        <w:gridCol w:w="1145"/>
        <w:gridCol w:w="1451"/>
        <w:gridCol w:w="899"/>
      </w:tblGrid>
      <w:tr w14:paraId="102B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4" w:hRule="atLeast"/>
          <w:jc w:val="center"/>
        </w:trPr>
        <w:tc>
          <w:tcPr>
            <w:tcW w:w="10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F8B3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平均颗粒尺寸μm</w:t>
            </w: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133B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90%的微粒尺寸μm</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C226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固体含量wt%</w:t>
            </w:r>
          </w:p>
        </w:tc>
        <w:tc>
          <w:tcPr>
            <w:tcW w:w="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D433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PH值</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A4CF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布氏粘度cp</w:t>
            </w:r>
          </w:p>
        </w:tc>
        <w:tc>
          <w:tcPr>
            <w:tcW w:w="14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0D5A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沉淀物</w:t>
            </w:r>
          </w:p>
        </w:tc>
        <w:tc>
          <w:tcPr>
            <w:tcW w:w="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05C9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扩散能力</w:t>
            </w:r>
          </w:p>
        </w:tc>
      </w:tr>
      <w:tr w14:paraId="22DD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4"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3C90B">
            <w:pPr>
              <w:keepNext w:val="0"/>
              <w:keepLines w:val="0"/>
              <w:pageBreakBefore w:val="0"/>
              <w:kinsoku/>
              <w:wordWrap/>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24A2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56AE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21.5-22.5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A7022">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9-10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490B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50-100</w:t>
            </w:r>
          </w:p>
        </w:tc>
        <w:tc>
          <w:tcPr>
            <w:tcW w:w="14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CA421">
            <w:pPr>
              <w:keepNext w:val="0"/>
              <w:keepLines w:val="0"/>
              <w:pageBreakBefore w:val="0"/>
              <w:kinsoku/>
              <w:wordWrap/>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无</w:t>
            </w:r>
          </w:p>
        </w:tc>
        <w:tc>
          <w:tcPr>
            <w:tcW w:w="8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3438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良好</w:t>
            </w:r>
          </w:p>
        </w:tc>
      </w:tr>
    </w:tbl>
    <w:p w14:paraId="20ACD059">
      <w:pPr>
        <w:pStyle w:val="3"/>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产品特点</w:t>
      </w:r>
    </w:p>
    <w:p w14:paraId="0BDD59AB">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产品使用便捷；在高稀释比下可形成光滑、附着力强、致密的涂层；极细的石墨微粒均匀悬浮于水中；防止铝液粘到铸轧机辊子上；能够实现更高速铸轧，提高生产率；与其他产品相比，稀释比更高；有效提升铸轧产品质量。</w:t>
      </w:r>
    </w:p>
    <w:p w14:paraId="22D9AF39">
      <w:pPr>
        <w:pStyle w:val="2"/>
        <w:keepNext w:val="0"/>
        <w:keepLines w:val="0"/>
        <w:pageBreakBefore w:val="0"/>
        <w:numPr>
          <w:ilvl w:val="0"/>
          <w:numId w:val="2"/>
        </w:numPr>
        <w:tabs>
          <w:tab w:val="left" w:pos="963"/>
        </w:tabs>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试验方法与检验规则</w:t>
      </w:r>
    </w:p>
    <w:p w14:paraId="23895236">
      <w:pPr>
        <w:pStyle w:val="3"/>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检查和验收</w:t>
      </w:r>
    </w:p>
    <w:p w14:paraId="2C7FDE5E">
      <w:pPr>
        <w:pStyle w:val="12"/>
        <w:keepNext w:val="0"/>
        <w:keepLines w:val="0"/>
        <w:pageBreakBefore w:val="0"/>
        <w:numPr>
          <w:numId w:val="0"/>
        </w:numPr>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所有石墨乳进厂须附带产品合格证和产品质量证明书，否则仓库拒收。</w:t>
      </w:r>
    </w:p>
    <w:p w14:paraId="02F4397C">
      <w:pPr>
        <w:pStyle w:val="12"/>
        <w:keepNext w:val="0"/>
        <w:keepLines w:val="0"/>
        <w:pageBreakBefore w:val="0"/>
        <w:numPr>
          <w:numId w:val="0"/>
        </w:numPr>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进入公司的铸轧用石墨乳每批均需检验，每车次组为一批。</w:t>
      </w:r>
    </w:p>
    <w:p w14:paraId="72DC3132">
      <w:pPr>
        <w:pStyle w:val="12"/>
        <w:keepNext w:val="0"/>
        <w:keepLines w:val="0"/>
        <w:pageBreakBefore w:val="0"/>
        <w:numPr>
          <w:numId w:val="0"/>
        </w:numPr>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每批铸轧用石墨乳都需逐一检查封装质量。</w:t>
      </w:r>
    </w:p>
    <w:p w14:paraId="61928FAE">
      <w:pPr>
        <w:pStyle w:val="12"/>
        <w:keepNext w:val="0"/>
        <w:keepLines w:val="0"/>
        <w:pageBreakBefore w:val="0"/>
        <w:numPr>
          <w:numId w:val="0"/>
        </w:numPr>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因石墨乳某些特性指标，需方无法通过理化指标衡量，需在需方使用过程中验证；若需方按照固有工艺条件使用时出现问题，按不合格品处理。</w:t>
      </w:r>
    </w:p>
    <w:p w14:paraId="2533336F">
      <w:pPr>
        <w:pStyle w:val="12"/>
        <w:keepNext w:val="0"/>
        <w:keepLines w:val="0"/>
        <w:pageBreakBefore w:val="0"/>
        <w:numPr>
          <w:numId w:val="0"/>
        </w:numPr>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检验结果不符合本标准及订货合同规定时，应以书面形式向供方提出，由供需双方协商解决。如需仲裁，供需双方应在需方共同进行仲裁取样。</w:t>
      </w:r>
    </w:p>
    <w:p w14:paraId="6AECE0D1">
      <w:pPr>
        <w:pStyle w:val="2"/>
        <w:keepNext w:val="0"/>
        <w:keepLines w:val="0"/>
        <w:pageBreakBefore w:val="0"/>
        <w:numPr>
          <w:ilvl w:val="0"/>
          <w:numId w:val="2"/>
        </w:numPr>
        <w:tabs>
          <w:tab w:val="left" w:pos="963"/>
        </w:tabs>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质量异议处理</w:t>
      </w:r>
    </w:p>
    <w:p w14:paraId="5E6E03ED">
      <w:pPr>
        <w:pStyle w:val="12"/>
        <w:keepNext w:val="0"/>
        <w:keepLines w:val="0"/>
        <w:pageBreakBefore w:val="0"/>
        <w:numPr>
          <w:numId w:val="0"/>
        </w:numPr>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出现不合格产品，甲方向乙方反馈，之后甲乙双方通过确认与协商确定退货或折让方案。</w:t>
      </w:r>
    </w:p>
    <w:p w14:paraId="4209D08E">
      <w:pPr>
        <w:pStyle w:val="12"/>
        <w:keepNext w:val="0"/>
        <w:keepLines w:val="0"/>
        <w:pageBreakBefore w:val="0"/>
        <w:numPr>
          <w:numId w:val="0"/>
        </w:numPr>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乙方接到甲方不良反馈时，应在3个工作日内作出书面应答与解决方案。如有必要，乙方应在3个工作日内到达甲方现场配合处理；双方协商对不良产品处理后，应对退货或折让结果进行书面确认。</w:t>
      </w:r>
    </w:p>
    <w:p w14:paraId="7D0FCBE6">
      <w:pPr>
        <w:pStyle w:val="12"/>
        <w:keepNext w:val="0"/>
        <w:keepLines w:val="0"/>
        <w:pageBreakBefore w:val="0"/>
        <w:numPr>
          <w:numId w:val="0"/>
        </w:numPr>
        <w:tabs>
          <w:tab w:val="left" w:pos="9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所有质量异议的数量及赔偿事项均由甲乙双方主导推进。赔偿方案确定后，乙方按赔偿流程赔付给甲方。</w:t>
      </w:r>
    </w:p>
    <w:p w14:paraId="01019A6E">
      <w:pPr>
        <w:pStyle w:val="2"/>
        <w:keepNext w:val="0"/>
        <w:keepLines w:val="0"/>
        <w:pageBreakBefore w:val="0"/>
        <w:numPr>
          <w:ilvl w:val="0"/>
          <w:numId w:val="2"/>
        </w:numPr>
        <w:tabs>
          <w:tab w:val="left" w:pos="963"/>
        </w:tabs>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商业技术秘密</w:t>
      </w:r>
    </w:p>
    <w:p w14:paraId="439651D6">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协议任何一方不得在协议期限前、协议期限内及协议期限届满后的一年以内（技术方面内容从协议签订之日起3年）以任何形式披露或泄露另一方的商业技术秘密，包括甲乙双方生产工艺参数、购买数量、购买费用、购买周期等信息；若因披露或泄露另一方商业秘密造成该方利益损失的，违约方应承担相应损害赔偿责任。</w:t>
      </w:r>
    </w:p>
    <w:p w14:paraId="13AA7CE4">
      <w:pPr>
        <w:pStyle w:val="2"/>
        <w:keepNext w:val="0"/>
        <w:keepLines w:val="0"/>
        <w:pageBreakBefore w:val="0"/>
        <w:numPr>
          <w:ilvl w:val="0"/>
          <w:numId w:val="2"/>
        </w:numPr>
        <w:tabs>
          <w:tab w:val="left" w:pos="963"/>
        </w:tabs>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其他事项</w:t>
      </w:r>
    </w:p>
    <w:p w14:paraId="31D29F13">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不合格无法使用的产品以退货处理，此后不再纳入合格供应商；</w:t>
      </w:r>
    </w:p>
    <w:p w14:paraId="5CC6AC8D">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本协议经双方委托代理人签字并加盖合同专用章后作为产品采购合同附件，与产品采购合同同时生效。</w:t>
      </w:r>
    </w:p>
    <w:p w14:paraId="40BD5D67">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甲乙双方应对签订本协议的相关事宜保密，不得将签订主体、时间、内容等信息透露给其他第三人。</w:t>
      </w:r>
    </w:p>
    <w:p w14:paraId="4A42B212">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本协议条款不得有任何涂改，若有涂改，涂改部分无效。</w:t>
      </w:r>
      <w:r>
        <w:rPr>
          <w:rFonts w:hint="eastAsia" w:ascii="仿宋_GB2312" w:hAnsi="仿宋_GB2312" w:eastAsia="仿宋_GB2312" w:cs="仿宋_GB2312"/>
          <w:color w:val="000000"/>
          <w:sz w:val="32"/>
          <w:szCs w:val="32"/>
        </w:rPr>
        <w:t>协议有效期为两年。</w:t>
      </w:r>
    </w:p>
    <w:p w14:paraId="40D2A997">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若乙方未能中标，技术规格书自动失效，双方互不承担任何责任。</w:t>
      </w:r>
    </w:p>
    <w:p w14:paraId="49717E6E">
      <w:pPr>
        <w:pStyle w:val="1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本协议内容经甲乙双方于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时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时通过</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方式商定。</w:t>
      </w:r>
    </w:p>
    <w:p w14:paraId="7F42BAE9">
      <w:pPr>
        <w:pStyle w:val="12"/>
        <w:keepNext w:val="0"/>
        <w:keepLines w:val="0"/>
        <w:pageBreakBefore w:val="0"/>
        <w:numPr>
          <w:ilvl w:val="0"/>
          <w:numId w:val="0"/>
        </w:numPr>
        <w:tabs>
          <w:tab w:val="left" w:pos="12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本技术规格书一式四份，甲方三份，乙方一份。</w:t>
      </w:r>
    </w:p>
    <w:p w14:paraId="3077C7A7">
      <w:pPr>
        <w:pStyle w:val="12"/>
        <w:keepNext w:val="0"/>
        <w:keepLines w:val="0"/>
        <w:pageBreakBefore w:val="0"/>
        <w:numPr>
          <w:numId w:val="0"/>
        </w:numPr>
        <w:tabs>
          <w:tab w:val="left" w:pos="12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000000"/>
          <w:sz w:val="32"/>
          <w:szCs w:val="32"/>
        </w:rPr>
      </w:pPr>
    </w:p>
    <w:p w14:paraId="7019DFD2">
      <w:pPr>
        <w:pStyle w:val="12"/>
        <w:keepNext w:val="0"/>
        <w:keepLines w:val="0"/>
        <w:pageBreakBefore w:val="0"/>
        <w:numPr>
          <w:numId w:val="0"/>
        </w:numPr>
        <w:tabs>
          <w:tab w:val="left" w:pos="12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14:paraId="64637D21">
      <w:pPr>
        <w:pStyle w:val="12"/>
        <w:keepNext w:val="0"/>
        <w:keepLines w:val="0"/>
        <w:pageBreakBefore w:val="0"/>
        <w:numPr>
          <w:numId w:val="0"/>
        </w:numPr>
        <w:tabs>
          <w:tab w:val="left" w:pos="12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14:paraId="13B8C621">
      <w:pPr>
        <w:pStyle w:val="12"/>
        <w:keepNext w:val="0"/>
        <w:keepLines w:val="0"/>
        <w:pageBreakBefore w:val="0"/>
        <w:numPr>
          <w:numId w:val="0"/>
        </w:numPr>
        <w:tabs>
          <w:tab w:val="left" w:pos="12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14:paraId="058024A6">
      <w:pPr>
        <w:pStyle w:val="12"/>
        <w:keepNext w:val="0"/>
        <w:keepLines w:val="0"/>
        <w:pageBreakBefore w:val="0"/>
        <w:numPr>
          <w:numId w:val="0"/>
        </w:numPr>
        <w:tabs>
          <w:tab w:val="left" w:pos="12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14:paraId="7E988171">
      <w:pPr>
        <w:pStyle w:val="12"/>
        <w:keepNext w:val="0"/>
        <w:keepLines w:val="0"/>
        <w:pageBreakBefore w:val="0"/>
        <w:numPr>
          <w:numId w:val="0"/>
        </w:numPr>
        <w:tabs>
          <w:tab w:val="left" w:pos="120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14:paraId="4497E326">
      <w:pPr>
        <w:keepNext w:val="0"/>
        <w:keepLines w:val="0"/>
        <w:pageBreakBefore w:val="0"/>
        <w:kinsoku/>
        <w:wordWrap/>
        <w:overflowPunct/>
        <w:topLinePunct w:val="0"/>
        <w:autoSpaceDE/>
        <w:autoSpaceDN/>
        <w:bidi w:val="0"/>
        <w:adjustRightInd/>
        <w:snapToGrid/>
        <w:spacing w:after="120" w:afterAutospacing="0" w:line="600" w:lineRule="exact"/>
        <w:ind w:left="482" w:leftChars="0"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甲方：                                 乙方： </w:t>
      </w:r>
    </w:p>
    <w:p w14:paraId="2FC10D44">
      <w:pPr>
        <w:keepNext w:val="0"/>
        <w:keepLines w:val="0"/>
        <w:pageBreakBefore w:val="0"/>
        <w:kinsoku/>
        <w:wordWrap/>
        <w:overflowPunct/>
        <w:topLinePunct w:val="0"/>
        <w:autoSpaceDE/>
        <w:autoSpaceDN/>
        <w:bidi w:val="0"/>
        <w:adjustRightInd/>
        <w:snapToGrid/>
        <w:spacing w:after="120" w:afterAutospacing="0" w:line="600" w:lineRule="exact"/>
        <w:ind w:left="482" w:leftChars="0"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代表：                                 代表：</w:t>
      </w:r>
    </w:p>
    <w:p w14:paraId="6D2FB572">
      <w:pPr>
        <w:keepNext w:val="0"/>
        <w:keepLines w:val="0"/>
        <w:pageBreakBefore w:val="0"/>
        <w:kinsoku/>
        <w:wordWrap/>
        <w:overflowPunct/>
        <w:topLinePunct w:val="0"/>
        <w:autoSpaceDE/>
        <w:autoSpaceDN/>
        <w:bidi w:val="0"/>
        <w:adjustRightInd/>
        <w:snapToGrid/>
        <w:spacing w:after="120" w:afterAutospacing="0" w:line="600" w:lineRule="exact"/>
        <w:ind w:left="482" w:leftChars="0" w:firstLine="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日期：                                 日期：</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embedRegular r:id="rId1" w:fontKey="{B5EB49A9-23F7-4435-8FF3-2EEF1F1A5311}"/>
  </w:font>
  <w:font w:name="华文中宋">
    <w:panose1 w:val="02010600040101010101"/>
    <w:charset w:val="86"/>
    <w:family w:val="auto"/>
    <w:pitch w:val="default"/>
    <w:sig w:usb0="00000287" w:usb1="080F0000" w:usb2="00000000" w:usb3="00000000" w:csb0="0004009F" w:csb1="DFD70000"/>
    <w:embedRegular r:id="rId2" w:fontKey="{E90E13CD-CABA-467D-8AF4-9FCF5115D20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30"/>
      <w:lvlText w:val="%1)"/>
      <w:lvlJc w:val="left"/>
      <w:pPr>
        <w:tabs>
          <w:tab w:val="left" w:pos="1559"/>
        </w:tabs>
        <w:ind w:left="1559" w:hanging="419"/>
      </w:pPr>
      <w:rPr>
        <w:rFonts w:hint="eastAsia"/>
        <w:b/>
      </w:rPr>
    </w:lvl>
    <w:lvl w:ilvl="1" w:tentative="0">
      <w:start w:val="1"/>
      <w:numFmt w:val="lowerLetter"/>
      <w:lvlText w:val="%2)"/>
      <w:lvlJc w:val="left"/>
      <w:pPr>
        <w:tabs>
          <w:tab w:val="left" w:pos="1691"/>
        </w:tabs>
        <w:ind w:left="1691" w:hanging="420"/>
      </w:pPr>
    </w:lvl>
    <w:lvl w:ilvl="2" w:tentative="0">
      <w:start w:val="1"/>
      <w:numFmt w:val="lowerRoman"/>
      <w:lvlText w:val="%3."/>
      <w:lvlJc w:val="right"/>
      <w:pPr>
        <w:tabs>
          <w:tab w:val="left" w:pos="2111"/>
        </w:tabs>
        <w:ind w:left="2111" w:hanging="420"/>
      </w:pPr>
    </w:lvl>
    <w:lvl w:ilvl="3" w:tentative="0">
      <w:start w:val="1"/>
      <w:numFmt w:val="decimal"/>
      <w:lvlText w:val="%4."/>
      <w:lvlJc w:val="left"/>
      <w:pPr>
        <w:tabs>
          <w:tab w:val="left" w:pos="2531"/>
        </w:tabs>
        <w:ind w:left="2531" w:hanging="420"/>
      </w:pPr>
    </w:lvl>
    <w:lvl w:ilvl="4" w:tentative="0">
      <w:start w:val="1"/>
      <w:numFmt w:val="lowerLetter"/>
      <w:lvlText w:val="%5)"/>
      <w:lvlJc w:val="left"/>
      <w:pPr>
        <w:tabs>
          <w:tab w:val="left" w:pos="2951"/>
        </w:tabs>
        <w:ind w:left="2951" w:hanging="420"/>
      </w:pPr>
    </w:lvl>
    <w:lvl w:ilvl="5" w:tentative="0">
      <w:start w:val="1"/>
      <w:numFmt w:val="lowerRoman"/>
      <w:lvlText w:val="%6."/>
      <w:lvlJc w:val="right"/>
      <w:pPr>
        <w:tabs>
          <w:tab w:val="left" w:pos="3371"/>
        </w:tabs>
        <w:ind w:left="3371" w:hanging="420"/>
      </w:pPr>
    </w:lvl>
    <w:lvl w:ilvl="6" w:tentative="0">
      <w:start w:val="1"/>
      <w:numFmt w:val="decimal"/>
      <w:lvlText w:val="%7."/>
      <w:lvlJc w:val="left"/>
      <w:pPr>
        <w:tabs>
          <w:tab w:val="left" w:pos="3791"/>
        </w:tabs>
        <w:ind w:left="3791" w:hanging="420"/>
      </w:pPr>
    </w:lvl>
    <w:lvl w:ilvl="7" w:tentative="0">
      <w:start w:val="1"/>
      <w:numFmt w:val="lowerLetter"/>
      <w:lvlText w:val="%8)"/>
      <w:lvlJc w:val="left"/>
      <w:pPr>
        <w:tabs>
          <w:tab w:val="left" w:pos="4211"/>
        </w:tabs>
        <w:ind w:left="4211" w:hanging="420"/>
      </w:pPr>
    </w:lvl>
    <w:lvl w:ilvl="8" w:tentative="0">
      <w:start w:val="1"/>
      <w:numFmt w:val="lowerRoman"/>
      <w:lvlText w:val="%9."/>
      <w:lvlJc w:val="right"/>
      <w:pPr>
        <w:tabs>
          <w:tab w:val="left" w:pos="4631"/>
        </w:tabs>
        <w:ind w:left="4631" w:hanging="420"/>
      </w:pPr>
    </w:lvl>
  </w:abstractNum>
  <w:abstractNum w:abstractNumId="1">
    <w:nsid w:val="44740D8A"/>
    <w:multiLevelType w:val="singleLevel"/>
    <w:tmpl w:val="44740D8A"/>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MmRlZThhYzIzODhhMmNlNzVmZTFhMWU1MmI1NWYifQ=="/>
  </w:docVars>
  <w:rsids>
    <w:rsidRoot w:val="00172A27"/>
    <w:rsid w:val="00040FE8"/>
    <w:rsid w:val="001A7456"/>
    <w:rsid w:val="00CE63BB"/>
    <w:rsid w:val="00E74052"/>
    <w:rsid w:val="01750FE4"/>
    <w:rsid w:val="025977BA"/>
    <w:rsid w:val="03A5079A"/>
    <w:rsid w:val="04760C0A"/>
    <w:rsid w:val="058D40C7"/>
    <w:rsid w:val="05B04D60"/>
    <w:rsid w:val="077C5344"/>
    <w:rsid w:val="080B4FC2"/>
    <w:rsid w:val="087F3CD2"/>
    <w:rsid w:val="097007A7"/>
    <w:rsid w:val="0D58645B"/>
    <w:rsid w:val="0DB4351A"/>
    <w:rsid w:val="0DD23F22"/>
    <w:rsid w:val="0F831ED1"/>
    <w:rsid w:val="0FFC6214"/>
    <w:rsid w:val="14FE5F5C"/>
    <w:rsid w:val="15986D3D"/>
    <w:rsid w:val="164A05B0"/>
    <w:rsid w:val="17B46DA6"/>
    <w:rsid w:val="181C6DB0"/>
    <w:rsid w:val="1A1F7AB6"/>
    <w:rsid w:val="1C055C4B"/>
    <w:rsid w:val="200640D3"/>
    <w:rsid w:val="2007221C"/>
    <w:rsid w:val="2077437E"/>
    <w:rsid w:val="208F0A69"/>
    <w:rsid w:val="21341CA3"/>
    <w:rsid w:val="21AA717C"/>
    <w:rsid w:val="22EC3898"/>
    <w:rsid w:val="25DC5E46"/>
    <w:rsid w:val="28996270"/>
    <w:rsid w:val="2C224E15"/>
    <w:rsid w:val="2ECA5162"/>
    <w:rsid w:val="2F315B3E"/>
    <w:rsid w:val="2FEC22E5"/>
    <w:rsid w:val="312D696C"/>
    <w:rsid w:val="342A0AC5"/>
    <w:rsid w:val="363C3C73"/>
    <w:rsid w:val="36906408"/>
    <w:rsid w:val="37A60E8D"/>
    <w:rsid w:val="382102DF"/>
    <w:rsid w:val="38BA2B06"/>
    <w:rsid w:val="3A386AC6"/>
    <w:rsid w:val="3B1E7CF4"/>
    <w:rsid w:val="3CEA6C43"/>
    <w:rsid w:val="3DA40AF9"/>
    <w:rsid w:val="4300111E"/>
    <w:rsid w:val="448C0C5B"/>
    <w:rsid w:val="44E15A10"/>
    <w:rsid w:val="455A3528"/>
    <w:rsid w:val="45DF775B"/>
    <w:rsid w:val="46F43E80"/>
    <w:rsid w:val="47DD3053"/>
    <w:rsid w:val="48855A71"/>
    <w:rsid w:val="494C505B"/>
    <w:rsid w:val="49847611"/>
    <w:rsid w:val="4C0E68A7"/>
    <w:rsid w:val="4F3B460A"/>
    <w:rsid w:val="4FA33596"/>
    <w:rsid w:val="4FE92D8A"/>
    <w:rsid w:val="50A017DC"/>
    <w:rsid w:val="51851493"/>
    <w:rsid w:val="519C2862"/>
    <w:rsid w:val="52544425"/>
    <w:rsid w:val="53FC32B4"/>
    <w:rsid w:val="54D335E3"/>
    <w:rsid w:val="555519F1"/>
    <w:rsid w:val="5800524C"/>
    <w:rsid w:val="59721154"/>
    <w:rsid w:val="5ACD6AB0"/>
    <w:rsid w:val="5C352891"/>
    <w:rsid w:val="5FE134B3"/>
    <w:rsid w:val="6130092A"/>
    <w:rsid w:val="658A7771"/>
    <w:rsid w:val="67117D68"/>
    <w:rsid w:val="695163BB"/>
    <w:rsid w:val="697D2621"/>
    <w:rsid w:val="698A1E29"/>
    <w:rsid w:val="6C4C02BE"/>
    <w:rsid w:val="6C971E70"/>
    <w:rsid w:val="6F86427B"/>
    <w:rsid w:val="70A9584C"/>
    <w:rsid w:val="718E6DD5"/>
    <w:rsid w:val="71B85EBD"/>
    <w:rsid w:val="72C862FF"/>
    <w:rsid w:val="755A17DA"/>
    <w:rsid w:val="761B6BA6"/>
    <w:rsid w:val="77034176"/>
    <w:rsid w:val="781D46A9"/>
    <w:rsid w:val="793D0D94"/>
    <w:rsid w:val="7C1660BD"/>
    <w:rsid w:val="7C2A49E3"/>
    <w:rsid w:val="7DC66C50"/>
    <w:rsid w:val="7E5E656D"/>
    <w:rsid w:val="7EBD3B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1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9"/>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semiHidden/>
    <w:unhideWhenUsed/>
    <w:qFormat/>
    <w:uiPriority w:val="9"/>
    <w:pPr>
      <w:keepNext w:val="0"/>
      <w:keepLines w:val="0"/>
      <w:widowControl w:val="0"/>
      <w:spacing w:beforeAutospacing="0" w:after="120" w:afterAutospacing="0" w:line="300" w:lineRule="auto"/>
      <w:jc w:val="left"/>
      <w:outlineLvl w:val="2"/>
    </w:pPr>
    <w:rPr>
      <w:rFonts w:ascii="Times New Roman" w:hAnsi="Times New Roman" w:eastAsia="宋体" w:cs="Times New Roman"/>
      <w:sz w:val="24"/>
    </w:rPr>
  </w:style>
  <w:style w:type="paragraph" w:styleId="5">
    <w:name w:val="heading 4"/>
    <w:next w:val="1"/>
    <w:qFormat/>
    <w:uiPriority w:val="10"/>
    <w:pPr>
      <w:keepNext w:val="0"/>
      <w:keepLines w:val="0"/>
      <w:widowControl w:val="0"/>
      <w:spacing w:beforeAutospacing="0" w:after="120" w:afterAutospacing="0" w:line="300" w:lineRule="auto"/>
      <w:outlineLvl w:val="3"/>
    </w:pPr>
    <w:rPr>
      <w:rFonts w:ascii="Times New Roman" w:hAnsi="Times New Roman" w:eastAsia="宋体" w:cs="Times New Roman"/>
      <w:sz w:val="24"/>
    </w:rPr>
  </w:style>
  <w:style w:type="paragraph" w:styleId="6">
    <w:name w:val="heading 5"/>
    <w:next w:val="1"/>
    <w:semiHidden/>
    <w:unhideWhenUsed/>
    <w:qFormat/>
    <w:uiPriority w:val="9"/>
    <w:pPr>
      <w:keepNext w:val="0"/>
      <w:keepLines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7">
    <w:name w:val="heading 6"/>
    <w:next w:val="1"/>
    <w:semiHidden/>
    <w:unhideWhenUsed/>
    <w:qFormat/>
    <w:uiPriority w:val="9"/>
    <w:pPr>
      <w:keepNext w:val="0"/>
      <w:keepLines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9"/>
    <w:pPr>
      <w:keepNext w:val="0"/>
      <w:keepLines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9"/>
    <w:pPr>
      <w:keepNext w:val="0"/>
      <w:keepLines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9"/>
    <w:pPr>
      <w:keepNext w:val="0"/>
      <w:keepLines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22">
    <w:name w:val="Default Paragraph Font"/>
    <w:uiPriority w:val="0"/>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12">
    <w:name w:val="Body Text"/>
    <w:semiHidden/>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13">
    <w:name w:val="Body Text Indent"/>
    <w:basedOn w:val="1"/>
    <w:qFormat/>
    <w:uiPriority w:val="0"/>
    <w:pPr>
      <w:ind w:firstLine="496" w:firstLineChars="236"/>
    </w:pPr>
    <w:rPr>
      <w:rFonts w:ascii="宋体" w:hAnsi="宋体"/>
      <w:szCs w:val="21"/>
    </w:rPr>
  </w:style>
  <w:style w:type="paragraph" w:styleId="14">
    <w:name w:val="Plain Text"/>
    <w:basedOn w:val="1"/>
    <w:qFormat/>
    <w:uiPriority w:val="0"/>
    <w:rPr>
      <w:rFonts w:ascii="宋体" w:hAnsi="Courier New"/>
      <w:sz w:val="21"/>
    </w:rPr>
  </w:style>
  <w:style w:type="paragraph" w:styleId="15">
    <w:name w:val="Balloon Text"/>
    <w:basedOn w:val="1"/>
    <w:qFormat/>
    <w:uiPriority w:val="0"/>
    <w:rPr>
      <w:sz w:val="18"/>
      <w:szCs w:val="18"/>
    </w:rPr>
  </w:style>
  <w:style w:type="paragraph" w:styleId="16">
    <w:name w:val="footer"/>
    <w:basedOn w:val="1"/>
    <w:link w:val="24"/>
    <w:unhideWhenUsed/>
    <w:qFormat/>
    <w:uiPriority w:val="0"/>
    <w:pPr>
      <w:tabs>
        <w:tab w:val="center" w:pos="4153"/>
        <w:tab w:val="right" w:pos="8306"/>
      </w:tabs>
      <w:snapToGrid w:val="0"/>
      <w:jc w:val="left"/>
    </w:pPr>
    <w:rPr>
      <w:sz w:val="18"/>
      <w:szCs w:val="18"/>
    </w:rPr>
  </w:style>
  <w:style w:type="paragraph" w:styleId="17">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qFormat/>
    <w:uiPriority w:val="11"/>
    <w:pPr>
      <w:widowControl w:val="0"/>
      <w:spacing w:before="120" w:beforeLines="0" w:beforeAutospacing="0" w:after="240" w:afterAutospacing="0" w:line="360" w:lineRule="auto"/>
      <w:jc w:val="center"/>
      <w:outlineLvl w:val="9"/>
    </w:pPr>
    <w:rPr>
      <w:rFonts w:ascii="Calibri" w:hAnsi="Calibri" w:eastAsia="宋体" w:cs="Times New Roman"/>
      <w:b/>
      <w:kern w:val="28"/>
      <w:sz w:val="24"/>
    </w:rPr>
  </w:style>
  <w:style w:type="paragraph" w:styleId="19">
    <w:name w:val="Normal (Web)"/>
    <w:basedOn w:val="1"/>
    <w:unhideWhenUsed/>
    <w:qFormat/>
    <w:uiPriority w:val="99"/>
    <w:rPr>
      <w:sz w:val="24"/>
    </w:rPr>
  </w:style>
  <w:style w:type="paragraph" w:styleId="20">
    <w:name w:val="Title"/>
    <w:qFormat/>
    <w:uiPriority w:val="10"/>
    <w:pPr>
      <w:widowControl w:val="0"/>
      <w:spacing w:beforeAutospacing="0" w:afterAutospacing="0" w:line="360" w:lineRule="auto"/>
      <w:jc w:val="center"/>
      <w:outlineLvl w:val="9"/>
    </w:pPr>
    <w:rPr>
      <w:rFonts w:ascii="Times New Roman" w:hAnsi="Times New Roman" w:eastAsia="黑体" w:cs="Times New Roman"/>
      <w:sz w:val="44"/>
    </w:rPr>
  </w:style>
  <w:style w:type="character" w:styleId="23">
    <w:name w:val="Hyperlink"/>
    <w:basedOn w:val="22"/>
    <w:unhideWhenUsed/>
    <w:qFormat/>
    <w:uiPriority w:val="99"/>
    <w:rPr>
      <w:color w:val="0000FF"/>
      <w:u w:val="single"/>
    </w:rPr>
  </w:style>
  <w:style w:type="character" w:customStyle="1" w:styleId="24">
    <w:name w:val="页脚 Char"/>
    <w:basedOn w:val="22"/>
    <w:link w:val="16"/>
    <w:semiHidden/>
    <w:qFormat/>
    <w:uiPriority w:val="0"/>
    <w:rPr>
      <w:kern w:val="2"/>
      <w:sz w:val="18"/>
      <w:szCs w:val="18"/>
    </w:rPr>
  </w:style>
  <w:style w:type="character" w:customStyle="1" w:styleId="25">
    <w:name w:val="页眉 Char"/>
    <w:basedOn w:val="22"/>
    <w:link w:val="17"/>
    <w:semiHidden/>
    <w:qFormat/>
    <w:uiPriority w:val="0"/>
    <w:rPr>
      <w:kern w:val="2"/>
      <w:sz w:val="18"/>
      <w:szCs w:val="18"/>
    </w:rPr>
  </w:style>
  <w:style w:type="character" w:customStyle="1" w:styleId="26">
    <w:name w:val="font01"/>
    <w:basedOn w:val="22"/>
    <w:qFormat/>
    <w:uiPriority w:val="0"/>
    <w:rPr>
      <w:rFonts w:hint="default" w:ascii="Arial" w:hAnsi="Arial" w:cs="Arial"/>
      <w:color w:val="FF0000"/>
      <w:sz w:val="20"/>
      <w:szCs w:val="20"/>
      <w:u w:val="none"/>
    </w:rPr>
  </w:style>
  <w:style w:type="character" w:customStyle="1" w:styleId="27">
    <w:name w:val="font21"/>
    <w:basedOn w:val="22"/>
    <w:qFormat/>
    <w:uiPriority w:val="0"/>
    <w:rPr>
      <w:rFonts w:hint="eastAsia" w:ascii="宋体" w:hAnsi="宋体" w:eastAsia="宋体" w:cs="宋体"/>
      <w:color w:val="FF0000"/>
      <w:sz w:val="20"/>
      <w:szCs w:val="20"/>
      <w:u w:val="none"/>
    </w:rPr>
  </w:style>
  <w:style w:type="character" w:customStyle="1" w:styleId="28">
    <w:name w:val="font11"/>
    <w:basedOn w:val="22"/>
    <w:qFormat/>
    <w:uiPriority w:val="0"/>
    <w:rPr>
      <w:rFonts w:ascii="Arial" w:hAnsi="Arial" w:cs="Arial"/>
      <w:color w:val="FF0000"/>
      <w:sz w:val="20"/>
      <w:szCs w:val="20"/>
      <w:u w:val="none"/>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正文2"/>
    <w:basedOn w:val="1"/>
    <w:qFormat/>
    <w:uiPriority w:val="0"/>
    <w:pPr>
      <w:numPr>
        <w:ilvl w:val="0"/>
        <w:numId w:val="1"/>
      </w:numPr>
      <w:autoSpaceDE w:val="0"/>
      <w:autoSpaceDN w:val="0"/>
      <w:adjustRightInd w:val="0"/>
      <w:spacing w:before="156" w:beforeLines="50" w:after="156" w:afterLines="50"/>
      <w:jc w:val="left"/>
    </w:pPr>
    <w:rPr>
      <w:rFonts w:ascii="Times New Roman"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5</Pages>
  <Words>1229</Words>
  <Characters>1275</Characters>
  <Lines>24</Lines>
  <Paragraphs>6</Paragraphs>
  <TotalTime>2</TotalTime>
  <ScaleCrop>false</ScaleCrop>
  <LinksUpToDate>false</LinksUpToDate>
  <CharactersWithSpaces>1462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2017-03-04T06:47:00Z</dcterms:created>
  <dc:creator>zhenhaiyan</dc:creator>
  <cp:lastModifiedBy>李万聪</cp:lastModifiedBy>
  <cp:lastPrinted>2020-09-25T02:35:00Z</cp:lastPrinted>
  <dcterms:modified xsi:type="dcterms:W3CDTF">2026-02-03T07:49:03Z</dcterms:modified>
  <dc:title>攀枝花新钢钒股份有限公司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DBAEC0253CA744C19141C6042BCDCDF6</vt:lpwstr>
  </property>
  <property fmtid="{D5CDD505-2E9C-101B-9397-08002B2CF9AE}" pid="4" name="KSOTemplateDocerSaveRecord">
    <vt:lpwstr>eyJoZGlkIjoiOTc2MmRlZThhYzIzODhhMmNlNzVmZTFhMWU1MmI1NWYiLCJ1c2VySWQiOiI1ODM4MjU0ODEifQ==</vt:lpwstr>
  </property>
</Properties>
</file>