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0A252">
      <w:pPr>
        <w:snapToGrid w:val="0"/>
        <w:spacing w:line="360" w:lineRule="auto"/>
        <w:ind w:right="2" w:rightChars="1"/>
        <w:jc w:val="center"/>
        <w:rPr>
          <w:rFonts w:hint="eastAsia" w:ascii="宋体" w:hAnsi="宋体"/>
          <w:b/>
          <w:sz w:val="44"/>
          <w:szCs w:val="44"/>
        </w:rPr>
      </w:pPr>
    </w:p>
    <w:p w14:paraId="6557C31D">
      <w:pPr>
        <w:snapToGrid w:val="0"/>
        <w:spacing w:line="360" w:lineRule="auto"/>
        <w:ind w:right="2" w:rightChars="1"/>
        <w:jc w:val="center"/>
        <w:rPr>
          <w:rFonts w:hint="eastAsia" w:ascii="宋体" w:hAnsi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</w:rPr>
        <w:t>甘肃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东兴嘉宇新材料有限</w:t>
      </w:r>
      <w:r>
        <w:rPr>
          <w:rFonts w:hint="eastAsia" w:ascii="宋体" w:hAnsi="宋体"/>
          <w:b/>
          <w:sz w:val="44"/>
          <w:szCs w:val="44"/>
        </w:rPr>
        <w:t>公司</w:t>
      </w:r>
    </w:p>
    <w:p w14:paraId="41F69AC1">
      <w:pPr>
        <w:snapToGrid w:val="0"/>
        <w:spacing w:line="360" w:lineRule="auto"/>
        <w:ind w:right="2" w:rightChars="1"/>
        <w:jc w:val="center"/>
        <w:rPr>
          <w:rFonts w:hint="eastAsia" w:ascii="宋体" w:hAnsi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三级布流分流块采购</w:t>
      </w:r>
    </w:p>
    <w:p w14:paraId="7A03AC8D">
      <w:pPr>
        <w:snapToGrid w:val="0"/>
        <w:spacing w:line="360" w:lineRule="auto"/>
        <w:ind w:right="2" w:rightChars="1"/>
        <w:jc w:val="center"/>
        <w:rPr>
          <w:rFonts w:hint="eastAsia" w:ascii="宋体" w:hAnsi="宋体"/>
          <w:b/>
          <w:sz w:val="44"/>
          <w:szCs w:val="44"/>
          <w:lang w:eastAsia="zh-CN"/>
        </w:rPr>
      </w:pPr>
    </w:p>
    <w:p w14:paraId="5A9D77E3">
      <w:pPr>
        <w:snapToGrid w:val="0"/>
        <w:spacing w:line="360" w:lineRule="auto"/>
        <w:ind w:right="2" w:rightChars="1"/>
        <w:jc w:val="center"/>
        <w:rPr>
          <w:rFonts w:hint="eastAsia" w:ascii="宋体" w:hAnsi="宋体"/>
          <w:b/>
          <w:sz w:val="44"/>
          <w:szCs w:val="44"/>
          <w:lang w:eastAsia="zh-CN"/>
        </w:rPr>
      </w:pPr>
    </w:p>
    <w:p w14:paraId="796B5911">
      <w:pPr>
        <w:snapToGrid w:val="0"/>
        <w:spacing w:line="360" w:lineRule="auto"/>
        <w:ind w:right="2" w:rightChars="1"/>
        <w:jc w:val="center"/>
        <w:rPr>
          <w:rFonts w:hint="eastAsia" w:ascii="宋体" w:hAnsi="宋体"/>
          <w:b/>
          <w:sz w:val="44"/>
          <w:szCs w:val="44"/>
          <w:lang w:eastAsia="zh-CN"/>
        </w:rPr>
      </w:pPr>
    </w:p>
    <w:p w14:paraId="4F57D733">
      <w:pPr>
        <w:snapToGrid w:val="0"/>
        <w:spacing w:line="360" w:lineRule="auto"/>
        <w:ind w:right="2" w:rightChars="1"/>
        <w:jc w:val="center"/>
        <w:rPr>
          <w:rFonts w:hint="eastAsia" w:ascii="宋体" w:hAnsi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技</w:t>
      </w:r>
    </w:p>
    <w:p w14:paraId="1EBDFFDA">
      <w:pPr>
        <w:snapToGrid w:val="0"/>
        <w:spacing w:line="360" w:lineRule="auto"/>
        <w:ind w:right="2" w:rightChars="1"/>
        <w:jc w:val="center"/>
        <w:rPr>
          <w:rFonts w:hint="eastAsia" w:ascii="宋体" w:hAnsi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术</w:t>
      </w:r>
    </w:p>
    <w:p w14:paraId="7A7CDBCC">
      <w:pPr>
        <w:snapToGrid w:val="0"/>
        <w:spacing w:line="360" w:lineRule="auto"/>
        <w:ind w:right="2" w:rightChars="1"/>
        <w:jc w:val="center"/>
        <w:rPr>
          <w:rFonts w:hint="default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规</w:t>
      </w:r>
    </w:p>
    <w:p w14:paraId="0AD90C57">
      <w:pPr>
        <w:snapToGrid w:val="0"/>
        <w:spacing w:line="360" w:lineRule="auto"/>
        <w:ind w:right="2" w:rightChars="1"/>
        <w:jc w:val="center"/>
        <w:rPr>
          <w:rFonts w:hint="eastAsia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格</w:t>
      </w:r>
    </w:p>
    <w:p w14:paraId="45C03A61">
      <w:pPr>
        <w:snapToGrid w:val="0"/>
        <w:spacing w:line="360" w:lineRule="auto"/>
        <w:ind w:right="2" w:rightChars="1"/>
        <w:jc w:val="center"/>
        <w:rPr>
          <w:rFonts w:hint="eastAsia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书</w:t>
      </w:r>
    </w:p>
    <w:p w14:paraId="5D641038">
      <w:pPr>
        <w:snapToGrid w:val="0"/>
        <w:spacing w:line="360" w:lineRule="auto"/>
        <w:ind w:right="2" w:rightChars="1"/>
        <w:jc w:val="both"/>
        <w:rPr>
          <w:rFonts w:hint="eastAsia" w:ascii="宋体" w:hAnsi="宋体"/>
          <w:b/>
          <w:sz w:val="32"/>
          <w:szCs w:val="32"/>
          <w:lang w:eastAsia="zh-CN"/>
        </w:rPr>
      </w:pPr>
    </w:p>
    <w:p w14:paraId="01C9576F">
      <w:pPr>
        <w:snapToGrid w:val="0"/>
        <w:spacing w:line="360" w:lineRule="auto"/>
        <w:ind w:right="2" w:rightChars="1"/>
        <w:jc w:val="both"/>
        <w:rPr>
          <w:rFonts w:hint="eastAsia" w:ascii="宋体" w:hAnsi="宋体"/>
          <w:b/>
          <w:sz w:val="32"/>
          <w:szCs w:val="32"/>
          <w:lang w:eastAsia="zh-CN"/>
        </w:rPr>
      </w:pPr>
    </w:p>
    <w:p w14:paraId="319163F3">
      <w:pPr>
        <w:snapToGrid w:val="0"/>
        <w:spacing w:line="360" w:lineRule="auto"/>
        <w:ind w:right="2" w:rightChars="1"/>
        <w:jc w:val="both"/>
        <w:rPr>
          <w:rFonts w:hint="eastAsia" w:ascii="宋体" w:hAnsi="宋体"/>
          <w:b/>
          <w:sz w:val="32"/>
          <w:szCs w:val="32"/>
          <w:lang w:eastAsia="zh-CN"/>
        </w:rPr>
      </w:pPr>
    </w:p>
    <w:p w14:paraId="38592E44">
      <w:pPr>
        <w:snapToGrid w:val="0"/>
        <w:spacing w:line="360" w:lineRule="auto"/>
        <w:ind w:right="2" w:rightChars="1"/>
        <w:jc w:val="both"/>
        <w:rPr>
          <w:rFonts w:hint="eastAsia" w:ascii="宋体" w:hAnsi="宋体"/>
          <w:b/>
          <w:sz w:val="32"/>
          <w:szCs w:val="32"/>
          <w:lang w:eastAsia="zh-CN"/>
        </w:rPr>
      </w:pPr>
    </w:p>
    <w:p w14:paraId="58568AA9">
      <w:pPr>
        <w:snapToGrid w:val="0"/>
        <w:spacing w:line="360" w:lineRule="auto"/>
        <w:ind w:right="2" w:rightChars="1" w:firstLine="1606" w:firstLineChars="500"/>
        <w:jc w:val="both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甲方：甘肃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东兴嘉宇新材料有限</w:t>
      </w:r>
      <w:r>
        <w:rPr>
          <w:rFonts w:hint="eastAsia" w:ascii="宋体" w:hAnsi="宋体"/>
          <w:b/>
          <w:sz w:val="32"/>
          <w:szCs w:val="32"/>
          <w:lang w:eastAsia="zh-CN"/>
        </w:rPr>
        <w:t>公司</w:t>
      </w:r>
    </w:p>
    <w:p w14:paraId="2CDD738F">
      <w:pPr>
        <w:snapToGrid w:val="0"/>
        <w:spacing w:line="360" w:lineRule="auto"/>
        <w:ind w:right="2" w:rightChars="1" w:firstLine="1606" w:firstLineChars="500"/>
        <w:jc w:val="both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乙方：</w:t>
      </w:r>
    </w:p>
    <w:p w14:paraId="3F494449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br w:type="page"/>
      </w:r>
    </w:p>
    <w:p w14:paraId="7CCAD047">
      <w:pPr>
        <w:tabs>
          <w:tab w:val="left" w:pos="5685"/>
        </w:tabs>
        <w:spacing w:line="360" w:lineRule="auto"/>
        <w:jc w:val="left"/>
        <w:outlineLvl w:val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概述</w:t>
      </w:r>
    </w:p>
    <w:p w14:paraId="1BDC29B4">
      <w:pPr>
        <w:tabs>
          <w:tab w:val="left" w:pos="5685"/>
        </w:tabs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甲方向乙方采购的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三级布流用分流块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/>
        </w:rPr>
        <w:t>事宜中有关物资的供货要求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、技术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技术规格书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都已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进行了充分讨论，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/>
        </w:rPr>
        <w:t>经双方友好协商达成协议。</w:t>
      </w:r>
    </w:p>
    <w:p w14:paraId="01F5D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cs="仿宋"/>
          <w:b/>
          <w:bCs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 xml:space="preserve"> 适用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范围</w:t>
      </w:r>
    </w:p>
    <w:p w14:paraId="22315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本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技术规格书</w:t>
      </w:r>
      <w:r>
        <w:rPr>
          <w:rFonts w:hint="eastAsia" w:ascii="仿宋" w:hAnsi="仿宋" w:eastAsia="仿宋" w:cs="仿宋"/>
          <w:kern w:val="0"/>
          <w:sz w:val="28"/>
          <w:szCs w:val="28"/>
        </w:rPr>
        <w:t>规定了公司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三级布流用分流块</w:t>
      </w:r>
      <w:r>
        <w:rPr>
          <w:rFonts w:hint="eastAsia" w:ascii="仿宋" w:hAnsi="仿宋" w:eastAsia="仿宋" w:cs="仿宋"/>
          <w:kern w:val="0"/>
          <w:sz w:val="28"/>
          <w:szCs w:val="28"/>
        </w:rPr>
        <w:t>的技术要求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</w:rPr>
        <w:t>试验方法、检验规则等。</w:t>
      </w:r>
    </w:p>
    <w:p w14:paraId="1F001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本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技术规格书</w:t>
      </w:r>
      <w:r>
        <w:rPr>
          <w:rFonts w:hint="eastAsia" w:ascii="仿宋" w:hAnsi="仿宋" w:eastAsia="仿宋" w:cs="仿宋"/>
          <w:kern w:val="0"/>
          <w:sz w:val="28"/>
          <w:szCs w:val="28"/>
        </w:rPr>
        <w:t>适用于公司从外部采购的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三级布流用分流块</w:t>
      </w:r>
      <w:r>
        <w:rPr>
          <w:rFonts w:hint="eastAsia" w:ascii="仿宋" w:hAnsi="仿宋" w:eastAsia="仿宋" w:cs="仿宋"/>
          <w:kern w:val="0"/>
          <w:sz w:val="28"/>
          <w:szCs w:val="28"/>
        </w:rPr>
        <w:t>的检验和验收。</w:t>
      </w:r>
    </w:p>
    <w:p w14:paraId="0CEDD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hanging="4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技术要求</w:t>
      </w:r>
    </w:p>
    <w:tbl>
      <w:tblPr>
        <w:tblStyle w:val="2"/>
        <w:tblW w:w="96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0"/>
        <w:gridCol w:w="1875"/>
        <w:gridCol w:w="1845"/>
        <w:gridCol w:w="5193"/>
      </w:tblGrid>
      <w:tr w14:paraId="66715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1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015B8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要求使用温度(℃)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84AF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最高1260℃，常态持续使用温度800℃</w:t>
            </w:r>
          </w:p>
        </w:tc>
      </w:tr>
      <w:tr w14:paraId="499D8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4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00AB3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24小时后加热永久线线性收缩变化(%)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C02F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≤0.5</w:t>
            </w:r>
          </w:p>
        </w:tc>
      </w:tr>
      <w:tr w14:paraId="2186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00657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热膨胀系数（700℃，m／m.℃）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9B68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2.77×10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-6</w:t>
            </w:r>
          </w:p>
        </w:tc>
      </w:tr>
      <w:tr w14:paraId="40249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4" w:hRule="atLeast"/>
          <w:jc w:val="center"/>
        </w:trPr>
        <w:tc>
          <w:tcPr>
            <w:tcW w:w="2625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27D73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理论导热系数</w:t>
            </w:r>
          </w:p>
          <w:p w14:paraId="43D12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W/(m·k)</w:t>
            </w:r>
          </w:p>
        </w:tc>
        <w:tc>
          <w:tcPr>
            <w:tcW w:w="1845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616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(平均720℃)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3F0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≤0.12</w:t>
            </w:r>
          </w:p>
        </w:tc>
      </w:tr>
      <w:tr w14:paraId="57273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1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FC85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抗压强度(Mpa)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03F25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</w:t>
            </w:r>
          </w:p>
        </w:tc>
      </w:tr>
      <w:tr w14:paraId="4406A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1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2BE22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抗折强度(Mpa)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5A9A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≥15</w:t>
            </w:r>
          </w:p>
        </w:tc>
      </w:tr>
      <w:tr w14:paraId="13496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1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0213B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理论体积密度(kg/m3)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8942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0.6-1.5</w:t>
            </w:r>
          </w:p>
        </w:tc>
      </w:tr>
      <w:tr w14:paraId="0E12B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  <w:jc w:val="center"/>
        </w:trPr>
        <w:tc>
          <w:tcPr>
            <w:tcW w:w="750" w:type="dxa"/>
            <w:vMerge w:val="restart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3806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</w:t>
            </w:r>
          </w:p>
          <w:p w14:paraId="4F470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</w:t>
            </w:r>
          </w:p>
          <w:p w14:paraId="7B0B3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</w:t>
            </w:r>
          </w:p>
          <w:p w14:paraId="3DD02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66B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AL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(%)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7B196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≥50.4</w:t>
            </w:r>
          </w:p>
        </w:tc>
      </w:tr>
      <w:tr w14:paraId="6AA97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1" w:hRule="atLeast"/>
          <w:jc w:val="center"/>
        </w:trPr>
        <w:tc>
          <w:tcPr>
            <w:tcW w:w="750" w:type="dxa"/>
            <w:vMerge w:val="continue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29066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30952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(%)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E349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≥50</w:t>
            </w:r>
          </w:p>
        </w:tc>
      </w:tr>
      <w:tr w14:paraId="685AF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1" w:hRule="atLeast"/>
          <w:jc w:val="center"/>
        </w:trPr>
        <w:tc>
          <w:tcPr>
            <w:tcW w:w="750" w:type="dxa"/>
            <w:vMerge w:val="continue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7875D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7FD3D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(%)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E8D2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≤0.14</w:t>
            </w:r>
          </w:p>
        </w:tc>
      </w:tr>
      <w:tr w14:paraId="6C65D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  <w:jc w:val="center"/>
        </w:trPr>
        <w:tc>
          <w:tcPr>
            <w:tcW w:w="750" w:type="dxa"/>
            <w:vMerge w:val="continue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A650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7AE2C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AL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＋SiO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(%)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3E7DB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≥97</w:t>
            </w:r>
          </w:p>
        </w:tc>
      </w:tr>
      <w:tr w14:paraId="20B6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4" w:hRule="atLeast"/>
          <w:jc w:val="center"/>
        </w:trPr>
        <w:tc>
          <w:tcPr>
            <w:tcW w:w="750" w:type="dxa"/>
            <w:vMerge w:val="continue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1391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39A57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</w:t>
            </w:r>
            <w:r>
              <w:rPr>
                <w:rFonts w:hint="eastAsia" w:ascii="仿宋" w:hAnsi="仿宋" w:eastAsia="仿宋" w:cs="仿宋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</w:rPr>
              <w:t>％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312EF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</w:rPr>
              <w:t>＜0.05</w:t>
            </w:r>
          </w:p>
        </w:tc>
      </w:tr>
      <w:tr w14:paraId="58FF2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2F7FB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产品规格(mm)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DA5F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按图纸生产</w:t>
            </w:r>
          </w:p>
        </w:tc>
      </w:tr>
      <w:tr w14:paraId="5F7D6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5FB0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包装形式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A41D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内塑料防潮包裹，加防震保护，木箱外包装</w:t>
            </w:r>
          </w:p>
        </w:tc>
      </w:tr>
    </w:tbl>
    <w:p w14:paraId="39F32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hanging="40" w:firstLineChars="0"/>
        <w:jc w:val="left"/>
        <w:textAlignment w:val="auto"/>
        <w:outlineLvl w:val="9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4 图纸</w:t>
      </w:r>
    </w:p>
    <w:p w14:paraId="1484A092">
      <w:pPr>
        <w:ind w:firstLine="280" w:firstLineChars="1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4.1 1000mm铸咀分流块图纸</w:t>
      </w:r>
    </w:p>
    <w:p w14:paraId="07CD82C9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4.1.1 01图纸</w:t>
      </w:r>
    </w:p>
    <w:p w14:paraId="1DEAC4D1">
      <w:pPr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drawing>
          <wp:inline distT="0" distB="0" distL="114300" distR="114300">
            <wp:extent cx="4790440" cy="2879725"/>
            <wp:effectExtent l="0" t="0" r="10160" b="15875"/>
            <wp:docPr id="1" name="图片 1" descr="1776742864326_1C0C80D4-BD68-445d-A40D-6710008773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76742864326_1C0C80D4-BD68-445d-A40D-67100087733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B9507">
      <w:pPr>
        <w:ind w:firstLine="560" w:firstLineChars="200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4.1.2 02图纸</w:t>
      </w:r>
    </w:p>
    <w:p w14:paraId="26F4A929">
      <w:pPr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drawing>
          <wp:inline distT="0" distB="0" distL="114300" distR="114300">
            <wp:extent cx="4930775" cy="2879725"/>
            <wp:effectExtent l="0" t="0" r="3175" b="15875"/>
            <wp:docPr id="2" name="图片 2" descr="1776743035583_61C908B9-B3C0-4fe5-8D96-600697EBD4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76743035583_61C908B9-B3C0-4fe5-8D96-600697EBD4F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077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13007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4.1.3 03图纸</w:t>
      </w:r>
    </w:p>
    <w:p w14:paraId="07A491A2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5194300" cy="2879725"/>
            <wp:effectExtent l="0" t="0" r="6350" b="15875"/>
            <wp:docPr id="3" name="图片 3" descr="1776743081118_F87CF867-0748-4a57-BD41-C65E83BD4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76743081118_F87CF867-0748-4a57-BD41-C65E83BD48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4300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0FE36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4.1.4 04图纸</w:t>
      </w:r>
    </w:p>
    <w:p w14:paraId="72AC2F46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5018405" cy="2879725"/>
            <wp:effectExtent l="0" t="0" r="10795" b="15875"/>
            <wp:docPr id="4" name="图片 4" descr="1776743127963_AA0789C0-02C0-4798-A176-1A204B05D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76743127963_AA0789C0-02C0-4798-A176-1A204B05D9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840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60F19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4.1.5 05图纸</w:t>
      </w:r>
    </w:p>
    <w:p w14:paraId="184D28CC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5013325" cy="2879725"/>
            <wp:effectExtent l="0" t="0" r="15875" b="15875"/>
            <wp:docPr id="5" name="图片 5" descr="1776743168290_69BAA464-1E09-4198-B624-E86350BC2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776743168290_69BAA464-1E09-4198-B624-E86350BC205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332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20051">
      <w:pPr>
        <w:ind w:firstLine="280" w:firstLineChars="1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4.2 1300mm铸咀分流块图纸</w:t>
      </w:r>
    </w:p>
    <w:p w14:paraId="611F2561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4.2.1 01图纸</w:t>
      </w:r>
    </w:p>
    <w:p w14:paraId="1090BA0A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805045" cy="2879725"/>
            <wp:effectExtent l="0" t="0" r="14605" b="15875"/>
            <wp:docPr id="6" name="图片 6" descr="1776743276540_D0B6803E-23B7-4e54-89D3-04C9553CB6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76743276540_D0B6803E-23B7-4e54-89D3-04C9553CB65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0504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12181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4.2.2 02图纸</w:t>
      </w:r>
    </w:p>
    <w:p w14:paraId="198DB063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812030" cy="2879725"/>
            <wp:effectExtent l="0" t="0" r="7620" b="15875"/>
            <wp:docPr id="7" name="图片 7" descr="1776743319292_44CF1192-3702-40a3-B1E4-CC90DDDF8E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76743319292_44CF1192-3702-40a3-B1E4-CC90DDDF8E3F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12030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93608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4.2.3 03图纸</w:t>
      </w:r>
    </w:p>
    <w:p w14:paraId="1350D2BE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810760" cy="2879725"/>
            <wp:effectExtent l="0" t="0" r="8890" b="15875"/>
            <wp:docPr id="8" name="图片 8" descr="1776743356555_7F4995DC-B6D5-40dd-9795-8A6138137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776743356555_7F4995DC-B6D5-40dd-9795-8A61381375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117C1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4.2.4 04图纸</w:t>
      </w:r>
    </w:p>
    <w:p w14:paraId="48BBF8A6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817745" cy="2879725"/>
            <wp:effectExtent l="0" t="0" r="1905" b="15875"/>
            <wp:docPr id="10" name="图片 10" descr="1776743494185_1835C878-ACEC-4c12-B8AD-66B6607DB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776743494185_1835C878-ACEC-4c12-B8AD-66B6607DB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774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8367E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4.2.5 05图纸</w:t>
      </w:r>
    </w:p>
    <w:p w14:paraId="63765764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821555" cy="2879725"/>
            <wp:effectExtent l="0" t="0" r="17145" b="15875"/>
            <wp:docPr id="9" name="图片 9" descr="1776743454552_28EEC64A-75E1-4870-B2DE-BAAA31F94E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776743454552_28EEC64A-75E1-4870-B2DE-BAAA31F94E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2155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B6EFB">
      <w:pPr>
        <w:ind w:firstLine="280" w:firstLineChars="1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 1700mm铸咀分流块图纸</w:t>
      </w:r>
    </w:p>
    <w:p w14:paraId="0E958F4F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4.3.1 01图纸</w:t>
      </w:r>
    </w:p>
    <w:p w14:paraId="6585DF6C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853305" cy="2879725"/>
            <wp:effectExtent l="0" t="0" r="4445" b="15875"/>
            <wp:docPr id="11" name="图片 11" descr="1776743556917_DCA5E53D-D637-4486-9463-53F2D8CAFD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776743556917_DCA5E53D-D637-4486-9463-53F2D8CAFD6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5330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01A88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4.3.2 02图纸</w:t>
      </w:r>
    </w:p>
    <w:p w14:paraId="7D5880B7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853305" cy="2879725"/>
            <wp:effectExtent l="0" t="0" r="4445" b="15875"/>
            <wp:docPr id="12" name="图片 12" descr="1776743605168_96EEB16F-BB65-4adb-89BB-278DA789E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776743605168_96EEB16F-BB65-4adb-89BB-278DA789E27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5330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C4C9E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4.3.3 03图纸</w:t>
      </w:r>
    </w:p>
    <w:p w14:paraId="0CDAB2EA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787900" cy="2863215"/>
            <wp:effectExtent l="0" t="0" r="12700" b="13335"/>
            <wp:docPr id="13" name="图片 13" descr="1776743633855_6ECE1867-DD83-45bf-8FBF-276FF3926C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776743633855_6ECE1867-DD83-45bf-8FBF-276FF3926C4A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87900" cy="286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30185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4.3.4 04图纸</w:t>
      </w:r>
    </w:p>
    <w:p w14:paraId="4112658A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843780" cy="2879725"/>
            <wp:effectExtent l="0" t="0" r="13970" b="15875"/>
            <wp:docPr id="14" name="图片 14" descr="1776743678897_DBDF26F3-9256-461f-81AE-208501FAF4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776743678897_DBDF26F3-9256-461f-81AE-208501FAF4B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43780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88719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4.3.5 05图纸</w:t>
      </w:r>
    </w:p>
    <w:p w14:paraId="05433798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799330" cy="2879725"/>
            <wp:effectExtent l="0" t="0" r="1270" b="15875"/>
            <wp:docPr id="15" name="图片 15" descr="1776743663887_013840FC-5269-432e-B1D0-9E57B369EA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776743663887_013840FC-5269-432e-B1D0-9E57B369EA9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99330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4158C">
      <w:pPr>
        <w:ind w:firstLine="280" w:firstLineChars="1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4.4 2100mm铸咀分流块图纸</w:t>
      </w:r>
    </w:p>
    <w:p w14:paraId="4CFBA88F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4.4.1 01图纸</w:t>
      </w:r>
    </w:p>
    <w:p w14:paraId="0DB05E14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841875" cy="2879725"/>
            <wp:effectExtent l="0" t="0" r="15875" b="15875"/>
            <wp:docPr id="16" name="图片 16" descr="1776743765870_63C566BE-19CF-4d33-907A-22B5401761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776743765870_63C566BE-19CF-4d33-907A-22B5401761B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4187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D81C3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4.4.2 02图纸</w:t>
      </w:r>
    </w:p>
    <w:p w14:paraId="4F500364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834255" cy="2879725"/>
            <wp:effectExtent l="0" t="0" r="4445" b="15875"/>
            <wp:docPr id="17" name="图片 17" descr="1776743835563_338A7A47-48AB-4b97-9A64-D27F9916C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776743835563_338A7A47-48AB-4b97-9A64-D27F9916C86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3425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A397A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4.4.3 03图纸</w:t>
      </w:r>
    </w:p>
    <w:p w14:paraId="65DAAFA8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895850" cy="2871470"/>
            <wp:effectExtent l="0" t="0" r="0" b="5080"/>
            <wp:docPr id="18" name="图片 18" descr="1776743964552_40968D4B-C48D-45de-993F-9B55D3D43D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776743964552_40968D4B-C48D-45de-993F-9B55D3D43D7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CE4E6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4.4.4 04图纸</w:t>
      </w:r>
    </w:p>
    <w:p w14:paraId="0A19E554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890770" cy="2879725"/>
            <wp:effectExtent l="0" t="0" r="5080" b="15875"/>
            <wp:docPr id="19" name="图片 19" descr="1776744070874_12A04649-47E0-4491-AE09-5072A7032F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776744070874_12A04649-47E0-4491-AE09-5072A7032FA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90770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7CAB3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4.4.5 05图纸</w:t>
      </w:r>
    </w:p>
    <w:p w14:paraId="78E189C2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4817745" cy="2879725"/>
            <wp:effectExtent l="0" t="0" r="1905" b="15875"/>
            <wp:docPr id="20" name="图片 20" descr="1776744135811_240BF41E-4613-46c5-80F3-A62027E78C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776744135811_240BF41E-4613-46c5-80F3-A62027E78C3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81774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5D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eastAsia="zh-CN"/>
        </w:rPr>
        <w:t>五、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检验规则</w:t>
      </w:r>
    </w:p>
    <w:p w14:paraId="57F59E56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5.1产品按连续正常生产的同一牌号组批。原料或生产工艺变动时，则应另行组批。</w:t>
      </w:r>
    </w:p>
    <w:p w14:paraId="0FD67831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5.2抽样</w:t>
      </w:r>
    </w:p>
    <w:p w14:paraId="2F7A3D49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产品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的抽样按GB/T 17617的规定进行。</w:t>
      </w:r>
    </w:p>
    <w:p w14:paraId="062AF2EA">
      <w:pPr>
        <w:spacing w:line="360" w:lineRule="auto"/>
        <w:ind w:firstLine="560" w:firstLineChars="2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5.3检验方法</w:t>
      </w:r>
    </w:p>
    <w:p w14:paraId="690BB88D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5.3.1化学分析按GB/T 6900进行。</w:t>
      </w:r>
    </w:p>
    <w:p w14:paraId="3B51488B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5.3.2耐火度的检验按GB/T 7322进行。</w:t>
      </w:r>
    </w:p>
    <w:p w14:paraId="7BBB9F1A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5.3.3粘接时间的试验按GB/T 22459.3进行。</w:t>
      </w:r>
    </w:p>
    <w:p w14:paraId="1C9251A6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5.3.4常温抗折粘结强度的检验按GB/T 22459.4进行。</w:t>
      </w:r>
    </w:p>
    <w:p w14:paraId="1AF2B372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5.3.5粒度筛分析按GB/T 22459.5进行。</w:t>
      </w:r>
    </w:p>
    <w:p w14:paraId="62321785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5.3.6荷重软化温度和加热永久线变化率的检验按GB/T 22459.7进行。</w:t>
      </w:r>
    </w:p>
    <w:p w14:paraId="3D2F1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甲方收货时只进行外观、尺寸公差验收，其他要求由乙方工艺保证。</w:t>
      </w:r>
    </w:p>
    <w:p w14:paraId="66EBD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hanging="38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 xml:space="preserve"> 标志、包装、运输及贮存</w:t>
      </w:r>
    </w:p>
    <w:p w14:paraId="33CA8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6.1包装、标志、运输、储存应符合GB/T 15545的规定。</w:t>
      </w:r>
    </w:p>
    <w:p w14:paraId="161E0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6.2产品发出时乙方应提供质量证明书和产品使用说明书， 质量证明书应载明供方名称、需方名称、生产日期、合同号、</w:t>
      </w:r>
      <w:r>
        <w:rPr>
          <w:rFonts w:hint="eastAsia" w:ascii="仿宋" w:hAnsi="仿宋" w:cs="仿宋"/>
          <w:kern w:val="0"/>
          <w:sz w:val="28"/>
          <w:szCs w:val="28"/>
          <w:lang w:val="en-US" w:eastAsia="zh-CN"/>
        </w:rPr>
        <w:t>技术规格书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编号、产品名称、牌号、批号、理化指标及保存期等内容。</w:t>
      </w:r>
    </w:p>
    <w:p w14:paraId="31DB1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74" w:leftChars="114" w:right="0" w:rightChars="0" w:firstLine="226" w:firstLineChars="81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28"/>
          <w:szCs w:val="28"/>
        </w:rPr>
        <w:t>.3 运输及贮存</w:t>
      </w:r>
      <w:r>
        <w:rPr>
          <w:rFonts w:hint="eastAsia" w:ascii="仿宋" w:hAnsi="仿宋" w:cs="仿宋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kern w:val="0"/>
          <w:sz w:val="28"/>
          <w:szCs w:val="28"/>
        </w:rPr>
        <w:t>运输及贮存中应防潮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。</w:t>
      </w:r>
    </w:p>
    <w:p w14:paraId="5EB95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hanging="38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7 保密条款</w:t>
      </w:r>
    </w:p>
    <w:p w14:paraId="1C163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仿宋" w:hAnsi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kern w:val="0"/>
          <w:sz w:val="28"/>
          <w:szCs w:val="28"/>
          <w:lang w:val="en-US" w:eastAsia="zh-CN"/>
        </w:rPr>
        <w:t>7.1 本协议内容经由甲乙双方与</w:t>
      </w:r>
      <w:r>
        <w:rPr>
          <w:rFonts w:hint="eastAsia" w:ascii="仿宋" w:hAnsi="仿宋" w:cs="仿宋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cs="仿宋"/>
          <w:kern w:val="0"/>
          <w:sz w:val="28"/>
          <w:szCs w:val="28"/>
          <w:lang w:val="en-US" w:eastAsia="zh-CN"/>
        </w:rPr>
        <w:t>年</w:t>
      </w:r>
      <w:r>
        <w:rPr>
          <w:rFonts w:hint="eastAsia" w:ascii="仿宋" w:hAnsi="仿宋" w:cs="仿宋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cs="仿宋"/>
          <w:kern w:val="0"/>
          <w:sz w:val="28"/>
          <w:szCs w:val="28"/>
          <w:lang w:val="en-US" w:eastAsia="zh-CN"/>
        </w:rPr>
        <w:t>月</w:t>
      </w:r>
      <w:r>
        <w:rPr>
          <w:rFonts w:hint="eastAsia" w:ascii="仿宋" w:hAnsi="仿宋" w:cs="仿宋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cs="仿宋"/>
          <w:kern w:val="0"/>
          <w:sz w:val="28"/>
          <w:szCs w:val="28"/>
          <w:lang w:val="en-US" w:eastAsia="zh-CN"/>
        </w:rPr>
        <w:t>日</w:t>
      </w:r>
      <w:r>
        <w:rPr>
          <w:rFonts w:hint="eastAsia" w:ascii="仿宋" w:hAnsi="仿宋" w:cs="仿宋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cs="仿宋"/>
          <w:kern w:val="0"/>
          <w:sz w:val="28"/>
          <w:szCs w:val="28"/>
          <w:lang w:val="en-US" w:eastAsia="zh-CN"/>
        </w:rPr>
        <w:t>时-</w:t>
      </w:r>
      <w:r>
        <w:rPr>
          <w:rFonts w:hint="eastAsia" w:ascii="仿宋" w:hAnsi="仿宋" w:cs="仿宋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cs="仿宋"/>
          <w:kern w:val="0"/>
          <w:sz w:val="28"/>
          <w:szCs w:val="28"/>
          <w:lang w:val="en-US" w:eastAsia="zh-CN"/>
        </w:rPr>
        <w:t>时通过</w:t>
      </w:r>
      <w:r>
        <w:rPr>
          <w:rFonts w:hint="eastAsia" w:ascii="仿宋" w:hAnsi="仿宋" w:cs="仿宋"/>
          <w:kern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cs="仿宋"/>
          <w:kern w:val="0"/>
          <w:sz w:val="28"/>
          <w:szCs w:val="28"/>
          <w:lang w:val="en-US" w:eastAsia="zh-CN"/>
        </w:rPr>
        <w:t>方式商定。</w:t>
      </w:r>
    </w:p>
    <w:p w14:paraId="4D117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仿宋" w:hAnsi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cs="仿宋"/>
          <w:kern w:val="0"/>
          <w:sz w:val="28"/>
          <w:szCs w:val="28"/>
          <w:lang w:val="en-US" w:eastAsia="zh-CN"/>
        </w:rPr>
        <w:t>7.2 甲乙双方应当就签订本协议的相关事宜保密，不得将签订主体、时间、内容等信息透露给其他第三人。</w:t>
      </w:r>
    </w:p>
    <w:p w14:paraId="2AE13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仿宋" w:hAnsi="仿宋" w:cs="仿宋"/>
          <w:kern w:val="0"/>
          <w:sz w:val="28"/>
          <w:szCs w:val="28"/>
          <w:lang w:val="en-US" w:eastAsia="zh-CN"/>
        </w:rPr>
      </w:pPr>
    </w:p>
    <w:p w14:paraId="72380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仿宋" w:hAnsi="仿宋" w:cs="仿宋"/>
          <w:kern w:val="0"/>
          <w:sz w:val="28"/>
          <w:szCs w:val="28"/>
          <w:lang w:val="en-US" w:eastAsia="zh-CN"/>
        </w:rPr>
      </w:pPr>
    </w:p>
    <w:p w14:paraId="585C8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仿宋" w:hAnsi="仿宋" w:cs="仿宋"/>
          <w:kern w:val="0"/>
          <w:sz w:val="28"/>
          <w:szCs w:val="28"/>
          <w:lang w:val="en-US" w:eastAsia="zh-CN"/>
        </w:rPr>
      </w:pPr>
    </w:p>
    <w:p w14:paraId="50354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仿宋" w:hAnsi="仿宋" w:cs="仿宋"/>
          <w:kern w:val="0"/>
          <w:sz w:val="28"/>
          <w:szCs w:val="28"/>
          <w:lang w:val="en-US" w:eastAsia="zh-CN"/>
        </w:rPr>
      </w:pPr>
    </w:p>
    <w:p w14:paraId="06565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/>
        <w:jc w:val="left"/>
        <w:textAlignment w:val="auto"/>
        <w:outlineLvl w:val="9"/>
        <w:rPr>
          <w:rFonts w:hint="default" w:ascii="仿宋" w:hAnsi="仿宋" w:cs="仿宋"/>
          <w:kern w:val="0"/>
          <w:sz w:val="28"/>
          <w:szCs w:val="28"/>
          <w:lang w:val="en-US" w:eastAsia="zh-CN"/>
        </w:rPr>
      </w:pPr>
    </w:p>
    <w:tbl>
      <w:tblPr>
        <w:tblStyle w:val="3"/>
        <w:tblW w:w="10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6"/>
        <w:gridCol w:w="5268"/>
      </w:tblGrid>
      <w:tr w14:paraId="7AF2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4906" w:type="dxa"/>
            <w:vAlign w:val="center"/>
          </w:tcPr>
          <w:p w14:paraId="37A25FA3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甲方</w:t>
            </w:r>
          </w:p>
        </w:tc>
        <w:tc>
          <w:tcPr>
            <w:tcW w:w="5268" w:type="dxa"/>
            <w:vAlign w:val="center"/>
          </w:tcPr>
          <w:p w14:paraId="6CB9E72F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hint="eastAsia" w:eastAsia="仿宋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eastAsia="zh-CN"/>
              </w:rPr>
              <w:t>乙方</w:t>
            </w:r>
          </w:p>
        </w:tc>
      </w:tr>
      <w:tr w14:paraId="18321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4906" w:type="dxa"/>
            <w:vAlign w:val="center"/>
          </w:tcPr>
          <w:p w14:paraId="3FDBFFFE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单位名称（章）：</w:t>
            </w:r>
          </w:p>
          <w:p w14:paraId="1F1B6CAC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eastAsia="zh-CN"/>
              </w:rPr>
              <w:t>甘肃东兴嘉宇新材料有限公司</w:t>
            </w:r>
          </w:p>
        </w:tc>
        <w:tc>
          <w:tcPr>
            <w:tcW w:w="5268" w:type="dxa"/>
            <w:vAlign w:val="center"/>
          </w:tcPr>
          <w:p w14:paraId="77481C0A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单位名称（章）：</w:t>
            </w:r>
          </w:p>
          <w:p w14:paraId="5EDA2191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  <w:tr w14:paraId="66C15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4906" w:type="dxa"/>
            <w:vAlign w:val="center"/>
          </w:tcPr>
          <w:p w14:paraId="0A847665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eastAsia="zh-CN"/>
              </w:rPr>
              <w:t>技术代表人</w:t>
            </w: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：</w:t>
            </w:r>
          </w:p>
        </w:tc>
        <w:tc>
          <w:tcPr>
            <w:tcW w:w="5268" w:type="dxa"/>
            <w:vAlign w:val="center"/>
          </w:tcPr>
          <w:p w14:paraId="45184F38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eastAsia="zh-CN"/>
              </w:rPr>
              <w:t>技术代表人</w:t>
            </w: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：</w:t>
            </w:r>
          </w:p>
        </w:tc>
      </w:tr>
      <w:tr w14:paraId="7C20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4906" w:type="dxa"/>
            <w:vAlign w:val="center"/>
          </w:tcPr>
          <w:p w14:paraId="344D301D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hint="default" w:eastAsia="宋体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联系电话：0937-671</w:t>
            </w: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8336</w:t>
            </w:r>
            <w:bookmarkStart w:id="0" w:name="_GoBack"/>
            <w:bookmarkEnd w:id="0"/>
          </w:p>
        </w:tc>
        <w:tc>
          <w:tcPr>
            <w:tcW w:w="5268" w:type="dxa"/>
            <w:vAlign w:val="center"/>
          </w:tcPr>
          <w:p w14:paraId="07CD7D0B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联系电话：</w:t>
            </w:r>
          </w:p>
        </w:tc>
      </w:tr>
      <w:tr w14:paraId="31119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906" w:type="dxa"/>
            <w:vAlign w:val="center"/>
          </w:tcPr>
          <w:p w14:paraId="1B15059B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日期：      年        月        日</w:t>
            </w:r>
          </w:p>
        </w:tc>
        <w:tc>
          <w:tcPr>
            <w:tcW w:w="5268" w:type="dxa"/>
            <w:vAlign w:val="center"/>
          </w:tcPr>
          <w:p w14:paraId="7F6F05AE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日期：      年        月        日</w:t>
            </w:r>
          </w:p>
        </w:tc>
      </w:tr>
    </w:tbl>
    <w:p w14:paraId="73B22123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kZWUyNzVmNGJiZDE3OWFjNmVlNTU4ZDliMzZkZjkifQ=="/>
  </w:docVars>
  <w:rsids>
    <w:rsidRoot w:val="3BBF1621"/>
    <w:rsid w:val="2A1F06CC"/>
    <w:rsid w:val="3BBF1621"/>
    <w:rsid w:val="6D5D0663"/>
    <w:rsid w:val="7A97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djustRightInd w:val="0"/>
      <w:spacing w:line="360" w:lineRule="atLeast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925</Words>
  <Characters>1262</Characters>
  <Lines>0</Lines>
  <Paragraphs>0</Paragraphs>
  <TotalTime>84</TotalTime>
  <ScaleCrop>false</ScaleCrop>
  <LinksUpToDate>false</LinksUpToDate>
  <CharactersWithSpaces>1368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2023-10-23T06:44:00Z</dcterms:created>
  <dc:creator>崔云龙</dc:creator>
  <cp:lastModifiedBy>朱福鹏</cp:lastModifiedBy>
  <dcterms:modified xsi:type="dcterms:W3CDTF">2026-04-21T08:17:35Z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3FF63E418B0940C78105F66BC76B0D07_13</vt:lpwstr>
  </property>
  <property fmtid="{D5CDD505-2E9C-101B-9397-08002B2CF9AE}" pid="4" name="KSOTemplateDocerSaveRecord">
    <vt:lpwstr>eyJoZGlkIjoiMzdjZTdiNWY3MWVjMWZmZjRhYjk5YzljZmMwMWYzMmIiLCJ1c2VySWQiOiIxNDg5MzA1MTEzIn0=</vt:lpwstr>
  </property>
</Properties>
</file>