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589E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酒钢集团东兴铝业公司嘉峪关分公司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铝电解网络化母线磁流体稳定性原位升级技术服务及项目安装采购</w:t>
      </w:r>
    </w:p>
    <w:p w14:paraId="0F58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安装地点</w:t>
      </w:r>
    </w:p>
    <w:p w14:paraId="1F7E83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酒钢集团东兴铝业公司嘉峪关分公司</w:t>
      </w:r>
    </w:p>
    <w:p w14:paraId="03B0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二、采购内容</w:t>
      </w:r>
    </w:p>
    <w:p w14:paraId="55A9DA4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在东兴铝业公司嘉峪关分公司电解一作业区100台电解槽开展网络化母线磁流体稳定性原位升级，在确保安全生产的前提下完成以下工作内容：</w:t>
      </w:r>
    </w:p>
    <w:p w14:paraId="20086C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东兴铝业公司嘉峪关分公司500kA系列研究电解一作业区原母线设计，并对100试验电解槽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母线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进行优化设计，优化电解槽磁场分布。</w:t>
      </w:r>
    </w:p>
    <w:p w14:paraId="023B64D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通过非区块化配置网络化母线，对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电解一作业区100台试验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电解槽母线进行改造处理，测量母线优化后电解槽的磁场分布，分析改进前后电解槽磁流体稳定性、可靠性和抗干扰能力，判断扰动恢复效率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7164BE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将所有出电侧母线进行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连通，并将局部进电侧母线进行连通，使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电解槽的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槽周围母线实现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最大化的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络化连接，重新矫正阳极大母线及阳极组、铝液层带来的电流分布偏差，阻断非稳定状态下（包括停槽期间、效应期间、异常摆动期间等）电流分布不均衡性在电解系列中的传导，大幅提高电解槽的操作稳定性和抗干扰能力。</w:t>
      </w:r>
    </w:p>
    <w:p w14:paraId="6D7ADA4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4.电解槽槽周围母线进行网络化自均衡母线技术改造后，对现有的阴极软带配置进行调整优化，保证每个阴极组电流均匀输出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F89B6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5.提供铝电解网络化母线磁流体稳定性原位升级技术资料，包括但不仅限于技术原理、设计依据、设计图纸等内容。</w:t>
      </w:r>
    </w:p>
    <w:p w14:paraId="0F889F0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至少20台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试验槽的电流效率、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平均电压、交流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电耗、极距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、阴极电流分布、薄弱部位磁场变化、抗干扰能力、扰动回复效率、电解槽运行状态、设备安全性能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数据做前后比较，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出具评价报告，完成竣工验收。</w:t>
      </w:r>
    </w:p>
    <w:p w14:paraId="21A83C6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7.提供网络化母线磁流体稳定性原位升级技术应用后，电解槽的工艺参数匹配及工艺优化提升技术指导方案。</w:t>
      </w:r>
    </w:p>
    <w:p w14:paraId="0A42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三、项目要求</w:t>
      </w:r>
    </w:p>
    <w:p w14:paraId="3B895ED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乙方负责项目要求的100台电解槽母线设计、项目材料及施工改造的全部内容，并达到项目目标。</w:t>
      </w:r>
    </w:p>
    <w:p w14:paraId="7828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right="458" w:rightChars="218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四、项目目标</w:t>
      </w:r>
    </w:p>
    <w:p w14:paraId="7216C5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1.采用网络化母线非区块化配置，大幅度提高电解槽磁流体稳定性、可靠性和抗干扰能力，扰动恢复时间降低30%以上。</w:t>
      </w:r>
    </w:p>
    <w:p w14:paraId="4A239F6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试验槽电流效率提高0.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个百分点，平均电压降低1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mV，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铝液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交流电耗降低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kW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.Al以上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OTE4M2E5MjAyODk3NzI0Yzc2YzVlNzAwN2QzNGUifQ=="/>
  </w:docVars>
  <w:rsids>
    <w:rsidRoot w:val="1A890794"/>
    <w:rsid w:val="13715A50"/>
    <w:rsid w:val="1A662EF3"/>
    <w:rsid w:val="1A890794"/>
    <w:rsid w:val="1B974C2F"/>
    <w:rsid w:val="21FF5A3F"/>
    <w:rsid w:val="29C80AFB"/>
    <w:rsid w:val="2BF430A4"/>
    <w:rsid w:val="31687EFE"/>
    <w:rsid w:val="3BC722D6"/>
    <w:rsid w:val="3C5546C1"/>
    <w:rsid w:val="3C6B3628"/>
    <w:rsid w:val="40A01DC9"/>
    <w:rsid w:val="50E25E4D"/>
    <w:rsid w:val="51DE0460"/>
    <w:rsid w:val="55E55DA1"/>
    <w:rsid w:val="58BA3B8D"/>
    <w:rsid w:val="5A5534F6"/>
    <w:rsid w:val="5DB52BC5"/>
    <w:rsid w:val="67411F90"/>
    <w:rsid w:val="69F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3">
    <w:name w:val="caption"/>
    <w:basedOn w:val="1"/>
    <w:next w:val="1"/>
    <w:autoRedefine/>
    <w:qFormat/>
    <w:uiPriority w:val="0"/>
    <w:pPr>
      <w:jc w:val="both"/>
      <w:textAlignment w:val="baseline"/>
    </w:pPr>
    <w:rPr>
      <w:rFonts w:ascii="Arial" w:hAnsi="Arial" w:eastAsia="黑体"/>
      <w:kern w:val="2"/>
      <w:sz w:val="20"/>
      <w:szCs w:val="20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autoSpaceDE w:val="0"/>
      <w:autoSpaceDN w:val="0"/>
      <w:ind w:left="480"/>
      <w:jc w:val="left"/>
      <w:textAlignment w:val="bottom"/>
    </w:pPr>
    <w:rPr>
      <w:rFonts w:ascii="宋体" w:hAnsi="Times New Roman"/>
      <w:sz w:val="24"/>
      <w:szCs w:val="20"/>
    </w:r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863</Characters>
  <Lines>0</Lines>
  <Paragraphs>0</Paragraphs>
  <TotalTime>67</TotalTime>
  <ScaleCrop>false</ScaleCrop>
  <LinksUpToDate>false</LinksUpToDate>
  <CharactersWithSpaces>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2023-08-23T00:53:00Z</dcterms:created>
  <dc:creator>段中波</dc:creator>
  <cp:lastModifiedBy>清泉</cp:lastModifiedBy>
  <dcterms:modified xsi:type="dcterms:W3CDTF">2025-01-14T07:42:32Z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2CFF5632A9734A7ABDC21BA5BEAA3CC8_13</vt:lpwstr>
  </property>
  <property fmtid="{D5CDD505-2E9C-101B-9397-08002B2CF9AE}" pid="4" name="KSOTemplateDocerSaveRecord">
    <vt:lpwstr>eyJoZGlkIjoiOTZhNmZiM2Q1YTE3MGY4NmRkMGQ4MGRiOWI1ZDNiNmUiLCJ1c2VySWQiOiI3MzQ5MjY3MjYifQ==</vt:lpwstr>
  </property>
</Properties>
</file>