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D08E1CC">
      <w:pPr>
        <w:widowControl/>
        <w:spacing w:line="480" w:lineRule="auto"/>
        <w:ind w:right="63" w:rightChars="30"/>
        <w:jc w:val="center"/>
        <w:rPr>
          <w:rFonts w:hint="eastAsia" w:ascii="华文新魏" w:eastAsia="华文新魏"/>
          <w:sz w:val="44"/>
          <w:szCs w:val="44"/>
        </w:rPr>
      </w:pPr>
    </w:p>
    <w:p w14:paraId="066F149A">
      <w:pPr>
        <w:widowControl/>
        <w:spacing w:line="480" w:lineRule="auto"/>
        <w:ind w:right="63" w:rightChars="30"/>
        <w:jc w:val="center"/>
        <w:rPr>
          <w:rFonts w:hint="eastAsia" w:ascii="华文新魏" w:eastAsia="宋体"/>
          <w:sz w:val="44"/>
          <w:szCs w:val="44"/>
          <w:lang w:eastAsia="zh-CN"/>
        </w:rPr>
      </w:pPr>
      <w:r>
        <w:rPr>
          <w:rFonts w:hint="eastAsia" w:ascii="宋体" w:hAnsi="宋体"/>
          <w:b/>
          <w:sz w:val="44"/>
          <w:szCs w:val="44"/>
        </w:rPr>
        <w:t>甘肃酒钢集团宏兴钢铁股份有限公司</w:t>
      </w:r>
      <w:r>
        <w:rPr>
          <w:rFonts w:hint="eastAsia" w:ascii="宋体" w:hAnsi="宋体"/>
          <w:b/>
          <w:sz w:val="44"/>
          <w:szCs w:val="44"/>
          <w:lang w:eastAsia="zh-CN"/>
        </w:rPr>
        <w:t>炼铁厂</w:t>
      </w:r>
    </w:p>
    <w:p w14:paraId="70319DA0">
      <w:pPr>
        <w:widowControl/>
        <w:spacing w:line="480" w:lineRule="auto"/>
        <w:ind w:right="63" w:rightChars="30" w:firstLine="181" w:firstLineChars="50"/>
        <w:jc w:val="center"/>
        <w:rPr>
          <w:rFonts w:hint="eastAsia" w:ascii="宋体" w:hAnsi="宋体"/>
          <w:b/>
          <w:sz w:val="36"/>
          <w:szCs w:val="36"/>
        </w:rPr>
      </w:pPr>
    </w:p>
    <w:p w14:paraId="03CC2E11">
      <w:pPr>
        <w:widowControl/>
        <w:spacing w:line="480" w:lineRule="auto"/>
        <w:ind w:right="63" w:rightChars="30" w:firstLine="181" w:firstLineChars="50"/>
        <w:jc w:val="center"/>
        <w:rPr>
          <w:rFonts w:hint="eastAsia" w:ascii="宋体" w:hAnsi="宋体"/>
          <w:b/>
          <w:sz w:val="36"/>
          <w:szCs w:val="36"/>
        </w:rPr>
      </w:pPr>
    </w:p>
    <w:p w14:paraId="0A3CA854">
      <w:pPr>
        <w:jc w:val="center"/>
        <w:rPr>
          <w:rFonts w:hint="eastAsia" w:ascii="宋体" w:hAnsi="宋体"/>
          <w:sz w:val="36"/>
          <w:szCs w:val="36"/>
        </w:rPr>
      </w:pPr>
      <w:r>
        <w:rPr>
          <w:rFonts w:hint="eastAsia" w:ascii="宋体" w:hAnsi="宋体"/>
          <w:b/>
          <w:sz w:val="36"/>
          <w:szCs w:val="36"/>
          <w:lang w:eastAsia="zh-CN"/>
        </w:rPr>
        <w:t>四烧湿电除尘喷淋塔循环泵</w:t>
      </w:r>
    </w:p>
    <w:p w14:paraId="0765AA6E">
      <w:pPr>
        <w:snapToGrid w:val="0"/>
        <w:spacing w:line="360" w:lineRule="auto"/>
        <w:ind w:right="2" w:rightChars="1" w:firstLine="3433" w:firstLineChars="950"/>
        <w:rPr>
          <w:rFonts w:hint="eastAsia" w:ascii="仿宋" w:hAnsi="仿宋" w:eastAsia="仿宋" w:cs="仿宋"/>
          <w:b/>
          <w:color w:val="auto"/>
          <w:sz w:val="36"/>
          <w:szCs w:val="48"/>
          <w:highlight w:val="none"/>
          <w:lang w:val="en-US" w:eastAsia="zh-CN"/>
        </w:rPr>
      </w:pPr>
    </w:p>
    <w:p w14:paraId="754A4AF8">
      <w:pPr>
        <w:snapToGrid w:val="0"/>
        <w:spacing w:line="360" w:lineRule="auto"/>
        <w:ind w:right="2" w:rightChars="1" w:firstLine="3433" w:firstLineChars="950"/>
        <w:rPr>
          <w:rFonts w:hint="eastAsia" w:ascii="仿宋" w:hAnsi="仿宋" w:eastAsia="仿宋" w:cs="仿宋"/>
          <w:b/>
          <w:color w:val="auto"/>
          <w:sz w:val="36"/>
          <w:szCs w:val="48"/>
          <w:highlight w:val="none"/>
          <w:lang w:val="en-US" w:eastAsia="zh-CN"/>
        </w:rPr>
      </w:pPr>
      <w:r>
        <w:rPr>
          <w:rFonts w:hint="eastAsia" w:ascii="仿宋" w:hAnsi="仿宋" w:eastAsia="仿宋" w:cs="仿宋"/>
          <w:b/>
          <w:color w:val="auto"/>
          <w:sz w:val="36"/>
          <w:szCs w:val="48"/>
          <w:highlight w:val="none"/>
          <w:lang w:val="en-US" w:eastAsia="zh-CN"/>
        </w:rPr>
        <w:t>采购</w:t>
      </w:r>
      <w:r>
        <w:rPr>
          <w:rFonts w:hint="eastAsia" w:ascii="仿宋" w:hAnsi="仿宋" w:eastAsia="仿宋" w:cs="仿宋"/>
          <w:b/>
          <w:color w:val="auto"/>
          <w:sz w:val="36"/>
          <w:szCs w:val="48"/>
          <w:highlight w:val="none"/>
        </w:rPr>
        <w:t>技术</w:t>
      </w:r>
      <w:r>
        <w:rPr>
          <w:rFonts w:hint="eastAsia" w:ascii="仿宋" w:hAnsi="仿宋" w:eastAsia="仿宋" w:cs="仿宋"/>
          <w:b/>
          <w:color w:val="auto"/>
          <w:sz w:val="36"/>
          <w:szCs w:val="48"/>
          <w:highlight w:val="none"/>
          <w:lang w:val="en-US" w:eastAsia="zh-CN"/>
        </w:rPr>
        <w:t>规格书</w:t>
      </w:r>
    </w:p>
    <w:p w14:paraId="7CA85BDE">
      <w:pPr>
        <w:snapToGrid w:val="0"/>
        <w:spacing w:line="360" w:lineRule="auto"/>
        <w:ind w:right="2" w:rightChars="1" w:firstLine="904" w:firstLineChars="250"/>
        <w:rPr>
          <w:rFonts w:hint="eastAsia" w:ascii="仿宋" w:hAnsi="仿宋" w:eastAsia="仿宋" w:cs="仿宋"/>
          <w:b/>
          <w:color w:val="auto"/>
          <w:sz w:val="36"/>
          <w:szCs w:val="48"/>
          <w:highlight w:val="none"/>
          <w:lang w:val="en-US" w:eastAsia="zh-CN"/>
        </w:rPr>
      </w:pPr>
    </w:p>
    <w:p w14:paraId="7E4C708D">
      <w:pPr>
        <w:pStyle w:val="2"/>
        <w:rPr>
          <w:rFonts w:hint="eastAsia" w:ascii="仿宋" w:hAnsi="仿宋" w:eastAsia="仿宋" w:cs="仿宋"/>
          <w:b/>
          <w:color w:val="auto"/>
          <w:sz w:val="36"/>
          <w:szCs w:val="48"/>
          <w:highlight w:val="none"/>
          <w:lang w:val="en-US" w:eastAsia="zh-CN"/>
        </w:rPr>
      </w:pPr>
    </w:p>
    <w:p w14:paraId="47F230A5">
      <w:pPr>
        <w:rPr>
          <w:rFonts w:hint="eastAsia" w:ascii="仿宋" w:hAnsi="仿宋" w:eastAsia="仿宋" w:cs="仿宋"/>
          <w:b/>
          <w:color w:val="auto"/>
          <w:sz w:val="36"/>
          <w:szCs w:val="48"/>
          <w:highlight w:val="none"/>
          <w:lang w:val="en-US" w:eastAsia="zh-CN"/>
        </w:rPr>
      </w:pPr>
    </w:p>
    <w:p w14:paraId="185BAA7F">
      <w:pPr>
        <w:pStyle w:val="2"/>
        <w:rPr>
          <w:rFonts w:hint="eastAsia"/>
          <w:lang w:val="en-US" w:eastAsia="zh-CN"/>
        </w:rPr>
      </w:pPr>
      <w:bookmarkStart w:id="0" w:name="_GoBack"/>
      <w:bookmarkEnd w:id="0"/>
    </w:p>
    <w:p w14:paraId="0EFDF611">
      <w:pPr>
        <w:snapToGrid w:val="0"/>
        <w:spacing w:line="360" w:lineRule="auto"/>
        <w:ind w:right="2" w:rightChars="1" w:firstLine="904" w:firstLineChars="250"/>
        <w:rPr>
          <w:rFonts w:hint="eastAsia" w:ascii="仿宋" w:hAnsi="仿宋" w:eastAsia="仿宋" w:cs="仿宋"/>
          <w:b/>
          <w:color w:val="auto"/>
          <w:sz w:val="36"/>
          <w:szCs w:val="48"/>
          <w:highlight w:val="none"/>
          <w:lang w:val="en-US" w:eastAsia="zh-CN"/>
        </w:rPr>
      </w:pPr>
    </w:p>
    <w:p w14:paraId="3220CBCF">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14:paraId="6A6FC025">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14:paraId="46845BEF">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14:paraId="15ED392A">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14:paraId="12545BC0">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14:paraId="2CBE8B92">
      <w:pPr>
        <w:widowControl/>
        <w:spacing w:before="100" w:beforeAutospacing="1" w:after="100" w:afterAutospacing="1" w:line="360" w:lineRule="auto"/>
        <w:ind w:right="63" w:rightChars="30" w:firstLine="5409" w:firstLineChars="1796"/>
        <w:rPr>
          <w:rFonts w:hint="eastAsia" w:ascii="宋体" w:hAnsi="宋体"/>
          <w:b/>
          <w:sz w:val="36"/>
          <w:szCs w:val="36"/>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 xml:space="preserve">年 </w:t>
      </w:r>
      <w:r>
        <w:rPr>
          <w:rFonts w:hint="eastAsia" w:ascii="仿宋" w:hAnsi="仿宋" w:eastAsia="仿宋" w:cs="仿宋"/>
          <w:b/>
          <w:color w:val="auto"/>
          <w:sz w:val="30"/>
          <w:szCs w:val="30"/>
          <w:highlight w:val="none"/>
          <w:lang w:val="en-US" w:eastAsia="zh-CN"/>
        </w:rPr>
        <w:t>8</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21</w:t>
      </w:r>
      <w:r>
        <w:rPr>
          <w:rFonts w:hint="eastAsia" w:ascii="仿宋" w:hAnsi="仿宋" w:eastAsia="仿宋" w:cs="仿宋"/>
          <w:b/>
          <w:color w:val="auto"/>
          <w:sz w:val="30"/>
          <w:szCs w:val="30"/>
          <w:highlight w:val="none"/>
        </w:rPr>
        <w:t>日</w:t>
      </w:r>
      <w:r>
        <w:rPr>
          <w:rFonts w:ascii="仿宋_GB2312" w:hAnsi="Arial Narrow" w:eastAsia="仿宋_GB2312"/>
          <w:b/>
          <w:sz w:val="36"/>
        </w:rPr>
        <w:br w:type="page"/>
      </w:r>
      <w:r>
        <w:rPr>
          <w:rFonts w:hint="eastAsia" w:ascii="宋体" w:hAnsi="宋体"/>
          <w:b/>
          <w:sz w:val="36"/>
          <w:szCs w:val="36"/>
        </w:rPr>
        <w:t>目    录</w:t>
      </w:r>
    </w:p>
    <w:p w14:paraId="1446533A">
      <w:pPr>
        <w:spacing w:line="360" w:lineRule="auto"/>
        <w:jc w:val="center"/>
        <w:rPr>
          <w:rFonts w:hint="eastAsia" w:ascii="宋体" w:hAnsi="宋体"/>
          <w:b/>
          <w:sz w:val="36"/>
          <w:szCs w:val="36"/>
        </w:rPr>
      </w:pPr>
    </w:p>
    <w:p w14:paraId="3B02E6FF">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附件一    总则</w:t>
      </w:r>
    </w:p>
    <w:p w14:paraId="581D0B28">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附件二    制造要求</w:t>
      </w:r>
    </w:p>
    <w:p w14:paraId="62468F84">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附件三    系统设施供货范围</w:t>
      </w:r>
    </w:p>
    <w:p w14:paraId="41FBFE2B">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附件四    提供资料</w:t>
      </w:r>
    </w:p>
    <w:p w14:paraId="47F0AC77">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附件五    售后服务</w:t>
      </w:r>
    </w:p>
    <w:p w14:paraId="5BC82DC7">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附件六    交货时间及地点</w:t>
      </w:r>
    </w:p>
    <w:p w14:paraId="565764BF">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附件七    其它</w:t>
      </w:r>
    </w:p>
    <w:p w14:paraId="30987F6D">
      <w:pPr>
        <w:snapToGrid w:val="0"/>
        <w:spacing w:line="360" w:lineRule="auto"/>
        <w:ind w:right="-447"/>
        <w:rPr>
          <w:rFonts w:hint="eastAsia" w:ascii="宋体" w:hAnsi="宋体"/>
          <w:b/>
          <w:sz w:val="28"/>
          <w:szCs w:val="28"/>
        </w:rPr>
      </w:pPr>
    </w:p>
    <w:p w14:paraId="458C6767">
      <w:pPr>
        <w:snapToGrid w:val="0"/>
        <w:spacing w:line="360" w:lineRule="auto"/>
        <w:ind w:right="-447"/>
        <w:rPr>
          <w:rFonts w:hint="eastAsia" w:ascii="宋体" w:hAnsi="宋体"/>
          <w:b/>
          <w:sz w:val="28"/>
          <w:szCs w:val="28"/>
        </w:rPr>
      </w:pPr>
    </w:p>
    <w:p w14:paraId="06ECD7FA">
      <w:pPr>
        <w:snapToGrid w:val="0"/>
        <w:spacing w:line="360" w:lineRule="auto"/>
        <w:ind w:right="-447"/>
        <w:rPr>
          <w:rFonts w:hint="eastAsia" w:ascii="宋体" w:hAnsi="宋体"/>
          <w:b/>
          <w:sz w:val="28"/>
          <w:szCs w:val="28"/>
        </w:rPr>
      </w:pPr>
    </w:p>
    <w:p w14:paraId="33E56025">
      <w:pPr>
        <w:snapToGrid w:val="0"/>
        <w:spacing w:line="360" w:lineRule="auto"/>
        <w:ind w:right="-447"/>
        <w:rPr>
          <w:rFonts w:hint="eastAsia" w:ascii="宋体" w:hAnsi="宋体"/>
          <w:b/>
          <w:sz w:val="28"/>
          <w:szCs w:val="28"/>
        </w:rPr>
      </w:pPr>
    </w:p>
    <w:p w14:paraId="4A680286">
      <w:pPr>
        <w:spacing w:line="400" w:lineRule="exact"/>
        <w:rPr>
          <w:rFonts w:hint="eastAsia"/>
          <w:b/>
          <w:sz w:val="32"/>
          <w:szCs w:val="32"/>
        </w:rPr>
      </w:pPr>
    </w:p>
    <w:p w14:paraId="09B80B73">
      <w:pPr>
        <w:spacing w:line="400" w:lineRule="exact"/>
        <w:rPr>
          <w:rFonts w:hint="eastAsia"/>
          <w:b/>
          <w:sz w:val="32"/>
          <w:szCs w:val="32"/>
        </w:rPr>
      </w:pPr>
    </w:p>
    <w:p w14:paraId="6787588D">
      <w:pPr>
        <w:spacing w:line="400" w:lineRule="exact"/>
        <w:rPr>
          <w:rFonts w:hint="eastAsia"/>
          <w:b/>
          <w:sz w:val="32"/>
          <w:szCs w:val="32"/>
        </w:rPr>
      </w:pPr>
    </w:p>
    <w:p w14:paraId="57B6C187">
      <w:pPr>
        <w:spacing w:line="400" w:lineRule="exact"/>
        <w:rPr>
          <w:rFonts w:hint="eastAsia"/>
          <w:b/>
          <w:sz w:val="32"/>
          <w:szCs w:val="32"/>
        </w:rPr>
      </w:pPr>
    </w:p>
    <w:p w14:paraId="1A5DCBDD">
      <w:pPr>
        <w:spacing w:line="400" w:lineRule="exact"/>
        <w:rPr>
          <w:rFonts w:hint="eastAsia"/>
          <w:b/>
          <w:sz w:val="32"/>
          <w:szCs w:val="32"/>
        </w:rPr>
      </w:pPr>
    </w:p>
    <w:p w14:paraId="584F5838">
      <w:pPr>
        <w:spacing w:line="400" w:lineRule="exact"/>
        <w:rPr>
          <w:rFonts w:hint="eastAsia"/>
          <w:b/>
          <w:sz w:val="32"/>
          <w:szCs w:val="32"/>
        </w:rPr>
      </w:pPr>
    </w:p>
    <w:p w14:paraId="69C838B9">
      <w:pPr>
        <w:spacing w:line="400" w:lineRule="exact"/>
        <w:rPr>
          <w:rFonts w:hint="eastAsia"/>
          <w:b/>
          <w:sz w:val="32"/>
          <w:szCs w:val="32"/>
        </w:rPr>
      </w:pPr>
    </w:p>
    <w:p w14:paraId="4B7338EE">
      <w:pPr>
        <w:spacing w:line="360" w:lineRule="auto"/>
        <w:rPr>
          <w:rFonts w:hint="eastAsia" w:ascii="宋体" w:hAnsi="宋体"/>
          <w:szCs w:val="21"/>
        </w:rPr>
      </w:pPr>
      <w:r>
        <w:rPr>
          <w:sz w:val="24"/>
        </w:rPr>
        <w:br w:type="page"/>
      </w:r>
      <w:r>
        <w:rPr>
          <w:rFonts w:hint="eastAsia" w:ascii="宋体" w:hAnsi="宋体"/>
          <w:szCs w:val="21"/>
          <w:lang w:val="en-US" w:eastAsia="zh-CN"/>
        </w:rPr>
        <w:t xml:space="preserve">    </w:t>
      </w:r>
      <w:r>
        <w:rPr>
          <w:rFonts w:hint="eastAsia" w:ascii="宋体" w:hAnsi="宋体"/>
          <w:szCs w:val="21"/>
        </w:rPr>
        <w:t>甘肃酒钢集团宏兴钢铁股份有限公司</w:t>
      </w:r>
      <w:r>
        <w:rPr>
          <w:rFonts w:hint="eastAsia" w:ascii="宋体" w:hAnsi="宋体"/>
          <w:szCs w:val="21"/>
          <w:lang w:eastAsia="zh-CN"/>
        </w:rPr>
        <w:t>炼铁厂</w:t>
      </w:r>
      <w:r>
        <w:rPr>
          <w:rFonts w:hint="eastAsia" w:ascii="宋体" w:hAnsi="宋体"/>
          <w:szCs w:val="21"/>
        </w:rPr>
        <w:t>（以下称甲方）与              （以下称乙方）就甲方</w:t>
      </w:r>
      <w:r>
        <w:rPr>
          <w:rFonts w:hint="eastAsia" w:ascii="宋体" w:hAnsi="宋体"/>
          <w:szCs w:val="21"/>
          <w:lang w:eastAsia="zh-CN"/>
        </w:rPr>
        <w:t>四烧湿电除尘器循环泵</w:t>
      </w:r>
      <w:r>
        <w:rPr>
          <w:rFonts w:hint="eastAsia" w:ascii="宋体" w:hAnsi="宋体"/>
          <w:szCs w:val="21"/>
        </w:rPr>
        <w:t>采购经双方协商，达成如下</w:t>
      </w:r>
      <w:r>
        <w:rPr>
          <w:rFonts w:hint="eastAsia" w:ascii="宋体" w:hAnsi="宋体"/>
          <w:szCs w:val="21"/>
          <w:lang w:eastAsia="zh-CN"/>
        </w:rPr>
        <w:t>技术规格书</w:t>
      </w:r>
      <w:r>
        <w:rPr>
          <w:rFonts w:hint="eastAsia" w:ascii="宋体" w:hAnsi="宋体"/>
          <w:szCs w:val="21"/>
        </w:rPr>
        <w:t>：</w:t>
      </w:r>
    </w:p>
    <w:p w14:paraId="1258B734">
      <w:pPr>
        <w:spacing w:line="360" w:lineRule="auto"/>
        <w:rPr>
          <w:rFonts w:hint="eastAsia" w:ascii="宋体" w:hAnsi="宋体"/>
          <w:b/>
          <w:szCs w:val="21"/>
        </w:rPr>
      </w:pPr>
      <w:r>
        <w:rPr>
          <w:rFonts w:hint="eastAsia" w:ascii="宋体" w:hAnsi="宋体"/>
          <w:b/>
          <w:szCs w:val="21"/>
        </w:rPr>
        <w:t>附件一   总则</w:t>
      </w:r>
    </w:p>
    <w:p w14:paraId="57262B5A">
      <w:pPr>
        <w:spacing w:line="360" w:lineRule="auto"/>
        <w:ind w:firstLine="493" w:firstLineChars="235"/>
        <w:rPr>
          <w:rFonts w:hint="eastAsia" w:ascii="宋体" w:hAnsi="宋体"/>
          <w:szCs w:val="21"/>
        </w:rPr>
      </w:pPr>
      <w:r>
        <w:rPr>
          <w:rFonts w:hint="eastAsia" w:ascii="宋体" w:hAnsi="宋体"/>
          <w:szCs w:val="21"/>
        </w:rPr>
        <w:t>本</w:t>
      </w:r>
      <w:r>
        <w:rPr>
          <w:rFonts w:hint="eastAsia" w:ascii="宋体" w:hAnsi="宋体"/>
          <w:szCs w:val="21"/>
          <w:lang w:eastAsia="zh-CN"/>
        </w:rPr>
        <w:t>技术规格书</w:t>
      </w:r>
      <w:r>
        <w:rPr>
          <w:rFonts w:hint="eastAsia" w:ascii="宋体" w:hAnsi="宋体"/>
          <w:szCs w:val="21"/>
        </w:rPr>
        <w:t>作为甲方订货合同的附件，与订货合同同时生效，具有同等法律效力。合同执行期间双方再协商形成的补充协议和追加条款也具有同等法律效力。</w:t>
      </w:r>
    </w:p>
    <w:p w14:paraId="40D0AC2C">
      <w:pPr>
        <w:spacing w:line="360" w:lineRule="auto"/>
        <w:ind w:firstLine="493" w:firstLineChars="235"/>
        <w:rPr>
          <w:rFonts w:hint="eastAsia" w:ascii="宋体" w:hAnsi="宋体"/>
          <w:szCs w:val="21"/>
        </w:rPr>
      </w:pPr>
      <w:r>
        <w:rPr>
          <w:rFonts w:hint="eastAsia" w:ascii="宋体" w:hAnsi="宋体"/>
          <w:szCs w:val="21"/>
        </w:rPr>
        <w:t>1.1本</w:t>
      </w:r>
      <w:r>
        <w:rPr>
          <w:rFonts w:hint="eastAsia" w:ascii="宋体" w:hAnsi="宋体"/>
          <w:szCs w:val="21"/>
          <w:lang w:eastAsia="zh-CN"/>
        </w:rPr>
        <w:t>技术规格书</w:t>
      </w:r>
      <w:r>
        <w:rPr>
          <w:rFonts w:hint="eastAsia" w:ascii="宋体" w:hAnsi="宋体"/>
          <w:szCs w:val="21"/>
        </w:rPr>
        <w:t>所提出的是最低标准的技术要求，并未对一切技术细节做出规定，也未充分引述有关标准和规范的条文，乙方应保证提供符合有关标准和技术文件的优质产品；</w:t>
      </w:r>
    </w:p>
    <w:p w14:paraId="177CB8D6">
      <w:pPr>
        <w:spacing w:line="360" w:lineRule="auto"/>
        <w:ind w:firstLine="493" w:firstLineChars="235"/>
        <w:rPr>
          <w:rFonts w:hint="eastAsia" w:ascii="宋体" w:hAnsi="宋体"/>
          <w:szCs w:val="21"/>
        </w:rPr>
      </w:pPr>
      <w:r>
        <w:rPr>
          <w:rFonts w:hint="eastAsia" w:ascii="宋体" w:hAnsi="宋体"/>
          <w:szCs w:val="21"/>
        </w:rPr>
        <w:t xml:space="preserve">1.2乙方提供的备件必须具有国内同行业近几年内的先进制造水平，采用先进工艺，合格材料，成熟的技术或专利技术； </w:t>
      </w:r>
    </w:p>
    <w:p w14:paraId="5535288A">
      <w:pPr>
        <w:spacing w:line="360" w:lineRule="auto"/>
        <w:ind w:firstLine="493" w:firstLineChars="235"/>
        <w:rPr>
          <w:rFonts w:hint="eastAsia" w:ascii="宋体" w:hAnsi="宋体"/>
          <w:szCs w:val="21"/>
        </w:rPr>
      </w:pPr>
      <w:r>
        <w:rPr>
          <w:rFonts w:hint="eastAsia" w:ascii="宋体" w:hAnsi="宋体"/>
          <w:szCs w:val="21"/>
        </w:rPr>
        <w:t>1.3乙方提供的设备必须是全新、规范、先进的高质量可靠产品，能够确保连续稳定的工作；</w:t>
      </w:r>
    </w:p>
    <w:p w14:paraId="28E56160">
      <w:pPr>
        <w:spacing w:line="360" w:lineRule="auto"/>
        <w:ind w:firstLine="493" w:firstLineChars="235"/>
        <w:rPr>
          <w:rFonts w:hint="eastAsia" w:ascii="宋体" w:hAnsi="宋体"/>
          <w:szCs w:val="21"/>
        </w:rPr>
      </w:pPr>
      <w:r>
        <w:rPr>
          <w:rFonts w:hint="eastAsia" w:ascii="宋体" w:hAnsi="宋体"/>
          <w:szCs w:val="21"/>
        </w:rPr>
        <w:t>1.4乙方提供货物的制造，材料的选择，都应按照国内外通用的现行标准和相应的技术规范执行，而这些标准和技术规范应为合同签字日为止最新公布的标准和技术规范；</w:t>
      </w:r>
    </w:p>
    <w:p w14:paraId="4BBDD0BC">
      <w:pPr>
        <w:spacing w:line="360" w:lineRule="auto"/>
        <w:ind w:firstLine="493" w:firstLineChars="235"/>
        <w:rPr>
          <w:rFonts w:hint="eastAsia" w:ascii="宋体" w:hAnsi="宋体"/>
          <w:szCs w:val="21"/>
        </w:rPr>
      </w:pPr>
      <w:r>
        <w:rPr>
          <w:rFonts w:hint="eastAsia" w:ascii="宋体" w:hAnsi="宋体"/>
          <w:szCs w:val="21"/>
        </w:rPr>
        <w:t>1.5乙方须对</w:t>
      </w:r>
      <w:r>
        <w:rPr>
          <w:rFonts w:hint="eastAsia" w:ascii="宋体" w:hAnsi="宋体"/>
          <w:szCs w:val="21"/>
          <w:lang w:eastAsia="zh-CN"/>
        </w:rPr>
        <w:t>循环泵</w:t>
      </w:r>
      <w:r>
        <w:rPr>
          <w:rFonts w:hint="eastAsia" w:ascii="宋体" w:hAnsi="宋体"/>
          <w:szCs w:val="21"/>
        </w:rPr>
        <w:t>的完整性、合理性、技术研发和设计制造质量承担全部责任。保证其达到正常使用要求和酒钢烧结生产工艺要求与指标</w:t>
      </w:r>
      <w:r>
        <w:rPr>
          <w:rFonts w:hint="eastAsia" w:ascii="宋体" w:hAnsi="宋体"/>
          <w:szCs w:val="21"/>
          <w:lang w:eastAsia="zh-CN"/>
        </w:rPr>
        <w:t>。</w:t>
      </w:r>
    </w:p>
    <w:p w14:paraId="7BAF71D8">
      <w:pPr>
        <w:spacing w:line="360" w:lineRule="auto"/>
        <w:ind w:firstLine="493" w:firstLineChars="235"/>
        <w:rPr>
          <w:rFonts w:hint="eastAsia" w:ascii="宋体" w:hAnsi="宋体"/>
          <w:szCs w:val="21"/>
        </w:rPr>
      </w:pPr>
      <w:r>
        <w:rPr>
          <w:rFonts w:hint="eastAsia" w:ascii="宋体" w:hAnsi="宋体"/>
          <w:szCs w:val="21"/>
        </w:rPr>
        <w:t>1.6乙方在合同货物制造中，发生侵犯专利的行为时其侵权责任与甲方无关</w:t>
      </w:r>
      <w:r>
        <w:rPr>
          <w:rFonts w:hint="eastAsia" w:ascii="宋体" w:hAnsi="宋体"/>
          <w:szCs w:val="21"/>
          <w:lang w:val="en-US" w:eastAsia="zh-CN"/>
        </w:rPr>
        <w:t>;</w:t>
      </w:r>
    </w:p>
    <w:p w14:paraId="2F9086F3">
      <w:pPr>
        <w:spacing w:line="360" w:lineRule="auto"/>
        <w:ind w:firstLine="493" w:firstLineChars="235"/>
        <w:rPr>
          <w:rFonts w:hint="eastAsia" w:ascii="宋体" w:hAnsi="宋体"/>
          <w:szCs w:val="21"/>
        </w:rPr>
      </w:pPr>
      <w:r>
        <w:rPr>
          <w:rFonts w:hint="eastAsia" w:ascii="宋体" w:hAnsi="宋体"/>
          <w:szCs w:val="21"/>
        </w:rPr>
        <w:t>1.7乙方在招标前，应与甲方技术人员进行技术交流，呈报同行业、同产品业绩及用户报告，符合甲方技术要求，双方签标前</w:t>
      </w:r>
      <w:r>
        <w:rPr>
          <w:rFonts w:hint="eastAsia" w:ascii="宋体" w:hAnsi="宋体"/>
          <w:szCs w:val="21"/>
          <w:lang w:eastAsia="zh-CN"/>
        </w:rPr>
        <w:t>技术规格书</w:t>
      </w:r>
      <w:r>
        <w:rPr>
          <w:rFonts w:hint="eastAsia" w:ascii="宋体" w:hAnsi="宋体"/>
          <w:szCs w:val="21"/>
        </w:rPr>
        <w:t>。</w:t>
      </w:r>
    </w:p>
    <w:p w14:paraId="1CA2A853">
      <w:pPr>
        <w:spacing w:line="360" w:lineRule="auto"/>
        <w:rPr>
          <w:rFonts w:hint="eastAsia" w:ascii="宋体" w:hAnsi="宋体"/>
          <w:b/>
          <w:szCs w:val="21"/>
        </w:rPr>
      </w:pPr>
      <w:r>
        <w:rPr>
          <w:rFonts w:hint="eastAsia" w:ascii="宋体" w:hAnsi="宋体"/>
          <w:b/>
          <w:szCs w:val="21"/>
        </w:rPr>
        <w:t>附件二   制造要求</w:t>
      </w:r>
    </w:p>
    <w:p w14:paraId="3B60ACC8">
      <w:pPr>
        <w:spacing w:line="360" w:lineRule="auto"/>
        <w:ind w:firstLine="493" w:firstLineChars="235"/>
        <w:rPr>
          <w:rFonts w:ascii="宋体" w:hAnsi="宋体"/>
          <w:szCs w:val="21"/>
        </w:rPr>
      </w:pPr>
      <w:r>
        <w:rPr>
          <w:rFonts w:hint="eastAsia" w:ascii="宋体" w:hAnsi="宋体"/>
          <w:szCs w:val="21"/>
        </w:rPr>
        <w:t>2.1</w:t>
      </w:r>
      <w:r>
        <w:rPr>
          <w:rFonts w:ascii="宋体" w:hAnsi="宋体"/>
          <w:szCs w:val="21"/>
        </w:rPr>
        <w:t>安装环境</w:t>
      </w:r>
    </w:p>
    <w:p w14:paraId="40B06C05">
      <w:pPr>
        <w:spacing w:line="360" w:lineRule="auto"/>
        <w:ind w:firstLine="493" w:firstLineChars="235"/>
        <w:rPr>
          <w:rFonts w:hint="eastAsia" w:ascii="宋体" w:hAnsi="宋体"/>
          <w:szCs w:val="21"/>
        </w:rPr>
      </w:pPr>
      <w:r>
        <w:rPr>
          <w:rFonts w:hint="eastAsia" w:ascii="宋体" w:hAnsi="宋体"/>
          <w:szCs w:val="21"/>
        </w:rPr>
        <w:t>2.</w:t>
      </w:r>
      <w:r>
        <w:rPr>
          <w:rFonts w:ascii="宋体" w:hAnsi="宋体"/>
          <w:szCs w:val="21"/>
        </w:rPr>
        <w:t>1.1安装地点：</w:t>
      </w:r>
      <w:r>
        <w:rPr>
          <w:rFonts w:hint="eastAsia" w:ascii="宋体" w:hAnsi="宋体"/>
          <w:szCs w:val="21"/>
          <w:lang w:eastAsia="zh-CN"/>
        </w:rPr>
        <w:t>四烧湿电除尘器</w:t>
      </w:r>
      <w:r>
        <w:rPr>
          <w:rFonts w:hint="eastAsia" w:ascii="宋体" w:hAnsi="宋体"/>
          <w:szCs w:val="21"/>
          <w:lang w:val="en-US" w:eastAsia="zh-CN"/>
        </w:rPr>
        <w:t>泵房</w:t>
      </w:r>
    </w:p>
    <w:p w14:paraId="471300D6">
      <w:pPr>
        <w:spacing w:line="360" w:lineRule="auto"/>
        <w:ind w:firstLine="493" w:firstLineChars="235"/>
        <w:rPr>
          <w:rFonts w:hint="eastAsia" w:ascii="宋体" w:hAnsi="宋体"/>
          <w:szCs w:val="21"/>
        </w:rPr>
      </w:pPr>
      <w:r>
        <w:rPr>
          <w:rFonts w:hint="eastAsia" w:ascii="宋体" w:hAnsi="宋体"/>
          <w:szCs w:val="21"/>
        </w:rPr>
        <w:t>2.</w:t>
      </w:r>
      <w:r>
        <w:rPr>
          <w:rFonts w:ascii="宋体" w:hAnsi="宋体"/>
          <w:szCs w:val="21"/>
        </w:rPr>
        <w:t>1.2使用环境：</w:t>
      </w:r>
      <w:r>
        <w:rPr>
          <w:rFonts w:hint="eastAsia" w:ascii="宋体" w:hAnsi="宋体"/>
          <w:szCs w:val="21"/>
        </w:rPr>
        <w:t>室内</w:t>
      </w:r>
    </w:p>
    <w:p w14:paraId="28DF5F2C">
      <w:pPr>
        <w:spacing w:line="360" w:lineRule="auto"/>
        <w:ind w:firstLine="493" w:firstLineChars="235"/>
        <w:rPr>
          <w:rFonts w:hint="eastAsia" w:ascii="宋体" w:hAnsi="宋体"/>
          <w:szCs w:val="21"/>
        </w:rPr>
      </w:pPr>
      <w:r>
        <w:rPr>
          <w:rFonts w:hint="eastAsia" w:ascii="宋体" w:hAnsi="宋体"/>
          <w:szCs w:val="21"/>
        </w:rPr>
        <w:t>2.</w:t>
      </w:r>
      <w:r>
        <w:rPr>
          <w:rFonts w:ascii="宋体" w:hAnsi="宋体"/>
          <w:szCs w:val="21"/>
        </w:rPr>
        <w:t>1.3现场海拔高度：1626m</w:t>
      </w:r>
    </w:p>
    <w:p w14:paraId="4C1B37BF">
      <w:pPr>
        <w:pStyle w:val="11"/>
        <w:spacing w:before="0" w:beforeAutospacing="0" w:after="0" w:afterAutospacing="0" w:line="360" w:lineRule="auto"/>
        <w:ind w:left="567" w:leftChars="270"/>
        <w:jc w:val="both"/>
        <w:rPr>
          <w:sz w:val="21"/>
          <w:szCs w:val="21"/>
        </w:rPr>
      </w:pPr>
      <w:r>
        <w:rPr>
          <w:sz w:val="21"/>
          <w:szCs w:val="21"/>
        </w:rPr>
        <w:t xml:space="preserve">极端最高温度 </w:t>
      </w:r>
      <w:r>
        <w:rPr>
          <w:rFonts w:hint="eastAsia"/>
          <w:sz w:val="21"/>
          <w:szCs w:val="21"/>
        </w:rPr>
        <w:t xml:space="preserve">                                    </w:t>
      </w:r>
      <w:r>
        <w:rPr>
          <w:sz w:val="21"/>
          <w:szCs w:val="21"/>
        </w:rPr>
        <w:t>38.4</w:t>
      </w:r>
      <w:r>
        <w:rPr>
          <w:rFonts w:hint="eastAsia"/>
          <w:sz w:val="21"/>
          <w:szCs w:val="21"/>
        </w:rPr>
        <w:t>℃</w:t>
      </w:r>
      <w:r>
        <w:rPr>
          <w:rFonts w:cs="Times New Roman"/>
          <w:sz w:val="21"/>
          <w:szCs w:val="21"/>
        </w:rPr>
        <w:t xml:space="preserve"> </w:t>
      </w:r>
      <w:r>
        <w:rPr>
          <w:rFonts w:cs="Times New Roman"/>
          <w:sz w:val="21"/>
          <w:szCs w:val="21"/>
        </w:rPr>
        <w:br w:type="textWrapping"/>
      </w:r>
      <w:r>
        <w:rPr>
          <w:sz w:val="21"/>
          <w:szCs w:val="21"/>
        </w:rPr>
        <w:t xml:space="preserve">极端最底温度 </w:t>
      </w:r>
      <w:r>
        <w:rPr>
          <w:rFonts w:hint="eastAsia"/>
          <w:sz w:val="21"/>
          <w:szCs w:val="21"/>
        </w:rPr>
        <w:t xml:space="preserve">                                    </w:t>
      </w:r>
      <w:r>
        <w:rPr>
          <w:sz w:val="21"/>
          <w:szCs w:val="21"/>
        </w:rPr>
        <w:t>-31.6</w:t>
      </w:r>
      <w:r>
        <w:rPr>
          <w:rFonts w:hint="eastAsia"/>
          <w:sz w:val="21"/>
          <w:szCs w:val="21"/>
        </w:rPr>
        <w:t>℃</w:t>
      </w:r>
      <w:r>
        <w:rPr>
          <w:rFonts w:cs="Times New Roman"/>
          <w:sz w:val="21"/>
          <w:szCs w:val="21"/>
        </w:rPr>
        <w:t xml:space="preserve"> </w:t>
      </w:r>
      <w:r>
        <w:rPr>
          <w:rFonts w:cs="Times New Roman"/>
          <w:sz w:val="21"/>
          <w:szCs w:val="21"/>
        </w:rPr>
        <w:br w:type="textWrapping"/>
      </w:r>
      <w:r>
        <w:rPr>
          <w:sz w:val="21"/>
          <w:szCs w:val="21"/>
        </w:rPr>
        <w:t>最热月平均温度</w:t>
      </w:r>
      <w:r>
        <w:rPr>
          <w:rFonts w:hint="eastAsia"/>
          <w:sz w:val="21"/>
          <w:szCs w:val="21"/>
        </w:rPr>
        <w:t xml:space="preserve">                                  </w:t>
      </w:r>
      <w:r>
        <w:rPr>
          <w:sz w:val="21"/>
          <w:szCs w:val="21"/>
        </w:rPr>
        <w:t xml:space="preserve"> 28.7</w:t>
      </w:r>
      <w:r>
        <w:rPr>
          <w:rFonts w:hint="eastAsia"/>
          <w:sz w:val="21"/>
          <w:szCs w:val="21"/>
        </w:rPr>
        <w:t>℃</w:t>
      </w:r>
      <w:r>
        <w:rPr>
          <w:rFonts w:cs="Times New Roman"/>
          <w:sz w:val="21"/>
          <w:szCs w:val="21"/>
        </w:rPr>
        <w:t xml:space="preserve"> </w:t>
      </w:r>
      <w:r>
        <w:rPr>
          <w:rFonts w:cs="Times New Roman"/>
          <w:sz w:val="21"/>
          <w:szCs w:val="21"/>
        </w:rPr>
        <w:br w:type="textWrapping"/>
      </w:r>
      <w:r>
        <w:rPr>
          <w:sz w:val="21"/>
          <w:szCs w:val="21"/>
        </w:rPr>
        <w:t>最冷月平均温度</w:t>
      </w:r>
      <w:r>
        <w:rPr>
          <w:rFonts w:hint="eastAsia"/>
          <w:sz w:val="21"/>
          <w:szCs w:val="21"/>
        </w:rPr>
        <w:t xml:space="preserve">                                   </w:t>
      </w:r>
      <w:r>
        <w:rPr>
          <w:sz w:val="21"/>
          <w:szCs w:val="21"/>
        </w:rPr>
        <w:t>-15.6</w:t>
      </w:r>
      <w:r>
        <w:rPr>
          <w:rFonts w:hint="eastAsia"/>
          <w:sz w:val="21"/>
          <w:szCs w:val="21"/>
        </w:rPr>
        <w:t>℃</w:t>
      </w:r>
      <w:r>
        <w:rPr>
          <w:rFonts w:cs="Times New Roman"/>
          <w:sz w:val="21"/>
          <w:szCs w:val="21"/>
        </w:rPr>
        <w:t xml:space="preserve"> </w:t>
      </w:r>
      <w:r>
        <w:rPr>
          <w:rFonts w:cs="Times New Roman"/>
          <w:sz w:val="21"/>
          <w:szCs w:val="21"/>
        </w:rPr>
        <w:br w:type="textWrapping"/>
      </w:r>
      <w:r>
        <w:rPr>
          <w:sz w:val="21"/>
          <w:szCs w:val="21"/>
        </w:rPr>
        <w:t xml:space="preserve">年平均温度 </w:t>
      </w:r>
      <w:r>
        <w:rPr>
          <w:rFonts w:hint="eastAsia"/>
          <w:sz w:val="21"/>
          <w:szCs w:val="21"/>
        </w:rPr>
        <w:t xml:space="preserve">                                      </w:t>
      </w:r>
      <w:r>
        <w:rPr>
          <w:sz w:val="21"/>
          <w:szCs w:val="21"/>
        </w:rPr>
        <w:t>7.3</w:t>
      </w:r>
      <w:r>
        <w:rPr>
          <w:rFonts w:hint="eastAsia"/>
          <w:sz w:val="21"/>
          <w:szCs w:val="21"/>
        </w:rPr>
        <w:t>℃</w:t>
      </w:r>
      <w:r>
        <w:rPr>
          <w:rFonts w:cs="Times New Roman"/>
          <w:sz w:val="21"/>
          <w:szCs w:val="21"/>
        </w:rPr>
        <w:t xml:space="preserve"> </w:t>
      </w:r>
      <w:r>
        <w:rPr>
          <w:rFonts w:cs="Times New Roman"/>
          <w:sz w:val="21"/>
          <w:szCs w:val="21"/>
        </w:rPr>
        <w:br w:type="textWrapping"/>
      </w:r>
      <w:r>
        <w:rPr>
          <w:sz w:val="21"/>
          <w:szCs w:val="21"/>
        </w:rPr>
        <w:t>最大月平均日温差</w:t>
      </w:r>
      <w:r>
        <w:rPr>
          <w:rFonts w:hint="eastAsia"/>
          <w:sz w:val="21"/>
          <w:szCs w:val="21"/>
        </w:rPr>
        <w:t xml:space="preserve">                                 </w:t>
      </w:r>
      <w:r>
        <w:rPr>
          <w:sz w:val="21"/>
          <w:szCs w:val="21"/>
        </w:rPr>
        <w:t>14</w:t>
      </w:r>
      <w:r>
        <w:rPr>
          <w:rFonts w:hint="eastAsia"/>
          <w:sz w:val="21"/>
          <w:szCs w:val="21"/>
        </w:rPr>
        <w:t>℃</w:t>
      </w:r>
      <w:r>
        <w:rPr>
          <w:rFonts w:cs="Times New Roman"/>
          <w:sz w:val="21"/>
          <w:szCs w:val="21"/>
        </w:rPr>
        <w:t xml:space="preserve"> </w:t>
      </w:r>
      <w:r>
        <w:rPr>
          <w:rFonts w:cs="Times New Roman"/>
          <w:sz w:val="21"/>
          <w:szCs w:val="21"/>
        </w:rPr>
        <w:br w:type="textWrapping"/>
      </w:r>
      <w:r>
        <w:rPr>
          <w:sz w:val="21"/>
          <w:szCs w:val="21"/>
        </w:rPr>
        <w:t xml:space="preserve">最热月平均湿度 </w:t>
      </w:r>
      <w:r>
        <w:rPr>
          <w:rFonts w:hint="eastAsia"/>
          <w:sz w:val="21"/>
          <w:szCs w:val="21"/>
        </w:rPr>
        <w:t xml:space="preserve">                                  </w:t>
      </w:r>
      <w:r>
        <w:rPr>
          <w:sz w:val="21"/>
          <w:szCs w:val="21"/>
        </w:rPr>
        <w:t xml:space="preserve">52 % </w:t>
      </w:r>
      <w:r>
        <w:rPr>
          <w:sz w:val="21"/>
          <w:szCs w:val="21"/>
        </w:rPr>
        <w:br w:type="textWrapping"/>
      </w:r>
      <w:r>
        <w:rPr>
          <w:sz w:val="21"/>
          <w:szCs w:val="21"/>
        </w:rPr>
        <w:t xml:space="preserve">最冷月平均湿度 </w:t>
      </w:r>
      <w:r>
        <w:rPr>
          <w:rFonts w:hint="eastAsia"/>
          <w:sz w:val="21"/>
          <w:szCs w:val="21"/>
        </w:rPr>
        <w:t xml:space="preserve">                                  </w:t>
      </w:r>
      <w:r>
        <w:rPr>
          <w:sz w:val="21"/>
          <w:szCs w:val="21"/>
        </w:rPr>
        <w:t xml:space="preserve">55 % </w:t>
      </w:r>
      <w:r>
        <w:rPr>
          <w:sz w:val="21"/>
          <w:szCs w:val="21"/>
        </w:rPr>
        <w:br w:type="textWrapping"/>
      </w:r>
      <w:r>
        <w:rPr>
          <w:sz w:val="21"/>
          <w:szCs w:val="21"/>
        </w:rPr>
        <w:t xml:space="preserve">相对湿度 </w:t>
      </w:r>
      <w:r>
        <w:rPr>
          <w:rFonts w:hint="eastAsia"/>
          <w:sz w:val="21"/>
          <w:szCs w:val="21"/>
        </w:rPr>
        <w:t xml:space="preserve">                                        </w:t>
      </w:r>
      <w:r>
        <w:rPr>
          <w:sz w:val="21"/>
          <w:szCs w:val="21"/>
        </w:rPr>
        <w:t xml:space="preserve">46 % </w:t>
      </w:r>
      <w:r>
        <w:rPr>
          <w:sz w:val="21"/>
          <w:szCs w:val="21"/>
        </w:rPr>
        <w:br w:type="textWrapping"/>
      </w:r>
      <w:r>
        <w:rPr>
          <w:sz w:val="21"/>
          <w:szCs w:val="21"/>
        </w:rPr>
        <w:t>年平均降雨量</w:t>
      </w:r>
      <w:r>
        <w:rPr>
          <w:rFonts w:hint="eastAsia"/>
          <w:sz w:val="21"/>
          <w:szCs w:val="21"/>
        </w:rPr>
        <w:t xml:space="preserve">                                    </w:t>
      </w:r>
      <w:r>
        <w:rPr>
          <w:sz w:val="21"/>
          <w:szCs w:val="21"/>
        </w:rPr>
        <w:t xml:space="preserve"> 85.3mm </w:t>
      </w:r>
    </w:p>
    <w:p w14:paraId="4D0481EF">
      <w:pPr>
        <w:pStyle w:val="18"/>
        <w:spacing w:line="360" w:lineRule="auto"/>
        <w:ind w:left="0" w:leftChars="0" w:firstLine="0" w:firstLineChars="0"/>
        <w:jc w:val="left"/>
        <w:rPr>
          <w:rFonts w:hint="eastAsia" w:ascii="宋体" w:hAnsi="宋体" w:cs="Arial"/>
          <w:kern w:val="0"/>
          <w:szCs w:val="21"/>
          <w:lang w:val="en-US" w:eastAsia="zh-CN"/>
        </w:rPr>
      </w:pPr>
      <w:r>
        <w:rPr>
          <w:rFonts w:hint="eastAsia" w:ascii="宋体" w:hAnsi="宋体" w:cs="Arial"/>
          <w:kern w:val="0"/>
          <w:szCs w:val="21"/>
          <w:lang w:val="en-US" w:eastAsia="zh-CN"/>
        </w:rPr>
        <w:t xml:space="preserve">  2.1.4 循环</w:t>
      </w:r>
      <w:r>
        <w:rPr>
          <w:rFonts w:hint="eastAsia" w:ascii="宋体" w:hAnsi="宋体"/>
          <w:szCs w:val="21"/>
          <w:lang w:eastAsia="zh-CN"/>
        </w:rPr>
        <w:t>泵</w:t>
      </w:r>
      <w:r>
        <w:rPr>
          <w:rFonts w:hint="eastAsia" w:ascii="宋体" w:hAnsi="宋体" w:cs="Arial"/>
          <w:kern w:val="0"/>
          <w:szCs w:val="21"/>
          <w:lang w:eastAsia="zh-CN"/>
        </w:rPr>
        <w:t>使用环境</w:t>
      </w:r>
      <w:r>
        <w:rPr>
          <w:rFonts w:hint="eastAsia" w:ascii="宋体" w:hAnsi="宋体" w:cs="Arial"/>
          <w:kern w:val="0"/>
          <w:szCs w:val="21"/>
          <w:lang w:val="en-US" w:eastAsia="zh-CN"/>
        </w:rPr>
        <w:t>:</w:t>
      </w:r>
    </w:p>
    <w:p w14:paraId="4DAB0C59">
      <w:pPr>
        <w:pStyle w:val="18"/>
        <w:spacing w:line="360" w:lineRule="auto"/>
        <w:jc w:val="left"/>
        <w:rPr>
          <w:rFonts w:hint="eastAsia"/>
          <w:sz w:val="21"/>
          <w:szCs w:val="21"/>
          <w:highlight w:val="none"/>
          <w:lang w:eastAsia="zh-CN"/>
        </w:rPr>
      </w:pPr>
      <w:r>
        <w:rPr>
          <w:rFonts w:hint="eastAsia" w:ascii="宋体" w:hAnsi="宋体" w:cs="Arial"/>
          <w:kern w:val="0"/>
          <w:szCs w:val="21"/>
          <w:highlight w:val="none"/>
          <w:lang w:val="en-US" w:eastAsia="zh-CN"/>
        </w:rPr>
        <w:t xml:space="preserve"> </w:t>
      </w:r>
      <w:r>
        <w:rPr>
          <w:rFonts w:hint="eastAsia" w:ascii="宋体" w:hAnsi="宋体"/>
          <w:szCs w:val="21"/>
          <w:highlight w:val="none"/>
          <w:lang w:eastAsia="zh-CN"/>
        </w:rPr>
        <w:t>循环泵</w:t>
      </w:r>
      <w:r>
        <w:rPr>
          <w:rFonts w:hint="eastAsia" w:ascii="宋体" w:hAnsi="宋体" w:cs="Arial"/>
          <w:kern w:val="0"/>
          <w:szCs w:val="21"/>
          <w:highlight w:val="none"/>
          <w:lang w:val="en-US" w:eastAsia="zh-CN"/>
        </w:rPr>
        <w:t>是湿电除尘器关键设备，主要用于喷淋塔浆液循环使用，其直接影响喷淋塔的正常运行，因当前环保要求管理严格，需保证设备的各方面要求。</w:t>
      </w:r>
    </w:p>
    <w:p w14:paraId="129CA96D">
      <w:pPr>
        <w:pStyle w:val="18"/>
        <w:spacing w:line="360" w:lineRule="auto"/>
        <w:ind w:left="0" w:leftChars="0" w:firstLine="0" w:firstLineChars="0"/>
        <w:jc w:val="left"/>
        <w:rPr>
          <w:rFonts w:hint="eastAsia" w:ascii="宋体" w:hAnsi="宋体" w:cs="Arial"/>
          <w:kern w:val="0"/>
          <w:szCs w:val="21"/>
          <w:highlight w:val="none"/>
          <w:lang w:val="en-US" w:eastAsia="zh-CN"/>
        </w:rPr>
      </w:pPr>
      <w:r>
        <w:rPr>
          <w:rFonts w:hint="eastAsia" w:ascii="宋体" w:hAnsi="宋体" w:cs="Arial"/>
          <w:kern w:val="0"/>
          <w:szCs w:val="21"/>
          <w:highlight w:val="none"/>
          <w:lang w:val="en-US" w:eastAsia="zh-CN"/>
        </w:rPr>
        <w:t xml:space="preserve">  2.1.5介质参数    </w:t>
      </w:r>
    </w:p>
    <w:p w14:paraId="1004C4EF">
      <w:pPr>
        <w:pStyle w:val="18"/>
        <w:spacing w:line="360" w:lineRule="auto"/>
        <w:ind w:left="0" w:leftChars="0" w:firstLine="0" w:firstLineChars="0"/>
        <w:jc w:val="left"/>
        <w:rPr>
          <w:rFonts w:hint="eastAsia"/>
          <w:sz w:val="21"/>
          <w:szCs w:val="21"/>
          <w:lang w:val="en-US" w:eastAsia="zh-CN"/>
        </w:rPr>
      </w:pPr>
      <w:r>
        <w:rPr>
          <w:rFonts w:hint="eastAsia" w:ascii="宋体" w:hAnsi="宋体" w:cs="Arial"/>
          <w:kern w:val="0"/>
          <w:szCs w:val="21"/>
          <w:lang w:val="en-US" w:eastAsia="zh-CN"/>
        </w:rPr>
        <w:t xml:space="preserve">     介    质：生产水              温度：40-80℃            pH值：4-6</w:t>
      </w:r>
    </w:p>
    <w:p w14:paraId="6C7C06A7">
      <w:pPr>
        <w:pStyle w:val="17"/>
        <w:spacing w:line="360" w:lineRule="auto"/>
        <w:ind w:left="0" w:leftChars="0" w:firstLine="0" w:firstLineChars="0"/>
        <w:jc w:val="left"/>
        <w:rPr>
          <w:rFonts w:hint="eastAsia" w:ascii="宋体" w:hAnsi="宋体"/>
          <w:szCs w:val="21"/>
        </w:rPr>
      </w:pPr>
      <w:r>
        <w:rPr>
          <w:rFonts w:hint="eastAsia" w:ascii="宋体" w:hAnsi="宋体" w:cs="Arial"/>
          <w:kern w:val="0"/>
          <w:szCs w:val="21"/>
          <w:lang w:val="en-US" w:eastAsia="zh-CN"/>
        </w:rPr>
        <w:t xml:space="preserve">  </w:t>
      </w:r>
      <w:r>
        <w:rPr>
          <w:rFonts w:hint="eastAsia" w:ascii="宋体" w:hAnsi="宋体" w:cs="Arial"/>
          <w:kern w:val="0"/>
          <w:szCs w:val="21"/>
        </w:rPr>
        <w:t xml:space="preserve">2.2 </w:t>
      </w:r>
      <w:r>
        <w:rPr>
          <w:rFonts w:hint="eastAsia" w:ascii="宋体" w:hAnsi="宋体"/>
          <w:szCs w:val="21"/>
          <w:lang w:eastAsia="zh-CN"/>
        </w:rPr>
        <w:t>循环泵</w:t>
      </w:r>
      <w:r>
        <w:rPr>
          <w:rFonts w:hint="eastAsia" w:ascii="宋体" w:hAnsi="宋体" w:cs="Arial"/>
          <w:kern w:val="0"/>
          <w:szCs w:val="21"/>
        </w:rPr>
        <w:t>设计制造要求：</w:t>
      </w:r>
    </w:p>
    <w:p w14:paraId="09D57BE7">
      <w:pPr>
        <w:pStyle w:val="17"/>
        <w:spacing w:line="360" w:lineRule="auto"/>
        <w:ind w:left="0" w:leftChars="0" w:firstLine="0" w:firstLineChars="0"/>
        <w:jc w:val="left"/>
        <w:rPr>
          <w:rFonts w:hint="eastAsia" w:ascii="宋体" w:hAnsi="宋体"/>
          <w:szCs w:val="21"/>
          <w:lang w:eastAsia="zh-CN"/>
        </w:rPr>
      </w:pPr>
      <w:r>
        <w:rPr>
          <w:rFonts w:hint="eastAsia" w:ascii="宋体" w:hAnsi="宋体" w:cs="Arial"/>
          <w:kern w:val="0"/>
          <w:szCs w:val="21"/>
          <w:lang w:val="en-US" w:eastAsia="zh-CN"/>
        </w:rPr>
        <w:t xml:space="preserve">  </w:t>
      </w:r>
      <w:r>
        <w:rPr>
          <w:rFonts w:hint="eastAsia" w:ascii="宋体" w:hAnsi="宋体" w:cs="Arial"/>
          <w:kern w:val="0"/>
          <w:szCs w:val="21"/>
        </w:rPr>
        <w:t>2.2.1、</w:t>
      </w:r>
      <w:r>
        <w:rPr>
          <w:rFonts w:hint="eastAsia" w:ascii="宋体" w:hAnsi="宋体"/>
          <w:szCs w:val="21"/>
        </w:rPr>
        <w:t>乙方中标后，需首先排技术人员到现场勘探工况条件，测绘现安装设备各部尺寸，确保提供制作的设备具备完全互换性要求</w:t>
      </w:r>
      <w:r>
        <w:rPr>
          <w:rFonts w:hint="eastAsia" w:ascii="宋体" w:hAnsi="宋体"/>
          <w:szCs w:val="21"/>
          <w:lang w:eastAsia="zh-CN"/>
        </w:rPr>
        <w:t>。因循环泵基础为预埋基础，</w:t>
      </w:r>
      <w:r>
        <w:rPr>
          <w:rFonts w:hint="eastAsia" w:ascii="宋体" w:hAnsi="宋体"/>
          <w:szCs w:val="21"/>
        </w:rPr>
        <w:t>泵中心高度误差控制在0～±</w:t>
      </w:r>
      <w:r>
        <w:rPr>
          <w:rFonts w:hint="eastAsia" w:ascii="宋体" w:hAnsi="宋体"/>
          <w:szCs w:val="21"/>
          <w:lang w:val="en-US" w:eastAsia="zh-CN"/>
        </w:rPr>
        <w:t>1</w:t>
      </w:r>
      <w:r>
        <w:rPr>
          <w:rFonts w:hint="eastAsia" w:ascii="宋体" w:hAnsi="宋体"/>
          <w:szCs w:val="21"/>
        </w:rPr>
        <w:t>毫米范围内，地脚螺栓孔位置误差控制在±1毫米范围内，入口端法兰与传动轴端面总长控制在±</w:t>
      </w:r>
      <w:r>
        <w:rPr>
          <w:rFonts w:hint="eastAsia" w:ascii="宋体" w:hAnsi="宋体"/>
          <w:szCs w:val="21"/>
          <w:lang w:val="en-US" w:eastAsia="zh-CN"/>
        </w:rPr>
        <w:t>1</w:t>
      </w:r>
      <w:r>
        <w:rPr>
          <w:rFonts w:hint="eastAsia" w:ascii="宋体" w:hAnsi="宋体"/>
          <w:szCs w:val="21"/>
        </w:rPr>
        <w:t>mm范围内，出入口中心线相对位置误差在±1毫米范围内，确保整体安装互换性。</w:t>
      </w:r>
    </w:p>
    <w:p w14:paraId="4D598DD3">
      <w:pPr>
        <w:pStyle w:val="17"/>
        <w:spacing w:line="360" w:lineRule="auto"/>
        <w:ind w:firstLine="210" w:firstLineChars="100"/>
        <w:jc w:val="left"/>
        <w:rPr>
          <w:rFonts w:hint="eastAsia" w:ascii="宋体" w:hAnsi="宋体"/>
          <w:szCs w:val="21"/>
        </w:rPr>
      </w:pPr>
      <w:r>
        <w:rPr>
          <w:rFonts w:hint="eastAsia" w:ascii="宋体" w:hAnsi="宋体" w:cs="Arial"/>
          <w:kern w:val="0"/>
          <w:szCs w:val="21"/>
        </w:rPr>
        <w:t>2.2.2、</w:t>
      </w:r>
      <w:r>
        <w:rPr>
          <w:rFonts w:hint="eastAsia" w:ascii="宋体" w:hAnsi="宋体" w:cs="Arial"/>
          <w:kern w:val="0"/>
          <w:szCs w:val="21"/>
          <w:lang w:eastAsia="zh-CN"/>
        </w:rPr>
        <w:t>循环</w:t>
      </w:r>
      <w:r>
        <w:rPr>
          <w:rFonts w:hint="eastAsia" w:ascii="宋体" w:hAnsi="宋体"/>
          <w:szCs w:val="21"/>
          <w:lang w:eastAsia="zh-CN"/>
        </w:rPr>
        <w:t>泵</w:t>
      </w:r>
      <w:r>
        <w:rPr>
          <w:rFonts w:hint="eastAsia" w:ascii="宋体" w:hAnsi="宋体"/>
          <w:szCs w:val="21"/>
        </w:rPr>
        <w:t>参数：型号</w:t>
      </w:r>
      <w:r>
        <w:rPr>
          <w:rFonts w:hint="eastAsia" w:ascii="宋体" w:hAnsi="宋体"/>
          <w:color w:val="000000"/>
          <w:szCs w:val="24"/>
          <w:lang w:val="en-US" w:eastAsia="zh-CN"/>
        </w:rPr>
        <w:t>KDX150-40</w:t>
      </w:r>
      <w:r>
        <w:rPr>
          <w:rFonts w:hint="eastAsia" w:ascii="宋体" w:hAnsi="宋体"/>
          <w:szCs w:val="21"/>
        </w:rPr>
        <w:t>，转速</w:t>
      </w:r>
      <w:r>
        <w:rPr>
          <w:rFonts w:hint="eastAsia" w:ascii="宋体" w:hAnsi="宋体"/>
          <w:szCs w:val="21"/>
          <w:lang w:val="en-US" w:eastAsia="zh-CN"/>
        </w:rPr>
        <w:t>980</w:t>
      </w:r>
      <w:r>
        <w:rPr>
          <w:rFonts w:ascii="宋体" w:hAnsi="宋体"/>
          <w:szCs w:val="21"/>
        </w:rPr>
        <w:t>r/min</w:t>
      </w:r>
      <w:r>
        <w:rPr>
          <w:rFonts w:hint="eastAsia" w:ascii="宋体" w:hAnsi="宋体"/>
          <w:szCs w:val="21"/>
        </w:rPr>
        <w:t>，杨程</w:t>
      </w:r>
      <w:r>
        <w:rPr>
          <w:rFonts w:hint="eastAsia" w:ascii="宋体" w:hAnsi="宋体"/>
          <w:szCs w:val="21"/>
          <w:lang w:val="en-US" w:eastAsia="zh-CN"/>
        </w:rPr>
        <w:t>24</w:t>
      </w:r>
      <w:r>
        <w:rPr>
          <w:rFonts w:hint="eastAsia" w:ascii="宋体" w:hAnsi="宋体"/>
          <w:szCs w:val="21"/>
        </w:rPr>
        <w:t>米，流量</w:t>
      </w:r>
      <w:r>
        <w:rPr>
          <w:rFonts w:hint="eastAsia" w:ascii="宋体" w:hAnsi="宋体"/>
          <w:szCs w:val="21"/>
          <w:lang w:val="en-US" w:eastAsia="zh-CN"/>
        </w:rPr>
        <w:t>280</w:t>
      </w:r>
      <w:r>
        <w:rPr>
          <w:rFonts w:hint="eastAsia" w:ascii="宋体" w:hAnsi="宋体"/>
          <w:szCs w:val="21"/>
        </w:rPr>
        <w:t>³</w:t>
      </w:r>
      <w:r>
        <w:rPr>
          <w:rFonts w:ascii="宋体" w:hAnsi="宋体"/>
          <w:szCs w:val="21"/>
        </w:rPr>
        <w:t>/h</w:t>
      </w:r>
      <w:r>
        <w:rPr>
          <w:rFonts w:hint="eastAsia" w:ascii="宋体" w:hAnsi="宋体"/>
          <w:szCs w:val="21"/>
        </w:rPr>
        <w:t>，效率</w:t>
      </w:r>
      <w:r>
        <w:rPr>
          <w:rFonts w:hint="eastAsia" w:ascii="宋体" w:hAnsi="宋体"/>
          <w:szCs w:val="21"/>
          <w:lang w:val="en-US" w:eastAsia="zh-CN"/>
        </w:rPr>
        <w:t>≥80</w:t>
      </w:r>
      <w:r>
        <w:rPr>
          <w:rFonts w:hint="eastAsia" w:ascii="宋体" w:hAnsi="宋体"/>
          <w:szCs w:val="21"/>
        </w:rPr>
        <w:t>%</w:t>
      </w:r>
      <w:r>
        <w:rPr>
          <w:rFonts w:hint="eastAsia" w:ascii="宋体" w:hAnsi="宋体"/>
          <w:szCs w:val="21"/>
          <w:lang w:eastAsia="zh-CN"/>
        </w:rPr>
        <w:t>，</w:t>
      </w:r>
      <w:r>
        <w:rPr>
          <w:rFonts w:hint="eastAsia" w:ascii="宋体" w:hAnsi="宋体"/>
          <w:szCs w:val="21"/>
          <w:lang w:val="en-US" w:eastAsia="zh-CN"/>
        </w:rPr>
        <w:t>配用功率</w:t>
      </w:r>
      <w:r>
        <w:rPr>
          <w:rFonts w:hint="eastAsia"/>
          <w:sz w:val="21"/>
          <w:szCs w:val="21"/>
          <w:lang w:val="en-US" w:eastAsia="zh-CN"/>
        </w:rPr>
        <w:t>45</w:t>
      </w:r>
      <w:r>
        <w:rPr>
          <w:rFonts w:hint="eastAsia" w:ascii="宋体" w:hAnsi="宋体"/>
          <w:szCs w:val="21"/>
          <w:lang w:val="en-US" w:eastAsia="zh-CN"/>
        </w:rPr>
        <w:t>kw，</w:t>
      </w:r>
      <w:r>
        <w:rPr>
          <w:rFonts w:hint="eastAsia" w:ascii="宋体" w:hAnsi="宋体"/>
          <w:szCs w:val="21"/>
        </w:rPr>
        <w:t>其他尺寸可在中标后到现场核对。</w:t>
      </w:r>
    </w:p>
    <w:p w14:paraId="56E1243B">
      <w:pPr>
        <w:pStyle w:val="17"/>
        <w:widowControl/>
        <w:spacing w:line="360" w:lineRule="auto"/>
        <w:ind w:firstLine="210" w:firstLineChars="100"/>
        <w:jc w:val="left"/>
        <w:rPr>
          <w:rFonts w:hint="eastAsia" w:ascii="宋体" w:hAnsi="宋体"/>
          <w:szCs w:val="21"/>
          <w:lang w:val="en-US" w:eastAsia="zh-CN"/>
        </w:rPr>
      </w:pPr>
      <w:r>
        <w:rPr>
          <w:rFonts w:hint="eastAsia" w:ascii="宋体" w:hAnsi="宋体"/>
          <w:szCs w:val="21"/>
          <w:lang w:val="en-US" w:eastAsia="zh-CN"/>
        </w:rPr>
        <w:t>2.2.3</w:t>
      </w:r>
      <w:r>
        <w:rPr>
          <w:rFonts w:hint="eastAsia" w:ascii="宋体" w:hAnsi="宋体"/>
          <w:szCs w:val="21"/>
          <w:lang w:eastAsia="zh-CN"/>
        </w:rPr>
        <w:t>轴承采用高容量的滚动轴承，其寿命不低于</w:t>
      </w:r>
      <w:r>
        <w:rPr>
          <w:rFonts w:hint="eastAsia" w:ascii="宋体" w:hAnsi="宋体"/>
          <w:szCs w:val="21"/>
          <w:lang w:val="en-US" w:eastAsia="zh-CN"/>
        </w:rPr>
        <w:t>40000小时，轴承采用自动润滑形式，并配有活塞环密封盒橡胶二级密封，防止赃物盒水进入。</w:t>
      </w:r>
    </w:p>
    <w:p w14:paraId="745AE3A4">
      <w:pPr>
        <w:pStyle w:val="17"/>
        <w:widowControl/>
        <w:spacing w:line="360" w:lineRule="auto"/>
        <w:ind w:firstLine="210" w:firstLineChars="100"/>
        <w:jc w:val="left"/>
        <w:rPr>
          <w:rFonts w:hint="eastAsia" w:ascii="宋体" w:hAnsi="宋体" w:cs="Arial"/>
          <w:kern w:val="0"/>
          <w:szCs w:val="21"/>
          <w:lang w:val="sq-AL"/>
        </w:rPr>
      </w:pPr>
      <w:r>
        <w:rPr>
          <w:rFonts w:hint="eastAsia" w:ascii="宋体" w:hAnsi="宋体" w:cs="Arial"/>
          <w:kern w:val="0"/>
          <w:szCs w:val="21"/>
        </w:rPr>
        <w:t>2.2.</w:t>
      </w:r>
      <w:r>
        <w:rPr>
          <w:rFonts w:hint="eastAsia" w:ascii="宋体" w:hAnsi="宋体" w:cs="Arial"/>
          <w:kern w:val="0"/>
          <w:szCs w:val="21"/>
          <w:lang w:val="en-US" w:eastAsia="zh-CN"/>
        </w:rPr>
        <w:t>4</w:t>
      </w:r>
      <w:r>
        <w:rPr>
          <w:rFonts w:hint="eastAsia" w:ascii="宋体" w:hAnsi="宋体" w:cs="Arial"/>
          <w:kern w:val="0"/>
          <w:szCs w:val="21"/>
        </w:rPr>
        <w:t>、</w:t>
      </w:r>
      <w:r>
        <w:rPr>
          <w:rFonts w:hint="eastAsia" w:ascii="宋体" w:hAnsi="宋体"/>
          <w:b/>
          <w:bCs/>
          <w:szCs w:val="21"/>
          <w:lang w:eastAsia="zh-CN"/>
        </w:rPr>
        <w:t>泵采用的机械密封，密封形式必须采用双端机械密封，机械密封的使用寿命不低于1</w:t>
      </w:r>
      <w:r>
        <w:rPr>
          <w:rFonts w:hint="eastAsia" w:ascii="宋体" w:hAnsi="宋体"/>
          <w:b/>
          <w:bCs/>
          <w:szCs w:val="21"/>
          <w:lang w:val="en-US" w:eastAsia="zh-CN"/>
        </w:rPr>
        <w:t>3</w:t>
      </w:r>
      <w:r>
        <w:rPr>
          <w:rFonts w:hint="eastAsia" w:ascii="宋体" w:hAnsi="宋体"/>
          <w:b/>
          <w:bCs/>
          <w:szCs w:val="21"/>
          <w:lang w:eastAsia="zh-CN"/>
        </w:rPr>
        <w:t>000小时，机械密封金属的材质至少为316L。</w:t>
      </w:r>
      <w:r>
        <w:rPr>
          <w:rFonts w:hint="eastAsia" w:ascii="宋体" w:hAnsi="宋体"/>
          <w:szCs w:val="21"/>
          <w:lang w:eastAsia="zh-CN"/>
        </w:rPr>
        <w:t xml:space="preserve"> 轴封处不允许浆液泄露；密封装置应配备冲冼软管接嘴，以便用清水对其进行清冼。 具体要求如下：</w:t>
      </w:r>
      <w:r>
        <w:rPr>
          <w:rFonts w:hint="eastAsia" w:ascii="宋体" w:hAnsi="宋体"/>
          <w:szCs w:val="21"/>
          <w:lang w:val="en-US" w:eastAsia="zh-CN"/>
        </w:rPr>
        <w:t>1）</w:t>
      </w:r>
      <w:r>
        <w:rPr>
          <w:rFonts w:hint="eastAsia" w:ascii="宋体" w:hAnsi="宋体"/>
          <w:szCs w:val="21"/>
          <w:lang w:eastAsia="zh-CN"/>
        </w:rPr>
        <w:t>轴封处不允许浆液泄露；密封装置应配备冲冼软管接嘴，以便用清水对其进行清冼。</w:t>
      </w:r>
      <w:r>
        <w:rPr>
          <w:rFonts w:hint="eastAsia"/>
          <w:sz w:val="21"/>
          <w:szCs w:val="21"/>
          <w:lang w:val="en-US" w:eastAsia="zh-CN"/>
        </w:rPr>
        <w:t>密封端面的平面度和粗糙度要求：密封端面平面度偏差不大于0.0009mm ;金属材料密封端面粗糙度R的最大允许值为0.2um，非金属材料端面粗糙度R的最大允许值为0.4μm。 2）静止环和旋转环的密封端面对辅助密封圈接触的端面的平行度按GB/T1184-1996的7级精度要求。静止环和旋转环与辅助密封圈接触部位的表面粗糙度R的最大允许值为3.2μm，外圆或内孔尺寸公差为h8或H8。静止环密封端面对与静止环辅助密封圈接触的外圆垂直度、旋转环密封对于旋转环辅助密。3）组装的旋转环、静止环要做水压检验。检验压力平衡式机械密封的密封环为2.3536MPa ，持续10min不应有渗漏。 4）弹簧内径、外径、自由高度、工作压力、弹簧中心线与端面垂直度等公差值，均按国家有关弹簧标准的一级精度标准要求。多弹簧式机械密封，同一套机械密封中各弹簧之间的自由高度差不大于0.5mm。弹簧座、传动座的内孔尺寸公差为F9，粗糙度R的最大允许值为3.2μm。     5）橡胶O形密封圈技术要求参照有关的国家标准。    6）机械密封（集装式）的性能要求：1）泄漏量。当被密封介质为液体时，平均泄漏量规定如下：轴(或轴套)外径大于50mm时，泄漏量不大于5mL/h;轴(或轴套)外径不大于50mm时，泄漏量不大于3mL/h。 2）磨损量：磨损量的大小要满足机械密封使用期的要求。通常以清水为介质进行试验，运转100h软质材料的密封环磨损量不大于0.02mm。3）密封介质为腐蚀性介质，机械密封的使用期一般为一年。4）机械密封静压试验其试验压力为产品最高作用压力的1.25倍，持续15min其指标为轴(或轴套)外径大于50mm，折算泄漏量不大于5mL/h;轴(或轴套)外径不大于50mm，折泄漏量不大于3mL/h。</w:t>
      </w:r>
    </w:p>
    <w:p w14:paraId="2B1A9E89">
      <w:pPr>
        <w:pStyle w:val="17"/>
        <w:widowControl/>
        <w:spacing w:line="360" w:lineRule="auto"/>
        <w:ind w:firstLine="210" w:firstLineChars="100"/>
        <w:jc w:val="left"/>
        <w:rPr>
          <w:rFonts w:hint="eastAsia" w:ascii="宋体" w:hAnsi="宋体" w:cs="Arial"/>
          <w:kern w:val="0"/>
          <w:szCs w:val="21"/>
          <w:lang w:val="en-US" w:eastAsia="zh-CN"/>
        </w:rPr>
      </w:pPr>
      <w:r>
        <w:rPr>
          <w:rFonts w:hint="eastAsia" w:ascii="宋体" w:hAnsi="宋体" w:cs="Arial"/>
          <w:kern w:val="0"/>
          <w:szCs w:val="21"/>
          <w:lang w:val="en-US" w:eastAsia="zh-CN"/>
        </w:rPr>
        <w:t>2.2.6、泵有固定铭牌及转向标志，铭牌耐磨蚀，并安装在泵体明显的位置上。铭牌尺寸及技术要求符合JB8标准的规定。 铭牌的内容包括：制造厂名称，设备名称，型号，泵的主要参数（流量、扬程、转速、轴功率、汽蚀余量、重量、润滑油脂标号），泵的出厂编号及日期。</w:t>
      </w:r>
    </w:p>
    <w:p w14:paraId="3CDBA0EA">
      <w:pPr>
        <w:pStyle w:val="17"/>
        <w:widowControl/>
        <w:spacing w:line="360" w:lineRule="auto"/>
        <w:ind w:firstLine="210" w:firstLineChars="100"/>
        <w:jc w:val="left"/>
        <w:rPr>
          <w:rFonts w:hint="eastAsia" w:ascii="宋体" w:hAnsi="宋体" w:cs="Arial"/>
          <w:kern w:val="0"/>
          <w:szCs w:val="21"/>
          <w:lang w:val="en-US" w:eastAsia="zh-CN"/>
        </w:rPr>
      </w:pPr>
      <w:r>
        <w:rPr>
          <w:rFonts w:hint="eastAsia" w:ascii="宋体" w:hAnsi="宋体" w:cs="Arial"/>
          <w:kern w:val="0"/>
          <w:szCs w:val="21"/>
          <w:lang w:val="en-US" w:eastAsia="zh-CN"/>
        </w:rPr>
        <w:t>2.2.7、额定流量下，总压头应有+5%的余量。流速--总压头性能曲线应具有右下倾斜特性。</w:t>
      </w:r>
    </w:p>
    <w:p w14:paraId="02C8B5D1">
      <w:pPr>
        <w:pStyle w:val="17"/>
        <w:widowControl/>
        <w:spacing w:line="360" w:lineRule="auto"/>
        <w:ind w:firstLine="210" w:firstLineChars="100"/>
        <w:jc w:val="left"/>
        <w:rPr>
          <w:rFonts w:hint="eastAsia" w:ascii="宋体" w:hAnsi="宋体" w:cs="Arial"/>
          <w:kern w:val="0"/>
          <w:szCs w:val="21"/>
          <w:lang w:val="en-US" w:eastAsia="zh-CN"/>
        </w:rPr>
      </w:pPr>
      <w:r>
        <w:rPr>
          <w:rFonts w:hint="eastAsia" w:ascii="宋体" w:hAnsi="宋体" w:cs="Arial"/>
          <w:kern w:val="0"/>
          <w:szCs w:val="21"/>
          <w:lang w:val="en-US" w:eastAsia="zh-CN"/>
        </w:rPr>
        <w:t>2.2.8、厂家提供设备必须有设备明细图和说明书，主要有轴承型号、机械密封等。</w:t>
      </w:r>
    </w:p>
    <w:p w14:paraId="5F17CFCF">
      <w:pPr>
        <w:pStyle w:val="17"/>
        <w:widowControl/>
        <w:spacing w:line="360" w:lineRule="auto"/>
        <w:ind w:firstLine="210" w:firstLineChars="100"/>
        <w:jc w:val="left"/>
        <w:rPr>
          <w:rFonts w:hint="eastAsia" w:ascii="宋体" w:hAnsi="宋体" w:cs="Arial"/>
          <w:kern w:val="0"/>
          <w:szCs w:val="21"/>
          <w:lang w:val="en-US" w:eastAsia="zh-CN"/>
        </w:rPr>
      </w:pPr>
      <w:r>
        <w:rPr>
          <w:rFonts w:hint="eastAsia" w:ascii="宋体" w:hAnsi="宋体" w:cs="Arial"/>
          <w:kern w:val="0"/>
          <w:szCs w:val="21"/>
          <w:lang w:val="en-US" w:eastAsia="zh-CN"/>
        </w:rPr>
        <w:t>2.2.9、泵的效率需达到80%以上。</w:t>
      </w:r>
    </w:p>
    <w:p w14:paraId="7E58615C">
      <w:pPr>
        <w:spacing w:line="360" w:lineRule="auto"/>
        <w:rPr>
          <w:rFonts w:hint="eastAsia" w:ascii="宋体" w:hAnsi="宋体"/>
          <w:b/>
          <w:spacing w:val="-4"/>
          <w:kern w:val="28"/>
          <w:szCs w:val="21"/>
        </w:rPr>
      </w:pPr>
      <w:r>
        <w:rPr>
          <w:rFonts w:hint="eastAsia" w:ascii="宋体" w:hAnsi="宋体"/>
          <w:b/>
          <w:spacing w:val="-4"/>
          <w:kern w:val="28"/>
          <w:szCs w:val="21"/>
        </w:rPr>
        <w:t>附件三</w:t>
      </w:r>
      <w:r>
        <w:rPr>
          <w:rFonts w:hint="eastAsia" w:ascii="宋体" w:hAnsi="宋体"/>
          <w:b/>
          <w:szCs w:val="21"/>
        </w:rPr>
        <w:t xml:space="preserve">   </w:t>
      </w:r>
      <w:r>
        <w:rPr>
          <w:rFonts w:hint="eastAsia" w:ascii="宋体" w:hAnsi="宋体"/>
          <w:b/>
          <w:spacing w:val="-4"/>
          <w:kern w:val="28"/>
          <w:szCs w:val="21"/>
        </w:rPr>
        <w:t>系统设施供货范围</w:t>
      </w:r>
    </w:p>
    <w:tbl>
      <w:tblPr>
        <w:tblStyle w:val="12"/>
        <w:tblW w:w="0" w:type="auto"/>
        <w:tblInd w:w="-34" w:type="dxa"/>
        <w:tblLayout w:type="fixed"/>
        <w:tblCellMar>
          <w:top w:w="0" w:type="dxa"/>
          <w:left w:w="108" w:type="dxa"/>
          <w:bottom w:w="0" w:type="dxa"/>
          <w:right w:w="108" w:type="dxa"/>
        </w:tblCellMar>
      </w:tblPr>
      <w:tblGrid>
        <w:gridCol w:w="709"/>
        <w:gridCol w:w="2027"/>
        <w:gridCol w:w="861"/>
        <w:gridCol w:w="720"/>
        <w:gridCol w:w="786"/>
        <w:gridCol w:w="850"/>
        <w:gridCol w:w="867"/>
        <w:gridCol w:w="2660"/>
      </w:tblGrid>
      <w:tr w14:paraId="71D032B1">
        <w:tblPrEx>
          <w:tblCellMar>
            <w:top w:w="0" w:type="dxa"/>
            <w:left w:w="108" w:type="dxa"/>
            <w:bottom w:w="0" w:type="dxa"/>
            <w:right w:w="108" w:type="dxa"/>
          </w:tblCellMar>
        </w:tblPrEx>
        <w:trPr>
          <w:trHeight w:val="285" w:hRule="atLeast"/>
        </w:trPr>
        <w:tc>
          <w:tcPr>
            <w:tcW w:w="709" w:type="dxa"/>
            <w:vMerge w:val="restart"/>
            <w:tcBorders>
              <w:top w:val="single" w:color="auto" w:sz="8" w:space="0"/>
              <w:left w:val="single" w:color="auto" w:sz="8" w:space="0"/>
              <w:bottom w:val="single" w:color="000000" w:sz="8" w:space="0"/>
              <w:right w:val="single" w:color="auto" w:sz="8" w:space="0"/>
            </w:tcBorders>
            <w:noWrap w:val="0"/>
            <w:vAlign w:val="center"/>
          </w:tcPr>
          <w:p w14:paraId="3B8B6FCA">
            <w:pPr>
              <w:widowControl/>
              <w:rPr>
                <w:rFonts w:ascii="宋体" w:hAnsi="宋体" w:cs="宋体"/>
                <w:color w:val="000000"/>
                <w:kern w:val="0"/>
                <w:szCs w:val="21"/>
              </w:rPr>
            </w:pPr>
            <w:r>
              <w:rPr>
                <w:rFonts w:hint="eastAsia" w:ascii="宋体" w:hAnsi="宋体" w:cs="宋体"/>
                <w:color w:val="000000"/>
                <w:kern w:val="0"/>
                <w:szCs w:val="21"/>
              </w:rPr>
              <w:t>序号</w:t>
            </w:r>
          </w:p>
        </w:tc>
        <w:tc>
          <w:tcPr>
            <w:tcW w:w="2027" w:type="dxa"/>
            <w:vMerge w:val="restart"/>
            <w:tcBorders>
              <w:top w:val="single" w:color="auto" w:sz="8" w:space="0"/>
              <w:left w:val="single" w:color="auto" w:sz="8" w:space="0"/>
              <w:bottom w:val="single" w:color="000000" w:sz="8" w:space="0"/>
              <w:right w:val="single" w:color="auto" w:sz="8" w:space="0"/>
            </w:tcBorders>
            <w:noWrap w:val="0"/>
            <w:vAlign w:val="center"/>
          </w:tcPr>
          <w:p w14:paraId="7FA918C5">
            <w:pPr>
              <w:widowControl/>
              <w:rPr>
                <w:rFonts w:ascii="宋体" w:hAnsi="宋体" w:cs="宋体"/>
                <w:color w:val="000000"/>
                <w:kern w:val="0"/>
                <w:szCs w:val="21"/>
              </w:rPr>
            </w:pPr>
            <w:r>
              <w:rPr>
                <w:rFonts w:hint="eastAsia" w:ascii="宋体" w:hAnsi="宋体" w:cs="宋体"/>
                <w:color w:val="000000"/>
                <w:kern w:val="0"/>
                <w:szCs w:val="21"/>
              </w:rPr>
              <w:t>型号</w:t>
            </w:r>
          </w:p>
        </w:tc>
        <w:tc>
          <w:tcPr>
            <w:tcW w:w="861" w:type="dxa"/>
            <w:vMerge w:val="restart"/>
            <w:tcBorders>
              <w:top w:val="single" w:color="auto" w:sz="8" w:space="0"/>
              <w:left w:val="single" w:color="auto" w:sz="8" w:space="0"/>
              <w:bottom w:val="single" w:color="000000" w:sz="8" w:space="0"/>
              <w:right w:val="single" w:color="auto" w:sz="8" w:space="0"/>
            </w:tcBorders>
            <w:noWrap w:val="0"/>
            <w:vAlign w:val="center"/>
          </w:tcPr>
          <w:p w14:paraId="486FDA64">
            <w:pPr>
              <w:widowControl/>
              <w:rPr>
                <w:rFonts w:ascii="宋体" w:hAnsi="宋体" w:cs="宋体"/>
                <w:color w:val="000000"/>
                <w:kern w:val="0"/>
                <w:szCs w:val="21"/>
              </w:rPr>
            </w:pPr>
            <w:r>
              <w:rPr>
                <w:rFonts w:hint="eastAsia" w:ascii="宋体" w:hAnsi="宋体" w:cs="宋体"/>
                <w:color w:val="000000"/>
                <w:kern w:val="0"/>
                <w:szCs w:val="21"/>
              </w:rPr>
              <w:t>名称</w:t>
            </w:r>
          </w:p>
        </w:tc>
        <w:tc>
          <w:tcPr>
            <w:tcW w:w="720" w:type="dxa"/>
            <w:vMerge w:val="restart"/>
            <w:tcBorders>
              <w:top w:val="single" w:color="auto" w:sz="8" w:space="0"/>
              <w:left w:val="single" w:color="auto" w:sz="8" w:space="0"/>
              <w:bottom w:val="single" w:color="000000" w:sz="8" w:space="0"/>
              <w:right w:val="single" w:color="auto" w:sz="8" w:space="0"/>
            </w:tcBorders>
            <w:noWrap w:val="0"/>
            <w:vAlign w:val="center"/>
          </w:tcPr>
          <w:p w14:paraId="7C2E602B">
            <w:pPr>
              <w:widowControl/>
              <w:rPr>
                <w:rFonts w:ascii="宋体" w:hAnsi="宋体" w:cs="宋体"/>
                <w:color w:val="000000"/>
                <w:kern w:val="0"/>
                <w:szCs w:val="21"/>
              </w:rPr>
            </w:pPr>
            <w:r>
              <w:rPr>
                <w:rFonts w:hint="eastAsia" w:ascii="宋体" w:hAnsi="宋体" w:cs="宋体"/>
                <w:color w:val="000000"/>
                <w:kern w:val="0"/>
                <w:szCs w:val="21"/>
              </w:rPr>
              <w:t>数量</w:t>
            </w:r>
          </w:p>
        </w:tc>
        <w:tc>
          <w:tcPr>
            <w:tcW w:w="786" w:type="dxa"/>
            <w:vMerge w:val="restart"/>
            <w:tcBorders>
              <w:top w:val="single" w:color="auto" w:sz="8" w:space="0"/>
              <w:left w:val="single" w:color="auto" w:sz="8" w:space="0"/>
              <w:bottom w:val="single" w:color="000000" w:sz="8" w:space="0"/>
              <w:right w:val="single" w:color="auto" w:sz="8" w:space="0"/>
            </w:tcBorders>
            <w:noWrap w:val="0"/>
            <w:vAlign w:val="center"/>
          </w:tcPr>
          <w:p w14:paraId="79C4AC7C">
            <w:pPr>
              <w:widowControl/>
              <w:jc w:val="center"/>
              <w:rPr>
                <w:rFonts w:ascii="宋体" w:hAnsi="宋体" w:cs="宋体"/>
                <w:color w:val="000000"/>
                <w:kern w:val="0"/>
                <w:szCs w:val="21"/>
              </w:rPr>
            </w:pPr>
            <w:r>
              <w:rPr>
                <w:rFonts w:hint="eastAsia" w:ascii="宋体" w:hAnsi="宋体" w:cs="宋体"/>
                <w:color w:val="000000"/>
                <w:kern w:val="0"/>
                <w:szCs w:val="21"/>
              </w:rPr>
              <w:t>材料</w:t>
            </w:r>
          </w:p>
        </w:tc>
        <w:tc>
          <w:tcPr>
            <w:tcW w:w="1717" w:type="dxa"/>
            <w:gridSpan w:val="2"/>
            <w:tcBorders>
              <w:top w:val="single" w:color="auto" w:sz="8" w:space="0"/>
              <w:left w:val="nil"/>
              <w:bottom w:val="single" w:color="auto" w:sz="8" w:space="0"/>
              <w:right w:val="single" w:color="000000" w:sz="8" w:space="0"/>
            </w:tcBorders>
            <w:noWrap w:val="0"/>
            <w:vAlign w:val="center"/>
          </w:tcPr>
          <w:p w14:paraId="26CE3B42">
            <w:pPr>
              <w:widowControl/>
              <w:rPr>
                <w:rFonts w:ascii="宋体" w:hAnsi="宋体" w:cs="宋体"/>
                <w:color w:val="000000"/>
                <w:kern w:val="0"/>
                <w:szCs w:val="21"/>
              </w:rPr>
            </w:pPr>
            <w:r>
              <w:rPr>
                <w:rFonts w:hint="eastAsia" w:ascii="宋体" w:hAnsi="宋体" w:cs="宋体"/>
                <w:color w:val="000000"/>
                <w:kern w:val="0"/>
                <w:szCs w:val="21"/>
              </w:rPr>
              <w:t>总质量（kg）</w:t>
            </w:r>
          </w:p>
        </w:tc>
        <w:tc>
          <w:tcPr>
            <w:tcW w:w="2660" w:type="dxa"/>
            <w:vMerge w:val="restart"/>
            <w:tcBorders>
              <w:top w:val="single" w:color="auto" w:sz="8" w:space="0"/>
              <w:left w:val="single" w:color="auto" w:sz="8" w:space="0"/>
              <w:bottom w:val="single" w:color="000000" w:sz="8" w:space="0"/>
              <w:right w:val="single" w:color="auto" w:sz="8" w:space="0"/>
            </w:tcBorders>
            <w:noWrap w:val="0"/>
            <w:vAlign w:val="center"/>
          </w:tcPr>
          <w:p w14:paraId="6F279E83">
            <w:pPr>
              <w:widowControl/>
              <w:jc w:val="center"/>
              <w:rPr>
                <w:rFonts w:ascii="宋体" w:hAnsi="宋体" w:cs="宋体"/>
                <w:color w:val="000000"/>
                <w:kern w:val="0"/>
                <w:szCs w:val="21"/>
              </w:rPr>
            </w:pPr>
            <w:r>
              <w:rPr>
                <w:rFonts w:hint="eastAsia" w:ascii="宋体" w:hAnsi="宋体" w:cs="宋体"/>
                <w:color w:val="000000"/>
                <w:kern w:val="0"/>
                <w:szCs w:val="21"/>
              </w:rPr>
              <w:t>备注</w:t>
            </w:r>
          </w:p>
        </w:tc>
      </w:tr>
      <w:tr w14:paraId="23117551">
        <w:tblPrEx>
          <w:tblCellMar>
            <w:top w:w="0" w:type="dxa"/>
            <w:left w:w="108" w:type="dxa"/>
            <w:bottom w:w="0" w:type="dxa"/>
            <w:right w:w="108" w:type="dxa"/>
          </w:tblCellMar>
        </w:tblPrEx>
        <w:trPr>
          <w:trHeight w:val="285" w:hRule="atLeast"/>
        </w:trPr>
        <w:tc>
          <w:tcPr>
            <w:tcW w:w="709" w:type="dxa"/>
            <w:vMerge w:val="continue"/>
            <w:tcBorders>
              <w:top w:val="single" w:color="auto" w:sz="8" w:space="0"/>
              <w:left w:val="single" w:color="auto" w:sz="8" w:space="0"/>
              <w:bottom w:val="single" w:color="auto" w:sz="4" w:space="0"/>
              <w:right w:val="single" w:color="auto" w:sz="8" w:space="0"/>
            </w:tcBorders>
            <w:noWrap w:val="0"/>
            <w:vAlign w:val="center"/>
          </w:tcPr>
          <w:p w14:paraId="3C2799CD">
            <w:pPr>
              <w:widowControl/>
              <w:rPr>
                <w:rFonts w:ascii="宋体" w:hAnsi="宋体" w:cs="宋体"/>
                <w:color w:val="000000"/>
                <w:kern w:val="0"/>
                <w:szCs w:val="21"/>
              </w:rPr>
            </w:pPr>
          </w:p>
        </w:tc>
        <w:tc>
          <w:tcPr>
            <w:tcW w:w="2027" w:type="dxa"/>
            <w:vMerge w:val="continue"/>
            <w:tcBorders>
              <w:top w:val="single" w:color="auto" w:sz="8" w:space="0"/>
              <w:left w:val="single" w:color="auto" w:sz="8" w:space="0"/>
              <w:bottom w:val="single" w:color="auto" w:sz="4" w:space="0"/>
              <w:right w:val="single" w:color="auto" w:sz="8" w:space="0"/>
            </w:tcBorders>
            <w:noWrap w:val="0"/>
            <w:vAlign w:val="center"/>
          </w:tcPr>
          <w:p w14:paraId="5727D61C">
            <w:pPr>
              <w:widowControl/>
              <w:rPr>
                <w:rFonts w:ascii="宋体" w:hAnsi="宋体" w:cs="宋体"/>
                <w:color w:val="000000"/>
                <w:kern w:val="0"/>
                <w:szCs w:val="21"/>
              </w:rPr>
            </w:pPr>
          </w:p>
        </w:tc>
        <w:tc>
          <w:tcPr>
            <w:tcW w:w="861" w:type="dxa"/>
            <w:vMerge w:val="continue"/>
            <w:tcBorders>
              <w:top w:val="single" w:color="auto" w:sz="8" w:space="0"/>
              <w:left w:val="single" w:color="auto" w:sz="8" w:space="0"/>
              <w:bottom w:val="single" w:color="auto" w:sz="4" w:space="0"/>
              <w:right w:val="single" w:color="auto" w:sz="8" w:space="0"/>
            </w:tcBorders>
            <w:noWrap w:val="0"/>
            <w:vAlign w:val="center"/>
          </w:tcPr>
          <w:p w14:paraId="13F9058A">
            <w:pPr>
              <w:widowControl/>
              <w:rPr>
                <w:rFonts w:ascii="宋体" w:hAnsi="宋体" w:cs="宋体"/>
                <w:color w:val="000000"/>
                <w:kern w:val="0"/>
                <w:szCs w:val="21"/>
              </w:rPr>
            </w:pPr>
          </w:p>
        </w:tc>
        <w:tc>
          <w:tcPr>
            <w:tcW w:w="720" w:type="dxa"/>
            <w:vMerge w:val="continue"/>
            <w:tcBorders>
              <w:top w:val="single" w:color="auto" w:sz="8" w:space="0"/>
              <w:left w:val="single" w:color="auto" w:sz="8" w:space="0"/>
              <w:bottom w:val="single" w:color="auto" w:sz="4" w:space="0"/>
              <w:right w:val="single" w:color="auto" w:sz="8" w:space="0"/>
            </w:tcBorders>
            <w:noWrap w:val="0"/>
            <w:vAlign w:val="center"/>
          </w:tcPr>
          <w:p w14:paraId="22535F79">
            <w:pPr>
              <w:widowControl/>
              <w:rPr>
                <w:rFonts w:ascii="宋体" w:hAnsi="宋体" w:cs="宋体"/>
                <w:color w:val="000000"/>
                <w:kern w:val="0"/>
                <w:szCs w:val="21"/>
              </w:rPr>
            </w:pPr>
          </w:p>
        </w:tc>
        <w:tc>
          <w:tcPr>
            <w:tcW w:w="786" w:type="dxa"/>
            <w:vMerge w:val="continue"/>
            <w:tcBorders>
              <w:top w:val="single" w:color="auto" w:sz="8" w:space="0"/>
              <w:left w:val="single" w:color="auto" w:sz="8" w:space="0"/>
              <w:bottom w:val="single" w:color="auto" w:sz="4" w:space="0"/>
              <w:right w:val="single" w:color="auto" w:sz="8" w:space="0"/>
            </w:tcBorders>
            <w:noWrap w:val="0"/>
            <w:vAlign w:val="center"/>
          </w:tcPr>
          <w:p w14:paraId="7E83A253">
            <w:pPr>
              <w:widowControl/>
              <w:rPr>
                <w:rFonts w:ascii="宋体" w:hAnsi="宋体" w:cs="宋体"/>
                <w:color w:val="000000"/>
                <w:kern w:val="0"/>
                <w:szCs w:val="21"/>
              </w:rPr>
            </w:pPr>
          </w:p>
        </w:tc>
        <w:tc>
          <w:tcPr>
            <w:tcW w:w="850" w:type="dxa"/>
            <w:tcBorders>
              <w:top w:val="nil"/>
              <w:left w:val="nil"/>
              <w:bottom w:val="single" w:color="auto" w:sz="4" w:space="0"/>
              <w:right w:val="single" w:color="auto" w:sz="8" w:space="0"/>
            </w:tcBorders>
            <w:noWrap w:val="0"/>
            <w:vAlign w:val="center"/>
          </w:tcPr>
          <w:p w14:paraId="70EE0734">
            <w:pPr>
              <w:widowControl/>
              <w:rPr>
                <w:rFonts w:ascii="宋体" w:hAnsi="宋体" w:cs="宋体"/>
                <w:color w:val="000000"/>
                <w:kern w:val="0"/>
                <w:szCs w:val="21"/>
              </w:rPr>
            </w:pPr>
            <w:r>
              <w:rPr>
                <w:rFonts w:hint="eastAsia" w:ascii="宋体" w:hAnsi="宋体" w:cs="宋体"/>
                <w:color w:val="000000"/>
                <w:kern w:val="0"/>
                <w:szCs w:val="21"/>
              </w:rPr>
              <w:t>单重</w:t>
            </w:r>
          </w:p>
        </w:tc>
        <w:tc>
          <w:tcPr>
            <w:tcW w:w="867" w:type="dxa"/>
            <w:tcBorders>
              <w:top w:val="nil"/>
              <w:left w:val="nil"/>
              <w:bottom w:val="single" w:color="auto" w:sz="4" w:space="0"/>
              <w:right w:val="single" w:color="auto" w:sz="8" w:space="0"/>
            </w:tcBorders>
            <w:noWrap w:val="0"/>
            <w:vAlign w:val="center"/>
          </w:tcPr>
          <w:p w14:paraId="5A92114F">
            <w:pPr>
              <w:widowControl/>
              <w:rPr>
                <w:rFonts w:ascii="宋体" w:hAnsi="宋体" w:cs="宋体"/>
                <w:color w:val="000000"/>
                <w:kern w:val="0"/>
                <w:szCs w:val="21"/>
              </w:rPr>
            </w:pPr>
            <w:r>
              <w:rPr>
                <w:rFonts w:hint="eastAsia" w:ascii="宋体" w:hAnsi="宋体" w:cs="宋体"/>
                <w:color w:val="000000"/>
                <w:kern w:val="0"/>
                <w:szCs w:val="21"/>
              </w:rPr>
              <w:t>总重</w:t>
            </w:r>
          </w:p>
        </w:tc>
        <w:tc>
          <w:tcPr>
            <w:tcW w:w="2660" w:type="dxa"/>
            <w:vMerge w:val="continue"/>
            <w:tcBorders>
              <w:top w:val="single" w:color="auto" w:sz="8" w:space="0"/>
              <w:left w:val="single" w:color="auto" w:sz="8" w:space="0"/>
              <w:bottom w:val="single" w:color="auto" w:sz="4" w:space="0"/>
              <w:right w:val="single" w:color="auto" w:sz="8" w:space="0"/>
            </w:tcBorders>
            <w:noWrap w:val="0"/>
            <w:vAlign w:val="center"/>
          </w:tcPr>
          <w:p w14:paraId="0C291563">
            <w:pPr>
              <w:widowControl/>
              <w:rPr>
                <w:rFonts w:ascii="宋体" w:hAnsi="宋体" w:cs="宋体"/>
                <w:color w:val="000000"/>
                <w:kern w:val="0"/>
                <w:szCs w:val="21"/>
              </w:rPr>
            </w:pPr>
          </w:p>
        </w:tc>
      </w:tr>
      <w:tr w14:paraId="19144A6A">
        <w:tblPrEx>
          <w:tblCellMar>
            <w:top w:w="0" w:type="dxa"/>
            <w:left w:w="108" w:type="dxa"/>
            <w:bottom w:w="0" w:type="dxa"/>
            <w:right w:w="108" w:type="dxa"/>
          </w:tblCellMar>
        </w:tblPrEx>
        <w:trPr>
          <w:trHeight w:val="285" w:hRule="atLeast"/>
        </w:trPr>
        <w:tc>
          <w:tcPr>
            <w:tcW w:w="709" w:type="dxa"/>
            <w:tcBorders>
              <w:top w:val="single" w:color="auto" w:sz="4" w:space="0"/>
              <w:left w:val="single" w:color="auto" w:sz="4" w:space="0"/>
              <w:bottom w:val="single" w:color="auto" w:sz="4" w:space="0"/>
              <w:right w:val="single" w:color="auto" w:sz="4" w:space="0"/>
            </w:tcBorders>
            <w:noWrap w:val="0"/>
            <w:vAlign w:val="center"/>
          </w:tcPr>
          <w:p w14:paraId="26DC252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027" w:type="dxa"/>
            <w:tcBorders>
              <w:top w:val="single" w:color="auto" w:sz="4" w:space="0"/>
              <w:left w:val="single" w:color="auto" w:sz="4" w:space="0"/>
              <w:bottom w:val="single" w:color="auto" w:sz="4" w:space="0"/>
              <w:right w:val="single" w:color="auto" w:sz="4" w:space="0"/>
            </w:tcBorders>
            <w:noWrap w:val="0"/>
            <w:vAlign w:val="center"/>
          </w:tcPr>
          <w:p w14:paraId="2561BD94">
            <w:pPr>
              <w:widowControl/>
              <w:jc w:val="center"/>
              <w:rPr>
                <w:rFonts w:ascii="宋体" w:hAnsi="宋体" w:cs="宋体"/>
                <w:color w:val="000000"/>
                <w:kern w:val="0"/>
                <w:szCs w:val="21"/>
              </w:rPr>
            </w:pPr>
            <w:r>
              <w:rPr>
                <w:rFonts w:hint="eastAsia" w:ascii="宋体" w:hAnsi="宋体"/>
                <w:color w:val="000000"/>
                <w:szCs w:val="24"/>
                <w:lang w:val="en-US" w:eastAsia="zh-CN"/>
              </w:rPr>
              <w:t>\KDX150-40 卧式-280m3/h 24m</w:t>
            </w:r>
          </w:p>
        </w:tc>
        <w:tc>
          <w:tcPr>
            <w:tcW w:w="861" w:type="dxa"/>
            <w:tcBorders>
              <w:top w:val="single" w:color="auto" w:sz="4" w:space="0"/>
              <w:left w:val="single" w:color="auto" w:sz="4" w:space="0"/>
              <w:bottom w:val="single" w:color="auto" w:sz="4" w:space="0"/>
              <w:right w:val="single" w:color="auto" w:sz="4" w:space="0"/>
            </w:tcBorders>
            <w:noWrap w:val="0"/>
            <w:vAlign w:val="center"/>
          </w:tcPr>
          <w:p w14:paraId="590D7958">
            <w:pPr>
              <w:widowControl/>
              <w:jc w:val="center"/>
              <w:rPr>
                <w:rFonts w:hint="eastAsia" w:ascii="宋体" w:hAnsi="宋体" w:eastAsia="宋体" w:cs="宋体"/>
                <w:color w:val="000000"/>
                <w:kern w:val="0"/>
                <w:szCs w:val="21"/>
                <w:lang w:eastAsia="zh-CN"/>
              </w:rPr>
            </w:pPr>
            <w:r>
              <w:rPr>
                <w:rFonts w:hint="eastAsia" w:ascii="宋体" w:hAnsi="宋体"/>
                <w:szCs w:val="21"/>
                <w:lang w:eastAsia="zh-CN"/>
              </w:rPr>
              <w:t>循环泵</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06C41D91">
            <w:pPr>
              <w:widowControl/>
              <w:jc w:val="center"/>
              <w:rPr>
                <w:rFonts w:hint="eastAsia" w:ascii="宋体" w:hAnsi="宋体" w:cs="宋体"/>
                <w:color w:val="000000"/>
                <w:kern w:val="0"/>
                <w:szCs w:val="21"/>
              </w:rPr>
            </w:pPr>
            <w:r>
              <w:rPr>
                <w:rFonts w:hint="eastAsia" w:ascii="宋体" w:hAnsi="宋体" w:cs="宋体"/>
                <w:color w:val="000000"/>
                <w:kern w:val="0"/>
                <w:szCs w:val="21"/>
              </w:rPr>
              <w:t>1</w:t>
            </w:r>
          </w:p>
        </w:tc>
        <w:tc>
          <w:tcPr>
            <w:tcW w:w="786" w:type="dxa"/>
            <w:tcBorders>
              <w:top w:val="single" w:color="auto" w:sz="4" w:space="0"/>
              <w:left w:val="single" w:color="auto" w:sz="4" w:space="0"/>
              <w:bottom w:val="single" w:color="auto" w:sz="4" w:space="0"/>
              <w:right w:val="single" w:color="auto" w:sz="4" w:space="0"/>
            </w:tcBorders>
            <w:noWrap w:val="0"/>
            <w:vAlign w:val="center"/>
          </w:tcPr>
          <w:p w14:paraId="7AA3F9F2">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台</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22BDAA6A">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 xml:space="preserve"> </w:t>
            </w:r>
          </w:p>
        </w:tc>
        <w:tc>
          <w:tcPr>
            <w:tcW w:w="867" w:type="dxa"/>
            <w:tcBorders>
              <w:top w:val="single" w:color="auto" w:sz="4" w:space="0"/>
              <w:left w:val="single" w:color="auto" w:sz="4" w:space="0"/>
              <w:bottom w:val="single" w:color="auto" w:sz="4" w:space="0"/>
              <w:right w:val="single" w:color="auto" w:sz="4" w:space="0"/>
            </w:tcBorders>
            <w:noWrap w:val="0"/>
            <w:vAlign w:val="center"/>
          </w:tcPr>
          <w:p w14:paraId="0C9BF561">
            <w:pPr>
              <w:widowControl/>
              <w:jc w:val="center"/>
              <w:rPr>
                <w:rFonts w:hint="eastAsia" w:ascii="宋体" w:hAnsi="宋体" w:eastAsia="宋体" w:cs="宋体"/>
                <w:color w:val="000000"/>
                <w:kern w:val="0"/>
                <w:szCs w:val="21"/>
                <w:lang w:val="en-US" w:eastAsia="zh-CN"/>
              </w:rPr>
            </w:pPr>
          </w:p>
        </w:tc>
        <w:tc>
          <w:tcPr>
            <w:tcW w:w="2660" w:type="dxa"/>
            <w:tcBorders>
              <w:top w:val="single" w:color="auto" w:sz="4" w:space="0"/>
              <w:left w:val="single" w:color="auto" w:sz="4" w:space="0"/>
              <w:bottom w:val="single" w:color="auto" w:sz="4" w:space="0"/>
              <w:right w:val="single" w:color="auto" w:sz="4" w:space="0"/>
            </w:tcBorders>
            <w:noWrap w:val="0"/>
            <w:vAlign w:val="center"/>
          </w:tcPr>
          <w:p w14:paraId="3FC96FC4">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带联轴器</w:t>
            </w:r>
          </w:p>
        </w:tc>
      </w:tr>
    </w:tbl>
    <w:p w14:paraId="38D57AF0">
      <w:pPr>
        <w:spacing w:line="360" w:lineRule="auto"/>
        <w:rPr>
          <w:rFonts w:hint="eastAsia" w:ascii="宋体" w:hAnsi="宋体" w:cs="宋体"/>
          <w:szCs w:val="21"/>
        </w:rPr>
      </w:pPr>
      <w:r>
        <w:rPr>
          <w:rFonts w:hint="eastAsia" w:ascii="宋体" w:hAnsi="宋体"/>
          <w:b/>
          <w:szCs w:val="21"/>
        </w:rPr>
        <w:t>附加说明</w:t>
      </w:r>
    </w:p>
    <w:p w14:paraId="5835AAD0">
      <w:pPr>
        <w:spacing w:line="400" w:lineRule="exact"/>
        <w:rPr>
          <w:rFonts w:hint="eastAsia" w:ascii="宋体" w:hAnsi="宋体"/>
          <w:szCs w:val="21"/>
        </w:rPr>
      </w:pPr>
      <w:r>
        <w:rPr>
          <w:rFonts w:hint="eastAsia" w:ascii="宋体" w:hAnsi="宋体"/>
          <w:b/>
          <w:bCs/>
          <w:szCs w:val="21"/>
        </w:rPr>
        <w:t>4、设备和材料的制造、检验及质量标准</w:t>
      </w:r>
    </w:p>
    <w:p w14:paraId="564B9A0B">
      <w:pPr>
        <w:spacing w:line="400" w:lineRule="exact"/>
        <w:ind w:firstLine="457" w:firstLineChars="218"/>
        <w:rPr>
          <w:rFonts w:hint="eastAsia" w:ascii="宋体" w:hAnsi="宋体"/>
          <w:szCs w:val="21"/>
          <w:lang w:val="en-GB"/>
        </w:rPr>
      </w:pPr>
      <w:r>
        <w:rPr>
          <w:rFonts w:hint="eastAsia" w:ascii="宋体" w:hAnsi="宋体"/>
          <w:szCs w:val="21"/>
          <w:lang w:val="en-GB"/>
        </w:rPr>
        <w:t>1）到货后甲方将设备上线使用，质保期内出现的质量问题及造成的损失，由乙方承担。</w:t>
      </w:r>
    </w:p>
    <w:p w14:paraId="5AF813EB">
      <w:pPr>
        <w:tabs>
          <w:tab w:val="left" w:pos="0"/>
          <w:tab w:val="left" w:pos="900"/>
          <w:tab w:val="left" w:pos="1080"/>
        </w:tabs>
        <w:spacing w:line="360" w:lineRule="auto"/>
        <w:ind w:firstLine="457" w:firstLineChars="218"/>
        <w:rPr>
          <w:rFonts w:hint="eastAsia" w:ascii="宋体" w:hAnsi="宋体"/>
          <w:szCs w:val="21"/>
          <w:lang w:val="en-GB"/>
        </w:rPr>
      </w:pPr>
      <w:r>
        <w:rPr>
          <w:rFonts w:hint="eastAsia" w:ascii="宋体" w:hAnsi="宋体"/>
          <w:szCs w:val="21"/>
          <w:lang w:val="en-GB"/>
        </w:rPr>
        <w:t>2）需甲方参与的检验的项目，由乙方在检验前1周书面通知甲方。通知送达后1周，甲方未到且无书面答复时，视为甲方认可乙方自检结果。</w:t>
      </w:r>
    </w:p>
    <w:p w14:paraId="74A87A3E">
      <w:pPr>
        <w:tabs>
          <w:tab w:val="left" w:pos="0"/>
          <w:tab w:val="left" w:pos="900"/>
          <w:tab w:val="left" w:pos="1080"/>
        </w:tabs>
        <w:spacing w:line="360" w:lineRule="auto"/>
        <w:ind w:firstLine="457" w:firstLineChars="218"/>
        <w:rPr>
          <w:rFonts w:hint="eastAsia" w:ascii="宋体" w:hAnsi="宋体"/>
          <w:szCs w:val="21"/>
          <w:lang w:val="en-GB"/>
        </w:rPr>
      </w:pPr>
      <w:r>
        <w:rPr>
          <w:rFonts w:hint="eastAsia" w:ascii="宋体" w:hAnsi="宋体"/>
          <w:szCs w:val="21"/>
          <w:lang w:val="en-GB"/>
        </w:rPr>
        <w:t>3)乙方负责按甲方需求及时发货,并对运输过程中造成的丢失、损坏等负责，不能以任何理由影响预定的交货期。</w:t>
      </w:r>
    </w:p>
    <w:p w14:paraId="57A4A6CB">
      <w:pPr>
        <w:tabs>
          <w:tab w:val="left" w:pos="0"/>
          <w:tab w:val="left" w:pos="900"/>
          <w:tab w:val="left" w:pos="1080"/>
        </w:tabs>
        <w:spacing w:line="360" w:lineRule="auto"/>
        <w:ind w:firstLine="457" w:firstLineChars="218"/>
        <w:rPr>
          <w:rFonts w:hint="eastAsia" w:ascii="宋体" w:hAnsi="宋体"/>
          <w:b/>
          <w:szCs w:val="21"/>
        </w:rPr>
      </w:pPr>
      <w:r>
        <w:rPr>
          <w:rFonts w:hint="eastAsia" w:ascii="宋体" w:hAnsi="宋体"/>
          <w:szCs w:val="21"/>
          <w:lang w:val="en-GB"/>
        </w:rPr>
        <w:t>4) 乙方货物运抵甲方指定现场，甲方负责卸车、转运及仓储保管。</w:t>
      </w:r>
    </w:p>
    <w:p w14:paraId="1B2966FE">
      <w:pPr>
        <w:tabs>
          <w:tab w:val="left" w:pos="0"/>
          <w:tab w:val="left" w:pos="900"/>
          <w:tab w:val="left" w:pos="1080"/>
        </w:tabs>
        <w:spacing w:line="360" w:lineRule="auto"/>
        <w:rPr>
          <w:rFonts w:hint="eastAsia" w:ascii="宋体" w:hAnsi="宋体"/>
          <w:b/>
          <w:szCs w:val="21"/>
        </w:rPr>
      </w:pPr>
      <w:r>
        <w:rPr>
          <w:rFonts w:hint="eastAsia" w:ascii="宋体" w:hAnsi="宋体"/>
          <w:b/>
          <w:szCs w:val="21"/>
        </w:rPr>
        <w:t>附件四   提供资料</w:t>
      </w:r>
    </w:p>
    <w:p w14:paraId="07D38FFD">
      <w:pPr>
        <w:tabs>
          <w:tab w:val="left" w:pos="540"/>
          <w:tab w:val="left" w:pos="1080"/>
        </w:tabs>
        <w:spacing w:line="360" w:lineRule="auto"/>
        <w:ind w:left="-23" w:firstLine="142" w:firstLineChars="68"/>
        <w:outlineLvl w:val="0"/>
        <w:rPr>
          <w:rFonts w:hint="eastAsia" w:ascii="宋体" w:hAnsi="宋体"/>
          <w:color w:val="000000"/>
          <w:szCs w:val="21"/>
        </w:rPr>
      </w:pPr>
      <w:r>
        <w:rPr>
          <w:rFonts w:hint="eastAsia" w:ascii="宋体" w:hAnsi="宋体"/>
          <w:color w:val="000000"/>
          <w:szCs w:val="21"/>
        </w:rPr>
        <w:t>4.1</w:t>
      </w:r>
      <w:r>
        <w:rPr>
          <w:rFonts w:hint="eastAsia" w:ascii="宋体" w:hAnsi="宋体"/>
          <w:szCs w:val="21"/>
        </w:rPr>
        <w:t>甲方在中标后向乙方提以下资料：无</w:t>
      </w:r>
    </w:p>
    <w:p w14:paraId="0ED82A54">
      <w:pPr>
        <w:spacing w:line="360" w:lineRule="auto"/>
        <w:ind w:firstLine="119" w:firstLineChars="57"/>
        <w:rPr>
          <w:rFonts w:hint="eastAsia" w:ascii="宋体" w:hAnsi="宋体"/>
          <w:szCs w:val="21"/>
        </w:rPr>
      </w:pPr>
      <w:r>
        <w:rPr>
          <w:rFonts w:hint="eastAsia" w:ascii="宋体" w:hAnsi="宋体"/>
          <w:color w:val="000000"/>
          <w:szCs w:val="21"/>
        </w:rPr>
        <w:t>4.2乙方在</w:t>
      </w:r>
      <w:r>
        <w:rPr>
          <w:rFonts w:hint="eastAsia" w:ascii="宋体" w:hAnsi="宋体"/>
          <w:szCs w:val="21"/>
        </w:rPr>
        <w:t>中标后</w:t>
      </w:r>
      <w:r>
        <w:rPr>
          <w:rFonts w:hint="eastAsia" w:ascii="宋体" w:hAnsi="宋体"/>
          <w:color w:val="000000"/>
          <w:szCs w:val="21"/>
        </w:rPr>
        <w:t>到现场测绘外型尺寸图、安装尺寸图，并将最终纸版及电子版资料</w:t>
      </w:r>
      <w:r>
        <w:rPr>
          <w:rFonts w:hint="eastAsia" w:ascii="宋体" w:hAnsi="宋体"/>
          <w:color w:val="000000"/>
          <w:szCs w:val="21"/>
          <w:lang w:eastAsia="zh-CN"/>
        </w:rPr>
        <w:t>（如：零件明细表等）</w:t>
      </w:r>
      <w:r>
        <w:rPr>
          <w:rFonts w:hint="eastAsia" w:ascii="宋体" w:hAnsi="宋体"/>
          <w:color w:val="000000"/>
          <w:szCs w:val="21"/>
        </w:rPr>
        <w:t>提供给甲方，用以核实设备互换性。</w:t>
      </w:r>
    </w:p>
    <w:p w14:paraId="6E1DA469">
      <w:pPr>
        <w:pStyle w:val="5"/>
        <w:spacing w:line="360" w:lineRule="auto"/>
        <w:ind w:firstLine="119" w:firstLineChars="57"/>
        <w:rPr>
          <w:rFonts w:hint="eastAsia" w:hAnsi="宋体"/>
          <w:color w:val="000000"/>
          <w:szCs w:val="21"/>
        </w:rPr>
      </w:pPr>
      <w:r>
        <w:rPr>
          <w:rFonts w:hint="eastAsia" w:hAnsi="宋体"/>
          <w:color w:val="000000"/>
          <w:szCs w:val="21"/>
        </w:rPr>
        <w:t>4.</w:t>
      </w:r>
      <w:r>
        <w:rPr>
          <w:rFonts w:hint="eastAsia" w:hAnsi="宋体"/>
          <w:color w:val="000000"/>
          <w:szCs w:val="21"/>
          <w:lang w:eastAsia="zh-CN"/>
        </w:rPr>
        <w:t>3资料</w:t>
      </w:r>
      <w:r>
        <w:rPr>
          <w:rFonts w:hint="eastAsia" w:hAnsi="宋体"/>
          <w:szCs w:val="21"/>
        </w:rPr>
        <w:t>邮寄地址</w:t>
      </w:r>
    </w:p>
    <w:p w14:paraId="298EEE07">
      <w:pPr>
        <w:pStyle w:val="5"/>
        <w:spacing w:line="360" w:lineRule="auto"/>
        <w:ind w:firstLine="539" w:firstLineChars="257"/>
        <w:rPr>
          <w:rFonts w:hint="eastAsia" w:hAnsi="宋体"/>
          <w:szCs w:val="21"/>
          <w:lang w:eastAsia="zh-CN"/>
        </w:rPr>
      </w:pPr>
      <w:r>
        <w:rPr>
          <w:rFonts w:hint="eastAsia" w:hAnsi="宋体"/>
          <w:szCs w:val="21"/>
        </w:rPr>
        <w:t>甲方邮寄信息：甘肃省嘉峪关市酒泉钢铁集团宏兴钢铁股份有限公司</w:t>
      </w:r>
      <w:r>
        <w:rPr>
          <w:rFonts w:hint="eastAsia" w:hAnsi="宋体"/>
          <w:szCs w:val="21"/>
          <w:lang w:eastAsia="zh-CN"/>
        </w:rPr>
        <w:t>炼铁厂；</w:t>
      </w:r>
    </w:p>
    <w:p w14:paraId="47A1DFDB">
      <w:pPr>
        <w:pStyle w:val="5"/>
        <w:spacing w:line="360" w:lineRule="auto"/>
        <w:ind w:firstLine="539" w:firstLineChars="257"/>
        <w:rPr>
          <w:rFonts w:hint="eastAsia" w:hAnsi="宋体"/>
          <w:szCs w:val="21"/>
        </w:rPr>
      </w:pPr>
      <w:r>
        <w:rPr>
          <w:rFonts w:hint="eastAsia" w:hAnsi="宋体"/>
          <w:szCs w:val="21"/>
        </w:rPr>
        <w:t>邮政编码：735100；</w:t>
      </w:r>
    </w:p>
    <w:p w14:paraId="70155770">
      <w:pPr>
        <w:spacing w:line="360" w:lineRule="auto"/>
        <w:rPr>
          <w:rFonts w:hint="eastAsia" w:ascii="宋体" w:hAnsi="宋体"/>
          <w:b/>
          <w:szCs w:val="21"/>
        </w:rPr>
      </w:pPr>
      <w:r>
        <w:rPr>
          <w:rFonts w:hint="eastAsia" w:ascii="宋体" w:hAnsi="宋体"/>
          <w:b/>
          <w:szCs w:val="21"/>
        </w:rPr>
        <w:t>附件五   售后服务</w:t>
      </w:r>
    </w:p>
    <w:p w14:paraId="451C6535">
      <w:pPr>
        <w:pStyle w:val="5"/>
        <w:spacing w:line="360" w:lineRule="auto"/>
        <w:ind w:firstLine="539" w:firstLineChars="257"/>
        <w:rPr>
          <w:rFonts w:hint="eastAsia" w:hAnsi="宋体"/>
          <w:szCs w:val="21"/>
        </w:rPr>
      </w:pPr>
      <w:r>
        <w:rPr>
          <w:rFonts w:hint="eastAsia" w:hAnsi="宋体"/>
          <w:szCs w:val="21"/>
        </w:rPr>
        <w:t>5.1质量保证项目</w:t>
      </w:r>
      <w:r>
        <w:rPr>
          <w:rFonts w:hint="eastAsia" w:hAnsi="宋体"/>
          <w:szCs w:val="21"/>
          <w:lang w:eastAsia="zh-CN"/>
        </w:rPr>
        <w:t>循环</w:t>
      </w:r>
      <w:r>
        <w:rPr>
          <w:rFonts w:hint="eastAsia" w:ascii="宋体" w:hAnsi="宋体"/>
          <w:szCs w:val="21"/>
          <w:lang w:eastAsia="zh-CN"/>
        </w:rPr>
        <w:t>泵</w:t>
      </w:r>
      <w:r>
        <w:rPr>
          <w:rFonts w:hint="eastAsia" w:hAnsi="宋体"/>
          <w:szCs w:val="21"/>
          <w:lang w:eastAsia="zh-CN"/>
        </w:rPr>
        <w:t>整机使用寿命</w:t>
      </w:r>
      <w:r>
        <w:rPr>
          <w:rFonts w:hint="eastAsia" w:hAnsi="宋体"/>
          <w:szCs w:val="21"/>
          <w:lang w:val="en-US" w:eastAsia="zh-CN"/>
        </w:rPr>
        <w:t>5</w:t>
      </w:r>
      <w:r>
        <w:rPr>
          <w:rFonts w:hint="eastAsia" w:hAnsi="宋体"/>
          <w:szCs w:val="21"/>
          <w:lang w:eastAsia="zh-CN"/>
        </w:rPr>
        <w:t>年以上，在正常使用情况下，3年内不得出现各部轴承、密封件损坏，叶轮、蜗壳气蚀、磨损超过本体厚度20%，机械密封使用在</w:t>
      </w:r>
      <w:r>
        <w:rPr>
          <w:rFonts w:hint="eastAsia" w:hAnsi="宋体"/>
          <w:szCs w:val="21"/>
          <w:lang w:val="en-US" w:eastAsia="zh-CN"/>
        </w:rPr>
        <w:t>1.5年以上</w:t>
      </w:r>
      <w:r>
        <w:rPr>
          <w:rFonts w:hint="eastAsia" w:hAnsi="宋体"/>
          <w:szCs w:val="21"/>
          <w:lang w:eastAsia="zh-CN"/>
        </w:rPr>
        <w:t>。（</w:t>
      </w:r>
      <w:r>
        <w:rPr>
          <w:rFonts w:hint="eastAsia" w:hAnsi="宋体"/>
          <w:szCs w:val="21"/>
        </w:rPr>
        <w:t>从</w:t>
      </w:r>
      <w:r>
        <w:rPr>
          <w:rFonts w:hint="eastAsia" w:hAnsi="宋体"/>
          <w:szCs w:val="21"/>
          <w:lang w:eastAsia="zh-CN"/>
        </w:rPr>
        <w:t>设备</w:t>
      </w:r>
      <w:r>
        <w:rPr>
          <w:rFonts w:hint="eastAsia" w:hAnsi="宋体"/>
          <w:szCs w:val="21"/>
        </w:rPr>
        <w:t>安装</w:t>
      </w:r>
      <w:r>
        <w:rPr>
          <w:rFonts w:hint="eastAsia" w:hAnsi="宋体"/>
          <w:szCs w:val="21"/>
          <w:lang w:eastAsia="zh-CN"/>
        </w:rPr>
        <w:t>上线</w:t>
      </w:r>
      <w:r>
        <w:rPr>
          <w:rFonts w:hint="eastAsia" w:hAnsi="宋体"/>
          <w:szCs w:val="21"/>
        </w:rPr>
        <w:t>之日起算）。</w:t>
      </w:r>
    </w:p>
    <w:p w14:paraId="65D9FBAF">
      <w:pPr>
        <w:pStyle w:val="5"/>
        <w:spacing w:line="360" w:lineRule="auto"/>
        <w:ind w:firstLine="539" w:firstLineChars="257"/>
        <w:rPr>
          <w:rFonts w:hint="eastAsia" w:hAnsi="宋体"/>
          <w:szCs w:val="21"/>
        </w:rPr>
      </w:pPr>
      <w:r>
        <w:rPr>
          <w:rFonts w:hint="eastAsia" w:hAnsi="宋体"/>
          <w:szCs w:val="21"/>
        </w:rPr>
        <w:t>5.2保质期内，凡是由于设备质量问题引起的损坏，乙方在接到通知24小时内到达现场，无偿负责维修恢复原有的功能，同时无偿提供设备备件1套。</w:t>
      </w:r>
    </w:p>
    <w:p w14:paraId="2B35F133">
      <w:pPr>
        <w:pStyle w:val="5"/>
        <w:spacing w:line="360" w:lineRule="auto"/>
        <w:ind w:firstLine="539" w:firstLineChars="257"/>
        <w:rPr>
          <w:rFonts w:hint="eastAsia" w:hAnsi="宋体"/>
          <w:szCs w:val="21"/>
        </w:rPr>
      </w:pPr>
      <w:r>
        <w:rPr>
          <w:rFonts w:hint="eastAsia" w:hAnsi="宋体"/>
          <w:szCs w:val="21"/>
        </w:rPr>
        <w:t>5.3设备因甲方人为原因出现损坏，按甲方通知，乙方积极配合甲方维修处理，优先、及时提供备件，费用由甲方承担。</w:t>
      </w:r>
    </w:p>
    <w:p w14:paraId="444CE378">
      <w:pPr>
        <w:tabs>
          <w:tab w:val="left" w:pos="0"/>
          <w:tab w:val="left" w:pos="720"/>
          <w:tab w:val="left" w:pos="900"/>
          <w:tab w:val="left" w:pos="1080"/>
        </w:tabs>
        <w:spacing w:line="360" w:lineRule="auto"/>
        <w:rPr>
          <w:rFonts w:hint="eastAsia" w:ascii="宋体" w:hAnsi="宋体"/>
          <w:b/>
          <w:szCs w:val="21"/>
        </w:rPr>
      </w:pPr>
      <w:r>
        <w:rPr>
          <w:rFonts w:hint="eastAsia" w:ascii="宋体" w:hAnsi="宋体"/>
          <w:b/>
          <w:szCs w:val="21"/>
        </w:rPr>
        <w:t>附件六   交货时间及地点</w:t>
      </w:r>
    </w:p>
    <w:p w14:paraId="78AF0EC3">
      <w:pPr>
        <w:numPr>
          <w:ilvl w:val="2"/>
          <w:numId w:val="1"/>
        </w:numPr>
        <w:tabs>
          <w:tab w:val="left" w:pos="-180"/>
          <w:tab w:val="left" w:pos="-120"/>
          <w:tab w:val="left" w:pos="540"/>
          <w:tab w:val="left" w:pos="720"/>
        </w:tabs>
        <w:spacing w:line="360" w:lineRule="auto"/>
        <w:ind w:left="0" w:firstLine="360"/>
        <w:rPr>
          <w:rFonts w:hint="eastAsia" w:ascii="宋体" w:hAnsi="宋体"/>
          <w:szCs w:val="21"/>
        </w:rPr>
      </w:pPr>
      <w:r>
        <w:rPr>
          <w:rFonts w:hint="eastAsia" w:ascii="宋体" w:hAnsi="宋体"/>
          <w:szCs w:val="21"/>
        </w:rPr>
        <w:t>交货时间：</w:t>
      </w:r>
      <w:r>
        <w:rPr>
          <w:rFonts w:hint="eastAsia" w:ascii="宋体" w:hAnsi="宋体"/>
          <w:szCs w:val="21"/>
          <w:lang w:eastAsia="zh-CN"/>
        </w:rPr>
        <w:t>循环泵</w:t>
      </w:r>
      <w:r>
        <w:rPr>
          <w:rFonts w:hint="eastAsia" w:ascii="宋体" w:hAnsi="宋体"/>
          <w:szCs w:val="21"/>
        </w:rPr>
        <w:t>于中标后三个月内交货。</w:t>
      </w:r>
    </w:p>
    <w:p w14:paraId="4F66DD31">
      <w:pPr>
        <w:widowControl/>
        <w:numPr>
          <w:ilvl w:val="2"/>
          <w:numId w:val="1"/>
        </w:numPr>
        <w:tabs>
          <w:tab w:val="left" w:pos="-180"/>
          <w:tab w:val="left" w:pos="-120"/>
          <w:tab w:val="left" w:pos="720"/>
        </w:tabs>
        <w:spacing w:line="360" w:lineRule="auto"/>
        <w:ind w:left="0" w:firstLine="360"/>
        <w:jc w:val="left"/>
        <w:rPr>
          <w:rFonts w:hint="default"/>
          <w:sz w:val="21"/>
          <w:szCs w:val="21"/>
          <w:lang w:val="en-US" w:eastAsia="zh-CN"/>
        </w:rPr>
      </w:pPr>
      <w:r>
        <w:rPr>
          <w:rFonts w:hint="eastAsia" w:ascii="宋体" w:hAnsi="宋体"/>
          <w:szCs w:val="21"/>
        </w:rPr>
        <w:t>交货地点：</w:t>
      </w:r>
      <w:r>
        <w:rPr>
          <w:rFonts w:hint="eastAsia" w:ascii="宋体" w:hAnsi="宋体"/>
          <w:bCs/>
          <w:szCs w:val="21"/>
        </w:rPr>
        <w:t>甘肃酒钢集团宏兴股份公司储运部工矿备件库</w:t>
      </w:r>
    </w:p>
    <w:p w14:paraId="5CDB37AA">
      <w:pPr>
        <w:widowControl/>
        <w:numPr>
          <w:ilvl w:val="0"/>
          <w:numId w:val="0"/>
        </w:numPr>
        <w:tabs>
          <w:tab w:val="left" w:pos="-180"/>
          <w:tab w:val="left" w:pos="-120"/>
          <w:tab w:val="left" w:pos="720"/>
        </w:tabs>
        <w:spacing w:line="360" w:lineRule="auto"/>
        <w:ind w:firstLine="420" w:firstLineChars="200"/>
        <w:jc w:val="left"/>
        <w:rPr>
          <w:rFonts w:hint="default"/>
          <w:sz w:val="21"/>
          <w:szCs w:val="21"/>
          <w:lang w:val="en-US" w:eastAsia="zh-CN"/>
        </w:rPr>
      </w:pPr>
      <w:r>
        <w:rPr>
          <w:rFonts w:hint="eastAsia" w:ascii="宋体" w:hAnsi="宋体"/>
          <w:bCs/>
          <w:szCs w:val="21"/>
          <w:lang w:val="en-US" w:eastAsia="zh-CN"/>
        </w:rPr>
        <w:t xml:space="preserve"> 6.3 </w:t>
      </w:r>
      <w:r>
        <w:rPr>
          <w:rFonts w:hint="eastAsia"/>
          <w:sz w:val="21"/>
          <w:szCs w:val="21"/>
        </w:rPr>
        <w:t>联系人电子邮箱：</w:t>
      </w:r>
      <w:r>
        <w:rPr>
          <w:rFonts w:hint="eastAsia"/>
          <w:sz w:val="21"/>
          <w:szCs w:val="21"/>
        </w:rPr>
        <w:fldChar w:fldCharType="begin"/>
      </w:r>
      <w:r>
        <w:rPr>
          <w:rFonts w:hint="eastAsia"/>
          <w:sz w:val="21"/>
          <w:szCs w:val="21"/>
        </w:rPr>
        <w:instrText xml:space="preserve"> HYPERLINK "mailto:panzhongming@jiugang.com" </w:instrText>
      </w:r>
      <w:r>
        <w:rPr>
          <w:rFonts w:hint="eastAsia"/>
          <w:sz w:val="21"/>
          <w:szCs w:val="21"/>
        </w:rPr>
        <w:fldChar w:fldCharType="separate"/>
      </w:r>
      <w:r>
        <w:rPr>
          <w:rFonts w:hint="eastAsia"/>
          <w:sz w:val="21"/>
          <w:szCs w:val="21"/>
          <w:lang w:val="en-US" w:eastAsia="zh-CN"/>
        </w:rPr>
        <w:t>yuzhijun</w:t>
      </w:r>
      <w:r>
        <w:rPr>
          <w:rFonts w:hint="eastAsia"/>
          <w:sz w:val="21"/>
          <w:szCs w:val="21"/>
        </w:rPr>
        <w:t>@jiugang.com</w:t>
      </w:r>
      <w:r>
        <w:rPr>
          <w:rFonts w:hint="eastAsia"/>
          <w:sz w:val="21"/>
          <w:szCs w:val="21"/>
        </w:rPr>
        <w:fldChar w:fldCharType="end"/>
      </w:r>
      <w:r>
        <w:rPr>
          <w:rFonts w:hint="eastAsia"/>
          <w:sz w:val="21"/>
          <w:szCs w:val="21"/>
        </w:rPr>
        <w:t xml:space="preserve"> </w:t>
      </w:r>
      <w:r>
        <w:rPr>
          <w:rFonts w:hint="eastAsia"/>
          <w:sz w:val="21"/>
          <w:szCs w:val="21"/>
          <w:lang w:val="en-US" w:eastAsia="zh-CN"/>
        </w:rPr>
        <w:t xml:space="preserve">   </w:t>
      </w:r>
      <w:r>
        <w:rPr>
          <w:rFonts w:hint="eastAsia"/>
          <w:sz w:val="21"/>
          <w:szCs w:val="21"/>
        </w:rPr>
        <w:t xml:space="preserve"> </w:t>
      </w:r>
      <w:r>
        <w:rPr>
          <w:rFonts w:hint="eastAsia"/>
          <w:sz w:val="21"/>
          <w:szCs w:val="21"/>
          <w:lang w:eastAsia="zh-CN"/>
        </w:rPr>
        <w:t>电话：</w:t>
      </w:r>
      <w:r>
        <w:rPr>
          <w:rFonts w:hint="eastAsia"/>
          <w:sz w:val="21"/>
          <w:szCs w:val="21"/>
          <w:lang w:val="en-US" w:eastAsia="zh-CN"/>
        </w:rPr>
        <w:t>18298976019</w:t>
      </w:r>
    </w:p>
    <w:p w14:paraId="5D4C96D8">
      <w:pPr>
        <w:tabs>
          <w:tab w:val="left" w:pos="0"/>
          <w:tab w:val="left" w:pos="720"/>
          <w:tab w:val="left" w:pos="900"/>
          <w:tab w:val="left" w:pos="1080"/>
        </w:tabs>
        <w:spacing w:line="360" w:lineRule="auto"/>
        <w:rPr>
          <w:rFonts w:hint="eastAsia" w:ascii="宋体" w:hAnsi="宋体"/>
          <w:b/>
          <w:szCs w:val="21"/>
        </w:rPr>
      </w:pPr>
      <w:r>
        <w:rPr>
          <w:rFonts w:hint="eastAsia" w:ascii="宋体" w:hAnsi="宋体"/>
          <w:b/>
          <w:szCs w:val="21"/>
        </w:rPr>
        <w:t>附件七   其它</w:t>
      </w:r>
    </w:p>
    <w:p w14:paraId="6F3F9B9D">
      <w:pPr>
        <w:spacing w:line="360" w:lineRule="auto"/>
        <w:ind w:firstLine="525" w:firstLineChars="250"/>
        <w:rPr>
          <w:rFonts w:hint="eastAsia" w:ascii="宋体" w:hAnsi="宋体"/>
          <w:color w:val="000000"/>
          <w:szCs w:val="21"/>
        </w:rPr>
      </w:pPr>
      <w:r>
        <w:rPr>
          <w:rFonts w:hint="eastAsia" w:ascii="宋体" w:hAnsi="宋体"/>
          <w:color w:val="000000"/>
          <w:szCs w:val="21"/>
          <w:lang w:val="en-US" w:eastAsia="zh-CN"/>
        </w:rPr>
        <w:t>7</w:t>
      </w:r>
      <w:r>
        <w:rPr>
          <w:rFonts w:hint="eastAsia" w:ascii="宋体" w:hAnsi="宋体"/>
          <w:color w:val="000000"/>
          <w:szCs w:val="21"/>
        </w:rPr>
        <w:t xml:space="preserve">.1本协议内容经由甲乙双方于    年   月   日   时-  时通过   方式商定。 </w:t>
      </w:r>
    </w:p>
    <w:p w14:paraId="5519A1F4">
      <w:pPr>
        <w:spacing w:line="360" w:lineRule="auto"/>
        <w:ind w:firstLine="525" w:firstLineChars="250"/>
        <w:rPr>
          <w:rFonts w:hint="eastAsia" w:ascii="宋体" w:hAnsi="宋体"/>
          <w:color w:val="000000"/>
          <w:szCs w:val="21"/>
        </w:rPr>
      </w:pPr>
      <w:r>
        <w:rPr>
          <w:rFonts w:hint="eastAsia" w:ascii="宋体" w:hAnsi="宋体"/>
          <w:color w:val="000000"/>
          <w:szCs w:val="21"/>
          <w:lang w:val="en-US" w:eastAsia="zh-CN"/>
        </w:rPr>
        <w:t>7</w:t>
      </w:r>
      <w:r>
        <w:rPr>
          <w:rFonts w:hint="eastAsia" w:ascii="宋体" w:hAnsi="宋体"/>
          <w:color w:val="000000"/>
          <w:szCs w:val="21"/>
        </w:rPr>
        <w:t>.2甲乙双方应当就签订本协议的相关事宜保密，不得将签订主体、时间、内容等信息透露给其他第三人。</w:t>
      </w:r>
    </w:p>
    <w:p w14:paraId="2968B377">
      <w:pPr>
        <w:spacing w:line="360" w:lineRule="auto"/>
        <w:ind w:firstLine="525" w:firstLineChars="250"/>
        <w:rPr>
          <w:rFonts w:hint="eastAsia" w:ascii="宋体" w:hAnsi="宋体"/>
          <w:color w:val="000000"/>
          <w:szCs w:val="21"/>
        </w:rPr>
      </w:pPr>
      <w:r>
        <w:rPr>
          <w:rFonts w:hint="eastAsia" w:ascii="宋体" w:hAnsi="宋体"/>
          <w:color w:val="000000"/>
          <w:szCs w:val="21"/>
          <w:lang w:val="en-US" w:eastAsia="zh-CN"/>
        </w:rPr>
        <w:t>7</w:t>
      </w:r>
      <w:r>
        <w:rPr>
          <w:rFonts w:hint="eastAsia" w:ascii="宋体" w:hAnsi="宋体"/>
          <w:color w:val="000000"/>
          <w:szCs w:val="21"/>
        </w:rPr>
        <w:t>.3若   公司不能中标，则本技术规格书自动失效，双方互不承担任何责任。</w:t>
      </w:r>
    </w:p>
    <w:p w14:paraId="1C362F03">
      <w:pPr>
        <w:spacing w:line="360" w:lineRule="auto"/>
        <w:ind w:firstLine="525" w:firstLineChars="250"/>
        <w:rPr>
          <w:rFonts w:ascii="宋体" w:hAnsi="宋体"/>
          <w:szCs w:val="21"/>
        </w:rPr>
      </w:pPr>
      <w:r>
        <w:rPr>
          <w:rFonts w:hint="eastAsia" w:ascii="宋体" w:hAnsi="宋体"/>
          <w:color w:val="000000"/>
          <w:szCs w:val="21"/>
          <w:lang w:val="en-US" w:eastAsia="zh-CN"/>
        </w:rPr>
        <w:t>7</w:t>
      </w:r>
      <w:r>
        <w:rPr>
          <w:rFonts w:hint="eastAsia" w:ascii="宋体" w:hAnsi="宋体"/>
          <w:color w:val="000000"/>
          <w:szCs w:val="21"/>
        </w:rPr>
        <w:t>.4本协议一式四份，甲方三份，乙方一份。</w:t>
      </w:r>
    </w:p>
    <w:p w14:paraId="4C08A9D9">
      <w:pPr>
        <w:numPr>
          <w:ilvl w:val="0"/>
          <w:numId w:val="0"/>
        </w:numPr>
        <w:tabs>
          <w:tab w:val="left" w:pos="540"/>
          <w:tab w:val="left" w:pos="840"/>
          <w:tab w:val="left" w:pos="1080"/>
        </w:tabs>
        <w:spacing w:line="360" w:lineRule="auto"/>
        <w:rPr>
          <w:rFonts w:hint="eastAsia" w:ascii="宋体" w:hAnsi="宋体" w:eastAsia="宋体"/>
          <w:szCs w:val="21"/>
          <w:lang w:val="en-US" w:eastAsia="zh-CN"/>
        </w:rPr>
      </w:pPr>
    </w:p>
    <w:p w14:paraId="5A519DB2">
      <w:pPr>
        <w:tabs>
          <w:tab w:val="left" w:pos="540"/>
          <w:tab w:val="left" w:pos="840"/>
          <w:tab w:val="left" w:pos="1080"/>
        </w:tabs>
        <w:spacing w:line="360" w:lineRule="auto"/>
        <w:rPr>
          <w:rFonts w:ascii="宋体" w:hAnsi="宋体"/>
          <w:szCs w:val="21"/>
        </w:rPr>
      </w:pPr>
    </w:p>
    <w:p w14:paraId="074D9B4F">
      <w:pPr>
        <w:tabs>
          <w:tab w:val="left" w:pos="1943"/>
        </w:tabs>
        <w:rPr>
          <w:rFonts w:hint="eastAsia" w:ascii="宋体" w:hAnsi="宋体"/>
          <w:b/>
          <w:sz w:val="28"/>
          <w:szCs w:val="28"/>
        </w:rPr>
      </w:pPr>
      <w:r>
        <w:rPr>
          <w:rFonts w:hint="eastAsia" w:ascii="宋体" w:hAnsi="宋体"/>
          <w:b/>
          <w:sz w:val="28"/>
          <w:szCs w:val="28"/>
        </w:rPr>
        <w:t>甲方：（行政公章）</w:t>
      </w:r>
      <w:r>
        <w:rPr>
          <w:rFonts w:ascii="宋体" w:hAnsi="宋体"/>
          <w:b/>
          <w:sz w:val="28"/>
          <w:szCs w:val="28"/>
        </w:rPr>
        <w:tab/>
      </w:r>
      <w:r>
        <w:rPr>
          <w:rFonts w:hint="eastAsia" w:ascii="宋体" w:hAnsi="宋体"/>
          <w:b/>
          <w:sz w:val="28"/>
          <w:szCs w:val="28"/>
        </w:rPr>
        <w:t xml:space="preserve">                      乙方：（合同专用章）</w:t>
      </w:r>
    </w:p>
    <w:p w14:paraId="7B5E575E">
      <w:pPr>
        <w:tabs>
          <w:tab w:val="left" w:pos="1943"/>
        </w:tabs>
        <w:rPr>
          <w:rFonts w:hint="eastAsia" w:ascii="宋体" w:hAnsi="宋体"/>
          <w:b/>
          <w:sz w:val="28"/>
          <w:szCs w:val="28"/>
        </w:rPr>
      </w:pPr>
      <w:r>
        <w:rPr>
          <w:rFonts w:ascii="宋体" w:hAnsi="宋体"/>
          <w:b/>
          <w:sz w:val="28"/>
          <w:szCs w:val="28"/>
        </w:rPr>
        <w:tab/>
      </w:r>
      <w:r>
        <w:rPr>
          <w:rFonts w:hint="eastAsia" w:ascii="宋体" w:hAnsi="宋体"/>
          <w:b/>
          <w:sz w:val="28"/>
          <w:szCs w:val="28"/>
        </w:rPr>
        <w:t xml:space="preserve">               </w:t>
      </w:r>
    </w:p>
    <w:p w14:paraId="3EE86B91">
      <w:pPr>
        <w:rPr>
          <w:rFonts w:hint="eastAsia" w:ascii="宋体" w:hAnsi="宋体"/>
          <w:b/>
          <w:sz w:val="28"/>
          <w:szCs w:val="28"/>
        </w:rPr>
      </w:pPr>
      <w:r>
        <w:rPr>
          <w:rFonts w:hint="eastAsia" w:ascii="宋体" w:hAnsi="宋体"/>
          <w:b/>
          <w:sz w:val="28"/>
          <w:szCs w:val="28"/>
        </w:rPr>
        <w:t>甲方代表：</w:t>
      </w:r>
      <w:r>
        <w:rPr>
          <w:rFonts w:ascii="宋体" w:hAnsi="宋体"/>
          <w:b/>
          <w:sz w:val="28"/>
          <w:szCs w:val="28"/>
        </w:rPr>
        <w:tab/>
      </w:r>
      <w:r>
        <w:rPr>
          <w:rFonts w:hint="eastAsia" w:ascii="宋体" w:hAnsi="宋体"/>
          <w:b/>
          <w:sz w:val="28"/>
          <w:szCs w:val="28"/>
        </w:rPr>
        <w:t xml:space="preserve">                             乙方代表：</w:t>
      </w:r>
    </w:p>
    <w:p w14:paraId="73BD1CB2">
      <w:r>
        <w:rPr>
          <w:rFonts w:hint="eastAsia" w:ascii="宋体" w:hAnsi="宋体"/>
          <w:b/>
          <w:sz w:val="28"/>
          <w:szCs w:val="28"/>
        </w:rPr>
        <w:t xml:space="preserve">     年   月   日</w:t>
      </w:r>
      <w:r>
        <w:rPr>
          <w:rFonts w:ascii="宋体" w:hAnsi="宋体"/>
          <w:b/>
          <w:sz w:val="28"/>
          <w:szCs w:val="28"/>
        </w:rPr>
        <w:tab/>
      </w:r>
      <w:r>
        <w:rPr>
          <w:rFonts w:hint="eastAsia" w:ascii="宋体" w:hAnsi="宋体"/>
          <w:b/>
          <w:sz w:val="28"/>
          <w:szCs w:val="28"/>
        </w:rPr>
        <w:t xml:space="preserve">                             年   月   日</w:t>
      </w:r>
    </w:p>
    <w:sectPr>
      <w:headerReference r:id="rId3" w:type="default"/>
      <w:footerReference r:id="rId4" w:type="default"/>
      <w:pgSz w:w="11906" w:h="16838"/>
      <w:pgMar w:top="1134" w:right="1134" w:bottom="113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华文新魏">
    <w:panose1 w:val="02010800040101010101"/>
    <w:charset w:val="86"/>
    <w:family w:val="auto"/>
    <w:pitch w:val="default"/>
    <w:sig w:usb0="00000001" w:usb1="080F0000" w:usb2="00000000" w:usb3="00000000" w:csb0="00040000" w:csb1="00000000"/>
  </w:font>
  <w:font w:name="仿宋_GB2312">
    <w:altName w:val="仿宋"/>
    <w:panose1 w:val="02010609060101010101"/>
    <w:charset w:val="86"/>
    <w:family w:val="modern"/>
    <w:pitch w:val="default"/>
    <w:sig w:usb0="800002BF" w:usb1="38CF7CFA" w:usb2="00000016" w:usb3="00000000" w:csb0="00040001" w:csb1="00000000"/>
  </w:font>
  <w:font w:name="Arial Narrow">
    <w:panose1 w:val="020B0606020202030204"/>
    <w:charset w:val="00"/>
    <w:family w:val="swiss"/>
    <w:pitch w:val="default"/>
    <w:sig w:usb0="00000287" w:usb1="00000800" w:usb2="00000000" w:usb3="00000000" w:csb0="2000009F" w:csb1="DFD7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9C767">
    <w:pPr>
      <w:pStyle w:val="8"/>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lang/>
      </w:rPr>
      <w:t>4</w:t>
    </w:r>
    <w:r>
      <w:rPr>
        <w:kern w:val="0"/>
        <w:szCs w:val="21"/>
      </w:rPr>
      <w:fldChar w:fldCharType="end"/>
    </w:r>
    <w:r>
      <w:rPr>
        <w:rFonts w:hint="eastAsia"/>
        <w:kern w:val="0"/>
        <w:szCs w:val="21"/>
      </w:rPr>
      <w:t xml:space="preserve"> 页 共6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0946EF">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E"/>
    <w:multiLevelType w:val="multilevel"/>
    <w:tmpl w:val="0000000E"/>
    <w:lvl w:ilvl="0" w:tentative="0">
      <w:start w:val="1"/>
      <w:numFmt w:val="decimal"/>
      <w:lvlText w:val="4.3.%1"/>
      <w:lvlJc w:val="left"/>
      <w:pPr>
        <w:tabs>
          <w:tab w:val="left" w:pos="840"/>
        </w:tabs>
        <w:ind w:left="840" w:hanging="420"/>
      </w:pPr>
      <w:rPr>
        <w:rFonts w:hint="eastAsia"/>
        <w:b w:val="0"/>
      </w:rPr>
    </w:lvl>
    <w:lvl w:ilvl="1" w:tentative="0">
      <w:start w:val="1"/>
      <w:numFmt w:val="decimal"/>
      <w:lvlText w:val="5.%2"/>
      <w:lvlJc w:val="left"/>
      <w:pPr>
        <w:tabs>
          <w:tab w:val="left" w:pos="840"/>
        </w:tabs>
        <w:ind w:left="397" w:firstLine="23"/>
      </w:pPr>
      <w:rPr>
        <w:rFonts w:hint="eastAsia" w:ascii="宋体" w:eastAsia="宋体"/>
        <w:b w:val="0"/>
        <w:i w:val="0"/>
        <w:sz w:val="21"/>
      </w:rPr>
    </w:lvl>
    <w:lvl w:ilvl="2" w:tentative="0">
      <w:start w:val="1"/>
      <w:numFmt w:val="decimal"/>
      <w:lvlText w:val="6.%3"/>
      <w:lvlJc w:val="left"/>
      <w:pPr>
        <w:tabs>
          <w:tab w:val="left" w:pos="1260"/>
        </w:tabs>
        <w:ind w:left="817" w:firstLine="23"/>
      </w:pPr>
      <w:rPr>
        <w:rFonts w:hint="eastAsia" w:ascii="宋体" w:eastAsia="宋体"/>
        <w:b w:val="0"/>
        <w:i w:val="0"/>
        <w:sz w:val="21"/>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530"/>
    <w:rsid w:val="000109F7"/>
    <w:rsid w:val="00017069"/>
    <w:rsid w:val="00023B5F"/>
    <w:rsid w:val="000324F6"/>
    <w:rsid w:val="00032DE4"/>
    <w:rsid w:val="000730DE"/>
    <w:rsid w:val="0007511A"/>
    <w:rsid w:val="00091FBD"/>
    <w:rsid w:val="000A0AE1"/>
    <w:rsid w:val="000B1C19"/>
    <w:rsid w:val="000E1F8D"/>
    <w:rsid w:val="001B720A"/>
    <w:rsid w:val="001E6BA9"/>
    <w:rsid w:val="002016ED"/>
    <w:rsid w:val="002019A2"/>
    <w:rsid w:val="00235604"/>
    <w:rsid w:val="00247E0D"/>
    <w:rsid w:val="00265101"/>
    <w:rsid w:val="002A3898"/>
    <w:rsid w:val="002C720F"/>
    <w:rsid w:val="00304C2D"/>
    <w:rsid w:val="00345CE6"/>
    <w:rsid w:val="003464E4"/>
    <w:rsid w:val="003F143A"/>
    <w:rsid w:val="00445A92"/>
    <w:rsid w:val="004C6CBD"/>
    <w:rsid w:val="00544117"/>
    <w:rsid w:val="005B456D"/>
    <w:rsid w:val="005C0AF8"/>
    <w:rsid w:val="005D4495"/>
    <w:rsid w:val="006057C4"/>
    <w:rsid w:val="006076CD"/>
    <w:rsid w:val="00694AC7"/>
    <w:rsid w:val="006A27E4"/>
    <w:rsid w:val="006D32FA"/>
    <w:rsid w:val="0075668E"/>
    <w:rsid w:val="0076742F"/>
    <w:rsid w:val="007A068B"/>
    <w:rsid w:val="007B4AC2"/>
    <w:rsid w:val="008376BA"/>
    <w:rsid w:val="008529A9"/>
    <w:rsid w:val="008A63C5"/>
    <w:rsid w:val="008F774A"/>
    <w:rsid w:val="0094734D"/>
    <w:rsid w:val="00960F76"/>
    <w:rsid w:val="0096312F"/>
    <w:rsid w:val="00985030"/>
    <w:rsid w:val="009E4461"/>
    <w:rsid w:val="00A004A4"/>
    <w:rsid w:val="00A316A5"/>
    <w:rsid w:val="00A351A4"/>
    <w:rsid w:val="00A43D28"/>
    <w:rsid w:val="00AA34C6"/>
    <w:rsid w:val="00B001E2"/>
    <w:rsid w:val="00B802A1"/>
    <w:rsid w:val="00B91414"/>
    <w:rsid w:val="00B91DA0"/>
    <w:rsid w:val="00BC48BC"/>
    <w:rsid w:val="00BD01BD"/>
    <w:rsid w:val="00BD1937"/>
    <w:rsid w:val="00C10C26"/>
    <w:rsid w:val="00C50C06"/>
    <w:rsid w:val="00C75859"/>
    <w:rsid w:val="00C957E8"/>
    <w:rsid w:val="00D3789C"/>
    <w:rsid w:val="00D6127A"/>
    <w:rsid w:val="00D67667"/>
    <w:rsid w:val="00DC478E"/>
    <w:rsid w:val="00DE4E3F"/>
    <w:rsid w:val="00DF1906"/>
    <w:rsid w:val="00E15BA6"/>
    <w:rsid w:val="00E60686"/>
    <w:rsid w:val="00E91CDA"/>
    <w:rsid w:val="00E95EA7"/>
    <w:rsid w:val="00EF5697"/>
    <w:rsid w:val="00F75AEF"/>
    <w:rsid w:val="0120175B"/>
    <w:rsid w:val="015D2F4F"/>
    <w:rsid w:val="037D354F"/>
    <w:rsid w:val="04FE63B4"/>
    <w:rsid w:val="051E0501"/>
    <w:rsid w:val="058306FC"/>
    <w:rsid w:val="07CA2ED7"/>
    <w:rsid w:val="095B4567"/>
    <w:rsid w:val="0B4C4BA5"/>
    <w:rsid w:val="0FC264EA"/>
    <w:rsid w:val="10863CAA"/>
    <w:rsid w:val="128F7902"/>
    <w:rsid w:val="157C442E"/>
    <w:rsid w:val="15F42192"/>
    <w:rsid w:val="17241D43"/>
    <w:rsid w:val="1A2608F3"/>
    <w:rsid w:val="1C39151E"/>
    <w:rsid w:val="1C854F5A"/>
    <w:rsid w:val="1D0F218B"/>
    <w:rsid w:val="1DE42E7F"/>
    <w:rsid w:val="1E5A71C2"/>
    <w:rsid w:val="1EA239FF"/>
    <w:rsid w:val="2019382C"/>
    <w:rsid w:val="20385FF1"/>
    <w:rsid w:val="249F6523"/>
    <w:rsid w:val="29633652"/>
    <w:rsid w:val="299A48B9"/>
    <w:rsid w:val="2A702CEA"/>
    <w:rsid w:val="2B966D25"/>
    <w:rsid w:val="2D2929CB"/>
    <w:rsid w:val="2D452F54"/>
    <w:rsid w:val="2E090714"/>
    <w:rsid w:val="2E176BDC"/>
    <w:rsid w:val="2F6E12E0"/>
    <w:rsid w:val="2FE57FED"/>
    <w:rsid w:val="30AC27CE"/>
    <w:rsid w:val="3284194C"/>
    <w:rsid w:val="358B19C8"/>
    <w:rsid w:val="36B00E60"/>
    <w:rsid w:val="370C5DF5"/>
    <w:rsid w:val="37505C30"/>
    <w:rsid w:val="37EC7AF1"/>
    <w:rsid w:val="381C38D4"/>
    <w:rsid w:val="39F658EC"/>
    <w:rsid w:val="3B557D6E"/>
    <w:rsid w:val="3C73403C"/>
    <w:rsid w:val="3F60428D"/>
    <w:rsid w:val="439A53E3"/>
    <w:rsid w:val="440633D2"/>
    <w:rsid w:val="47012B0C"/>
    <w:rsid w:val="47EB7A2F"/>
    <w:rsid w:val="4A9354A1"/>
    <w:rsid w:val="4AC779BE"/>
    <w:rsid w:val="4B8B517E"/>
    <w:rsid w:val="53013A3B"/>
    <w:rsid w:val="530B1DCC"/>
    <w:rsid w:val="55470043"/>
    <w:rsid w:val="580332EE"/>
    <w:rsid w:val="589B28D2"/>
    <w:rsid w:val="5B5120ED"/>
    <w:rsid w:val="5D011889"/>
    <w:rsid w:val="66F23D98"/>
    <w:rsid w:val="69E2142A"/>
    <w:rsid w:val="6B362444"/>
    <w:rsid w:val="6EF23592"/>
    <w:rsid w:val="6EFC51A7"/>
    <w:rsid w:val="6F2B0A3C"/>
    <w:rsid w:val="702319B3"/>
    <w:rsid w:val="718521E3"/>
    <w:rsid w:val="74AB0875"/>
    <w:rsid w:val="75D00657"/>
    <w:rsid w:val="79F176DF"/>
    <w:rsid w:val="7DFA3E28"/>
    <w:rsid w:val="7F0204F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3">
    <w:name w:val="Default Paragraph Font"/>
    <w:uiPriority w:val="0"/>
  </w:style>
  <w:style w:type="table" w:default="1" w:styleId="12">
    <w:name w:val="Normal Table"/>
    <w:unhideWhenUsed/>
    <w:uiPriority w:val="99"/>
    <w:tblPr>
      <w:tblStyle w:val="12"/>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Body Text Indent"/>
    <w:basedOn w:val="1"/>
    <w:uiPriority w:val="0"/>
    <w:pPr>
      <w:spacing w:after="120" w:afterLines="0"/>
      <w:ind w:left="420" w:leftChars="200"/>
    </w:pPr>
  </w:style>
  <w:style w:type="paragraph" w:styleId="5">
    <w:name w:val="Plain Text"/>
    <w:basedOn w:val="1"/>
    <w:link w:val="14"/>
    <w:uiPriority w:val="0"/>
    <w:rPr>
      <w:rFonts w:ascii="宋体" w:hAnsi="Courier New"/>
      <w:szCs w:val="20"/>
    </w:rPr>
  </w:style>
  <w:style w:type="paragraph" w:styleId="6">
    <w:name w:val="Date"/>
    <w:basedOn w:val="1"/>
    <w:next w:val="1"/>
    <w:uiPriority w:val="0"/>
    <w:pPr>
      <w:ind w:left="100" w:leftChars="2500"/>
    </w:pPr>
  </w:style>
  <w:style w:type="paragraph" w:styleId="7">
    <w:name w:val="Balloon Text"/>
    <w:basedOn w:val="1"/>
    <w:uiPriority w:val="0"/>
    <w:rPr>
      <w:sz w:val="18"/>
      <w:szCs w:val="18"/>
    </w:rPr>
  </w:style>
  <w:style w:type="paragraph" w:styleId="8">
    <w:name w:val="footer"/>
    <w:basedOn w:val="1"/>
    <w:uiPriority w:val="0"/>
    <w:pPr>
      <w:tabs>
        <w:tab w:val="center" w:pos="4153"/>
        <w:tab w:val="right" w:pos="8306"/>
      </w:tabs>
      <w:snapToGrid w:val="0"/>
      <w:jc w:val="left"/>
    </w:pPr>
    <w:rPr>
      <w:sz w:val="18"/>
      <w:szCs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link w:val="15"/>
    <w:uiPriority w:val="0"/>
    <w:pPr>
      <w:spacing w:after="120" w:afterLines="0"/>
      <w:ind w:left="420" w:leftChars="200"/>
    </w:pPr>
    <w:rPr>
      <w:sz w:val="16"/>
      <w:szCs w:val="16"/>
    </w:rPr>
  </w:style>
  <w:style w:type="paragraph" w:styleId="11">
    <w:name w:val="Normal (Web)"/>
    <w:basedOn w:val="1"/>
    <w:uiPriority w:val="0"/>
    <w:pPr>
      <w:widowControl/>
      <w:spacing w:before="100" w:beforeAutospacing="1" w:after="100" w:afterAutospacing="1"/>
      <w:jc w:val="left"/>
    </w:pPr>
    <w:rPr>
      <w:rFonts w:ascii="宋体" w:hAnsi="宋体" w:cs="宋体"/>
      <w:kern w:val="0"/>
      <w:sz w:val="24"/>
    </w:rPr>
  </w:style>
  <w:style w:type="character" w:customStyle="1" w:styleId="14">
    <w:name w:val="纯文本 Char"/>
    <w:link w:val="5"/>
    <w:uiPriority w:val="0"/>
    <w:rPr>
      <w:rFonts w:ascii="宋体" w:hAnsi="Courier New"/>
      <w:kern w:val="2"/>
      <w:sz w:val="21"/>
    </w:rPr>
  </w:style>
  <w:style w:type="character" w:customStyle="1" w:styleId="15">
    <w:name w:val="正文文本缩进 3 Char"/>
    <w:link w:val="10"/>
    <w:uiPriority w:val="0"/>
    <w:rPr>
      <w:kern w:val="2"/>
      <w:sz w:val="16"/>
      <w:szCs w:val="16"/>
    </w:rPr>
  </w:style>
  <w:style w:type="paragraph" w:customStyle="1" w:styleId="16">
    <w:name w:val="Char"/>
    <w:basedOn w:val="1"/>
    <w:uiPriority w:val="0"/>
  </w:style>
  <w:style w:type="paragraph" w:styleId="17">
    <w:name w:val="List Paragraph"/>
    <w:basedOn w:val="1"/>
    <w:qFormat/>
    <w:uiPriority w:val="0"/>
    <w:pPr>
      <w:ind w:firstLine="420" w:firstLineChars="200"/>
    </w:pPr>
    <w:rPr>
      <w:rFonts w:ascii="Calibri" w:hAnsi="Calibri"/>
      <w:szCs w:val="22"/>
    </w:rPr>
  </w:style>
  <w:style w:type="paragraph" w:customStyle="1" w:styleId="18">
    <w:name w:val="_Style 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www.xunchi.com</Company>
  <Pages>6</Pages>
  <Words>2941</Words>
  <Characters>3274</Characters>
  <Lines>17</Lines>
  <Paragraphs>5</Paragraphs>
  <TotalTime>2</TotalTime>
  <ScaleCrop>false</ScaleCrop>
  <LinksUpToDate>false</LinksUpToDate>
  <CharactersWithSpaces>3941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2013-11-22T04:33:00Z</dcterms:created>
  <dc:creator>于书汉</dc:creator>
  <cp:lastModifiedBy>程桂林</cp:lastModifiedBy>
  <cp:lastPrinted>2010-03-05T06:06:00Z</cp:lastPrinted>
  <dcterms:modified xsi:type="dcterms:W3CDTF">2025-08-23T03:16:18Z</dcterms:modified>
  <dc:title>酒泉钢铁集团有限公司</dc:title>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eyJoZGlkIjoiMDA4NGIxMDQ3ZjEyNjMwMTkwNWU4YmE0ZjIzOTNlNWQiLCJ1c2VySWQiOiIxNDg5MzAyMTQzIn0=</vt:lpwstr>
  </property>
  <property fmtid="{D5CDD505-2E9C-101B-9397-08002B2CF9AE}" pid="4" name="ICV">
    <vt:lpwstr>C2B9B1C9C0434C8B9BCBB7671D590774_13</vt:lpwstr>
  </property>
</Properties>
</file>