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FBEA8D">
      <w:pPr>
        <w:spacing w:line="360" w:lineRule="auto"/>
        <w:ind w:firstLine="2523" w:firstLineChars="700"/>
        <w:jc w:val="both"/>
        <w:rPr>
          <w:rFonts w:hint="eastAsia" w:ascii="华文中宋" w:hAnsi="华文中宋" w:eastAsia="华文中宋" w:cs="华文中宋"/>
          <w:b/>
          <w:sz w:val="36"/>
          <w:szCs w:val="36"/>
        </w:rPr>
      </w:pPr>
    </w:p>
    <w:p w14:paraId="420B0999">
      <w:pPr>
        <w:spacing w:line="360" w:lineRule="auto"/>
        <w:ind w:firstLine="2523" w:firstLineChars="700"/>
        <w:jc w:val="both"/>
        <w:rPr>
          <w:rFonts w:hint="eastAsia" w:ascii="华文中宋" w:hAnsi="华文中宋" w:eastAsia="华文中宋" w:cs="华文中宋"/>
          <w:b/>
          <w:sz w:val="36"/>
          <w:szCs w:val="36"/>
        </w:rPr>
      </w:pPr>
    </w:p>
    <w:p w14:paraId="388787FA">
      <w:pPr>
        <w:spacing w:line="360" w:lineRule="auto"/>
        <w:jc w:val="center"/>
        <w:rPr>
          <w:rFonts w:hint="eastAsia" w:ascii="宋体" w:hAnsi="宋体"/>
          <w:b/>
          <w:sz w:val="36"/>
          <w:szCs w:val="36"/>
        </w:rPr>
      </w:pPr>
      <w:r>
        <w:rPr>
          <w:rFonts w:hint="eastAsia" w:ascii="宋体" w:hAnsi="宋体"/>
          <w:b/>
          <w:sz w:val="40"/>
          <w:szCs w:val="40"/>
        </w:rPr>
        <w:t>甘肃酒钢集团宏兴钢铁股份有限公司检修工程部</w:t>
      </w:r>
    </w:p>
    <w:p w14:paraId="7D4E2734">
      <w:pPr>
        <w:spacing w:line="360" w:lineRule="auto"/>
        <w:jc w:val="center"/>
        <w:rPr>
          <w:rFonts w:hint="eastAsia" w:ascii="宋体" w:hAnsi="宋体"/>
          <w:b/>
          <w:sz w:val="40"/>
          <w:szCs w:val="40"/>
          <w:lang w:val="en-US" w:eastAsia="zh-CN"/>
        </w:rPr>
      </w:pPr>
      <w:r>
        <w:rPr>
          <w:rFonts w:hint="eastAsia" w:ascii="宋体" w:hAnsi="宋体"/>
          <w:b/>
          <w:sz w:val="40"/>
          <w:szCs w:val="40"/>
          <w:lang w:val="en-US" w:eastAsia="zh-CN"/>
        </w:rPr>
        <w:t>陶瓷纤维陶盾模块供货技术规格书</w:t>
      </w:r>
    </w:p>
    <w:p w14:paraId="7D46C8A8">
      <w:pPr>
        <w:spacing w:line="240" w:lineRule="auto"/>
        <w:ind w:firstLine="0" w:firstLineChars="0"/>
        <w:jc w:val="both"/>
        <w:rPr>
          <w:rFonts w:hint="eastAsia" w:ascii="仿宋_GB2312" w:hAnsi="仿宋_GB2312" w:eastAsia="仿宋_GB2312" w:cs="仿宋_GB2312"/>
          <w:b/>
          <w:sz w:val="28"/>
          <w:szCs w:val="28"/>
          <w:lang w:val="en-US" w:eastAsia="zh-CN"/>
        </w:rPr>
      </w:pPr>
    </w:p>
    <w:p w14:paraId="17E3F52E">
      <w:pPr>
        <w:spacing w:line="360" w:lineRule="auto"/>
        <w:ind w:firstLine="3253" w:firstLineChars="900"/>
        <w:jc w:val="both"/>
        <w:rPr>
          <w:rFonts w:hint="eastAsia" w:ascii="宋体" w:hAnsi="宋体" w:eastAsia="宋体" w:cs="宋体"/>
          <w:b/>
          <w:sz w:val="36"/>
          <w:szCs w:val="36"/>
          <w:lang w:eastAsia="zh-CN"/>
        </w:rPr>
      </w:pPr>
    </w:p>
    <w:p w14:paraId="574A7590">
      <w:pPr>
        <w:spacing w:line="360" w:lineRule="auto"/>
        <w:ind w:firstLine="3092" w:firstLineChars="1100"/>
        <w:jc w:val="both"/>
        <w:rPr>
          <w:rFonts w:hint="eastAsia" w:ascii="仿宋_GB2312" w:hAnsi="仿宋_GB2312" w:eastAsia="仿宋_GB2312" w:cs="仿宋_GB2312"/>
          <w:b/>
          <w:sz w:val="28"/>
          <w:szCs w:val="28"/>
          <w:lang w:eastAsia="zh-CN"/>
        </w:rPr>
      </w:pPr>
    </w:p>
    <w:p w14:paraId="3CEEFAE9">
      <w:pPr>
        <w:spacing w:line="360" w:lineRule="auto"/>
        <w:ind w:firstLine="3092" w:firstLineChars="1100"/>
        <w:jc w:val="both"/>
        <w:rPr>
          <w:rFonts w:hint="eastAsia" w:ascii="仿宋_GB2312" w:hAnsi="仿宋_GB2312" w:eastAsia="仿宋_GB2312" w:cs="仿宋_GB2312"/>
          <w:b/>
          <w:sz w:val="28"/>
          <w:szCs w:val="28"/>
          <w:lang w:eastAsia="zh-CN"/>
        </w:rPr>
      </w:pPr>
    </w:p>
    <w:p w14:paraId="40740C84">
      <w:pPr>
        <w:spacing w:line="360" w:lineRule="auto"/>
        <w:ind w:firstLine="3092" w:firstLineChars="1100"/>
        <w:jc w:val="both"/>
        <w:rPr>
          <w:rFonts w:hint="eastAsia" w:ascii="仿宋_GB2312" w:hAnsi="仿宋_GB2312" w:eastAsia="仿宋_GB2312" w:cs="仿宋_GB2312"/>
          <w:b/>
          <w:sz w:val="28"/>
          <w:szCs w:val="28"/>
          <w:lang w:eastAsia="zh-CN"/>
        </w:rPr>
      </w:pPr>
    </w:p>
    <w:p w14:paraId="2573AB19">
      <w:pPr>
        <w:spacing w:line="360" w:lineRule="auto"/>
        <w:ind w:firstLine="3092" w:firstLineChars="1100"/>
        <w:jc w:val="both"/>
        <w:rPr>
          <w:rFonts w:hint="eastAsia" w:ascii="仿宋_GB2312" w:hAnsi="仿宋_GB2312" w:eastAsia="仿宋_GB2312" w:cs="仿宋_GB2312"/>
          <w:b/>
          <w:sz w:val="28"/>
          <w:szCs w:val="28"/>
          <w:lang w:eastAsia="zh-CN"/>
        </w:rPr>
      </w:pPr>
    </w:p>
    <w:p w14:paraId="65D7EC2B">
      <w:pPr>
        <w:spacing w:line="360" w:lineRule="auto"/>
        <w:ind w:firstLine="3092" w:firstLineChars="1100"/>
        <w:jc w:val="both"/>
        <w:rPr>
          <w:rFonts w:hint="eastAsia" w:ascii="仿宋_GB2312" w:hAnsi="仿宋_GB2312" w:eastAsia="仿宋_GB2312" w:cs="仿宋_GB2312"/>
          <w:b/>
          <w:sz w:val="28"/>
          <w:szCs w:val="28"/>
          <w:lang w:eastAsia="zh-CN"/>
        </w:rPr>
      </w:pPr>
    </w:p>
    <w:p w14:paraId="44AC6809">
      <w:pPr>
        <w:spacing w:line="360" w:lineRule="auto"/>
        <w:ind w:firstLine="3092" w:firstLineChars="1100"/>
        <w:jc w:val="both"/>
        <w:rPr>
          <w:rFonts w:hint="eastAsia" w:ascii="仿宋_GB2312" w:hAnsi="仿宋_GB2312" w:eastAsia="仿宋_GB2312" w:cs="仿宋_GB2312"/>
          <w:b/>
          <w:sz w:val="28"/>
          <w:szCs w:val="28"/>
          <w:lang w:eastAsia="zh-CN"/>
        </w:rPr>
      </w:pPr>
    </w:p>
    <w:p w14:paraId="696C76FD">
      <w:pPr>
        <w:spacing w:line="360" w:lineRule="auto"/>
        <w:ind w:firstLine="3092" w:firstLineChars="1100"/>
        <w:jc w:val="both"/>
        <w:rPr>
          <w:rFonts w:hint="eastAsia" w:ascii="仿宋_GB2312" w:hAnsi="仿宋_GB2312" w:eastAsia="仿宋_GB2312" w:cs="仿宋_GB2312"/>
          <w:b/>
          <w:sz w:val="28"/>
          <w:szCs w:val="28"/>
          <w:lang w:eastAsia="zh-CN"/>
        </w:rPr>
      </w:pPr>
    </w:p>
    <w:p w14:paraId="7D71C8BD">
      <w:pPr>
        <w:spacing w:line="360" w:lineRule="auto"/>
        <w:ind w:firstLine="3092" w:firstLineChars="1100"/>
        <w:jc w:val="both"/>
        <w:rPr>
          <w:rFonts w:hint="eastAsia" w:ascii="仿宋_GB2312" w:hAnsi="仿宋_GB2312" w:eastAsia="仿宋_GB2312" w:cs="仿宋_GB2312"/>
          <w:b/>
          <w:sz w:val="28"/>
          <w:szCs w:val="28"/>
          <w:lang w:eastAsia="zh-CN"/>
        </w:rPr>
      </w:pPr>
    </w:p>
    <w:p w14:paraId="5EF7B64F">
      <w:pPr>
        <w:spacing w:line="360" w:lineRule="auto"/>
        <w:ind w:firstLine="3092" w:firstLineChars="1100"/>
        <w:jc w:val="both"/>
        <w:rPr>
          <w:rFonts w:hint="eastAsia" w:ascii="仿宋_GB2312" w:hAnsi="仿宋_GB2312" w:eastAsia="仿宋_GB2312" w:cs="仿宋_GB2312"/>
          <w:b/>
          <w:sz w:val="28"/>
          <w:szCs w:val="28"/>
          <w:lang w:eastAsia="zh-CN"/>
        </w:rPr>
      </w:pPr>
    </w:p>
    <w:p w14:paraId="60FF2219">
      <w:pPr>
        <w:spacing w:line="360" w:lineRule="auto"/>
        <w:ind w:firstLine="3092" w:firstLineChars="1100"/>
        <w:jc w:val="both"/>
        <w:rPr>
          <w:rFonts w:hint="eastAsia" w:ascii="仿宋_GB2312" w:hAnsi="仿宋_GB2312" w:eastAsia="仿宋_GB2312" w:cs="仿宋_GB2312"/>
          <w:b/>
          <w:sz w:val="28"/>
          <w:szCs w:val="28"/>
          <w:lang w:eastAsia="zh-CN"/>
        </w:rPr>
      </w:pPr>
    </w:p>
    <w:p w14:paraId="3D406660">
      <w:pPr>
        <w:spacing w:line="360" w:lineRule="auto"/>
        <w:jc w:val="both"/>
        <w:rPr>
          <w:rFonts w:hint="eastAsia" w:ascii="仿宋_GB2312" w:hAnsi="仿宋_GB2312" w:eastAsia="仿宋_GB2312" w:cs="仿宋_GB2312"/>
          <w:b/>
          <w:sz w:val="28"/>
          <w:szCs w:val="28"/>
          <w:lang w:eastAsia="zh-CN"/>
        </w:rPr>
      </w:pPr>
    </w:p>
    <w:p w14:paraId="40115627">
      <w:pPr>
        <w:spacing w:line="360" w:lineRule="auto"/>
        <w:ind w:firstLine="3092" w:firstLineChars="1100"/>
        <w:jc w:val="both"/>
        <w:rPr>
          <w:rFonts w:hint="eastAsia" w:ascii="仿宋_GB2312" w:hAnsi="仿宋_GB2312" w:eastAsia="仿宋_GB2312" w:cs="仿宋_GB2312"/>
          <w:b/>
          <w:sz w:val="28"/>
          <w:szCs w:val="28"/>
          <w:lang w:eastAsia="zh-CN"/>
        </w:rPr>
      </w:pPr>
    </w:p>
    <w:p w14:paraId="48DEB712">
      <w:pPr>
        <w:spacing w:line="360" w:lineRule="auto"/>
        <w:ind w:firstLine="3092" w:firstLineChars="1100"/>
        <w:jc w:val="both"/>
        <w:rPr>
          <w:rFonts w:hint="eastAsia" w:ascii="仿宋_GB2312" w:hAnsi="仿宋_GB2312" w:eastAsia="仿宋_GB2312" w:cs="仿宋_GB2312"/>
          <w:b/>
          <w:sz w:val="28"/>
          <w:szCs w:val="28"/>
          <w:lang w:eastAsia="zh-CN"/>
        </w:rPr>
      </w:pPr>
    </w:p>
    <w:p w14:paraId="0D965869">
      <w:pPr>
        <w:snapToGrid w:val="0"/>
        <w:ind w:firstLine="1120" w:firstLineChars="400"/>
        <w:rPr>
          <w:rFonts w:hint="default" w:eastAsia="宋体" w:asciiTheme="minorEastAsia" w:hAnsiTheme="minorEastAsia" w:cstheme="minorEastAsia"/>
          <w:b w:val="0"/>
          <w:bCs/>
          <w:color w:val="auto"/>
          <w:sz w:val="28"/>
          <w:szCs w:val="28"/>
          <w:lang w:val="en-US" w:eastAsia="zh-CN"/>
        </w:rPr>
      </w:pPr>
      <w:r>
        <w:rPr>
          <w:rFonts w:hint="eastAsia" w:asciiTheme="minorEastAsia" w:hAnsiTheme="minorEastAsia" w:eastAsiaTheme="minorEastAsia" w:cstheme="minorEastAsia"/>
          <w:b w:val="0"/>
          <w:bCs/>
          <w:color w:val="auto"/>
          <w:sz w:val="28"/>
          <w:szCs w:val="28"/>
        </w:rPr>
        <w:t>甲方：</w:t>
      </w:r>
      <w:r>
        <w:rPr>
          <w:rFonts w:hint="eastAsia" w:ascii="宋体" w:hAnsi="宋体" w:eastAsia="宋体" w:cs="宋体"/>
          <w:color w:val="auto"/>
          <w:sz w:val="28"/>
          <w:szCs w:val="28"/>
        </w:rPr>
        <w:t>甘肃酒钢集团宏兴钢铁股份有限公司</w:t>
      </w:r>
      <w:r>
        <w:rPr>
          <w:rFonts w:hint="eastAsia" w:ascii="宋体" w:hAnsi="宋体" w:eastAsia="宋体" w:cs="宋体"/>
          <w:color w:val="auto"/>
          <w:sz w:val="28"/>
          <w:szCs w:val="28"/>
          <w:lang w:val="en-US" w:eastAsia="zh-CN"/>
        </w:rPr>
        <w:t>检修工程部</w:t>
      </w:r>
    </w:p>
    <w:p w14:paraId="3B76A547">
      <w:pPr>
        <w:spacing w:line="360" w:lineRule="exact"/>
        <w:rPr>
          <w:rFonts w:hint="eastAsia" w:asciiTheme="minorEastAsia" w:hAnsiTheme="minorEastAsia" w:eastAsiaTheme="minorEastAsia" w:cstheme="minorEastAsia"/>
          <w:b w:val="0"/>
          <w:bCs/>
          <w:color w:val="auto"/>
          <w:sz w:val="28"/>
          <w:szCs w:val="28"/>
        </w:rPr>
      </w:pPr>
    </w:p>
    <w:p w14:paraId="522D74EF">
      <w:pPr>
        <w:snapToGrid w:val="0"/>
        <w:ind w:firstLine="1120" w:firstLineChars="400"/>
        <w:rPr>
          <w:rFonts w:hint="eastAsia" w:asciiTheme="minorEastAsia" w:hAnsiTheme="minorEastAsia" w:eastAsiaTheme="minorEastAsia" w:cstheme="minorEastAsia"/>
          <w:b w:val="0"/>
          <w:bCs/>
          <w:color w:val="auto"/>
          <w:sz w:val="28"/>
          <w:szCs w:val="28"/>
        </w:rPr>
      </w:pPr>
      <w:r>
        <w:rPr>
          <w:rFonts w:hint="eastAsia" w:asciiTheme="minorEastAsia" w:hAnsiTheme="minorEastAsia" w:eastAsiaTheme="minorEastAsia" w:cstheme="minorEastAsia"/>
          <w:b w:val="0"/>
          <w:bCs/>
          <w:color w:val="auto"/>
          <w:sz w:val="28"/>
          <w:szCs w:val="28"/>
        </w:rPr>
        <w:t>乙方</w:t>
      </w:r>
      <w:r>
        <w:rPr>
          <w:rFonts w:hint="eastAsia" w:asciiTheme="minorEastAsia" w:hAnsiTheme="minorEastAsia" w:eastAsiaTheme="minorEastAsia" w:cstheme="minorEastAsia"/>
          <w:b w:val="0"/>
          <w:bCs/>
          <w:color w:val="auto"/>
          <w:sz w:val="28"/>
          <w:szCs w:val="28"/>
          <w:lang w:val="en-US" w:eastAsia="zh-CN"/>
        </w:rPr>
        <w:t>：</w:t>
      </w:r>
    </w:p>
    <w:p w14:paraId="42D3211C">
      <w:pPr>
        <w:snapToGrid w:val="0"/>
        <w:ind w:firstLine="1120" w:firstLineChars="400"/>
        <w:rPr>
          <w:rFonts w:hint="eastAsia" w:asciiTheme="minorEastAsia" w:hAnsiTheme="minorEastAsia" w:eastAsiaTheme="minorEastAsia" w:cstheme="minorEastAsia"/>
          <w:b w:val="0"/>
          <w:bCs/>
          <w:color w:val="auto"/>
          <w:sz w:val="28"/>
          <w:szCs w:val="28"/>
          <w:lang w:eastAsia="zh-CN"/>
        </w:rPr>
      </w:pPr>
    </w:p>
    <w:p w14:paraId="175BA40A">
      <w:pPr>
        <w:snapToGrid w:val="0"/>
        <w:ind w:firstLine="840" w:firstLineChars="300"/>
        <w:rPr>
          <w:rFonts w:hint="default" w:asciiTheme="minorEastAsia" w:hAnsiTheme="minorEastAsia" w:eastAsiaTheme="minorEastAsia" w:cstheme="minorEastAsia"/>
          <w:b w:val="0"/>
          <w:bCs/>
          <w:color w:val="auto"/>
          <w:sz w:val="28"/>
          <w:szCs w:val="28"/>
          <w:lang w:val="en-US" w:eastAsia="zh-CN"/>
        </w:rPr>
      </w:pPr>
      <w:r>
        <w:rPr>
          <w:rFonts w:hint="eastAsia" w:asciiTheme="minorEastAsia" w:hAnsiTheme="minorEastAsia" w:eastAsiaTheme="minorEastAsia" w:cstheme="minorEastAsia"/>
          <w:b w:val="0"/>
          <w:bCs/>
          <w:color w:val="auto"/>
          <w:sz w:val="28"/>
          <w:szCs w:val="28"/>
          <w:lang w:val="en-US" w:eastAsia="zh-CN"/>
        </w:rPr>
        <w:t xml:space="preserve">        签订地点：甘肃省嘉峪关市</w:t>
      </w:r>
    </w:p>
    <w:p w14:paraId="0617193C">
      <w:pPr>
        <w:snapToGrid w:val="0"/>
        <w:ind w:firstLine="840" w:firstLineChars="300"/>
        <w:rPr>
          <w:rFonts w:hint="eastAsia" w:asciiTheme="minorEastAsia" w:hAnsiTheme="minorEastAsia" w:eastAsiaTheme="minorEastAsia" w:cstheme="minorEastAsia"/>
          <w:b w:val="0"/>
          <w:bCs/>
          <w:color w:val="auto"/>
          <w:sz w:val="28"/>
          <w:szCs w:val="28"/>
          <w:lang w:val="en-US" w:eastAsia="zh-CN"/>
        </w:rPr>
      </w:pPr>
    </w:p>
    <w:p w14:paraId="0EA69E4B">
      <w:pPr>
        <w:snapToGrid w:val="0"/>
        <w:ind w:firstLine="1960" w:firstLineChars="700"/>
        <w:rPr>
          <w:rFonts w:hint="eastAsia" w:asciiTheme="minorEastAsia" w:hAnsiTheme="minorEastAsia" w:eastAsiaTheme="minorEastAsia" w:cstheme="minorEastAsia"/>
          <w:b w:val="0"/>
          <w:bCs/>
          <w:color w:val="auto"/>
          <w:sz w:val="28"/>
          <w:szCs w:val="28"/>
        </w:rPr>
      </w:pPr>
      <w:r>
        <w:rPr>
          <w:rFonts w:hint="eastAsia" w:asciiTheme="minorEastAsia" w:hAnsiTheme="minorEastAsia" w:eastAsiaTheme="minorEastAsia" w:cstheme="minorEastAsia"/>
          <w:b w:val="0"/>
          <w:bCs/>
          <w:color w:val="auto"/>
          <w:sz w:val="28"/>
          <w:szCs w:val="28"/>
        </w:rPr>
        <w:t xml:space="preserve">签订时间： </w:t>
      </w:r>
      <w:r>
        <w:rPr>
          <w:rFonts w:hint="eastAsia" w:asciiTheme="minorEastAsia" w:hAnsiTheme="minorEastAsia" w:eastAsiaTheme="minorEastAsia" w:cstheme="minorEastAsia"/>
          <w:b w:val="0"/>
          <w:bCs/>
          <w:color w:val="auto"/>
          <w:sz w:val="28"/>
          <w:szCs w:val="28"/>
          <w:lang w:val="en-US" w:eastAsia="zh-CN"/>
        </w:rPr>
        <w:t xml:space="preserve">2026 </w:t>
      </w:r>
      <w:r>
        <w:rPr>
          <w:rFonts w:hint="eastAsia" w:asciiTheme="minorEastAsia" w:hAnsiTheme="minorEastAsia" w:eastAsiaTheme="minorEastAsia" w:cstheme="minorEastAsia"/>
          <w:b w:val="0"/>
          <w:bCs/>
          <w:color w:val="auto"/>
          <w:sz w:val="28"/>
          <w:szCs w:val="28"/>
        </w:rPr>
        <w:t xml:space="preserve">年 </w:t>
      </w:r>
      <w:r>
        <w:rPr>
          <w:rFonts w:hint="eastAsia" w:asciiTheme="minorEastAsia" w:hAnsiTheme="minorEastAsia" w:eastAsiaTheme="minorEastAsia" w:cstheme="minorEastAsia"/>
          <w:b w:val="0"/>
          <w:bCs/>
          <w:color w:val="auto"/>
          <w:sz w:val="28"/>
          <w:szCs w:val="28"/>
          <w:lang w:val="en-US" w:eastAsia="zh-CN"/>
        </w:rPr>
        <w:t xml:space="preserve">  </w:t>
      </w:r>
      <w:r>
        <w:rPr>
          <w:rFonts w:hint="eastAsia" w:asciiTheme="minorEastAsia" w:hAnsiTheme="minorEastAsia" w:eastAsiaTheme="minorEastAsia" w:cstheme="minorEastAsia"/>
          <w:b w:val="0"/>
          <w:bCs/>
          <w:color w:val="auto"/>
          <w:sz w:val="28"/>
          <w:szCs w:val="28"/>
        </w:rPr>
        <w:t>月</w:t>
      </w:r>
      <w:r>
        <w:rPr>
          <w:rFonts w:hint="eastAsia" w:asciiTheme="minorEastAsia" w:hAnsiTheme="minorEastAsia" w:eastAsiaTheme="minorEastAsia" w:cstheme="minorEastAsia"/>
          <w:b w:val="0"/>
          <w:bCs/>
          <w:color w:val="auto"/>
          <w:sz w:val="28"/>
          <w:szCs w:val="28"/>
          <w:lang w:val="en-US" w:eastAsia="zh-CN"/>
        </w:rPr>
        <w:t xml:space="preserve">   </w:t>
      </w:r>
      <w:r>
        <w:rPr>
          <w:rFonts w:hint="eastAsia" w:asciiTheme="minorEastAsia" w:hAnsiTheme="minorEastAsia" w:eastAsiaTheme="minorEastAsia" w:cstheme="minorEastAsia"/>
          <w:b w:val="0"/>
          <w:bCs/>
          <w:color w:val="auto"/>
          <w:sz w:val="28"/>
          <w:szCs w:val="28"/>
        </w:rPr>
        <w:t>日</w:t>
      </w:r>
    </w:p>
    <w:p w14:paraId="0FB2A376">
      <w:pPr>
        <w:snapToGrid w:val="0"/>
        <w:spacing w:line="360" w:lineRule="auto"/>
        <w:jc w:val="both"/>
        <w:rPr>
          <w:rFonts w:hint="eastAsia" w:ascii="宋体" w:hAnsi="宋体"/>
          <w:b/>
          <w:color w:val="000000"/>
          <w:sz w:val="32"/>
          <w:szCs w:val="32"/>
        </w:rPr>
      </w:pPr>
    </w:p>
    <w:p w14:paraId="51D9F93F">
      <w:pPr>
        <w:snapToGrid w:val="0"/>
        <w:spacing w:line="360" w:lineRule="auto"/>
        <w:ind w:firstLine="720" w:firstLineChars="300"/>
        <w:rPr>
          <w:rFonts w:hint="eastAsia" w:ascii="宋体" w:hAnsi="宋体"/>
          <w:color w:val="0000FF"/>
          <w:sz w:val="24"/>
          <w:u w:val="single"/>
        </w:rPr>
      </w:pPr>
      <w:r>
        <w:rPr>
          <w:rFonts w:hint="eastAsia" w:ascii="宋体" w:hAnsi="宋体"/>
          <w:sz w:val="24"/>
        </w:rPr>
        <w:t>甘肃酒钢集团宏兴钢铁股份有限公司检修工程部（以下简称甲方）与</w:t>
      </w:r>
      <w:r>
        <w:rPr>
          <w:rFonts w:hint="eastAsia" w:ascii="宋体" w:hAnsi="宋体"/>
          <w:color w:val="0000FF"/>
          <w:sz w:val="24"/>
          <w:u w:val="single"/>
        </w:rPr>
        <w:t xml:space="preserve">                </w:t>
      </w:r>
    </w:p>
    <w:p w14:paraId="3949B20D">
      <w:pPr>
        <w:snapToGrid w:val="0"/>
        <w:spacing w:line="360" w:lineRule="auto"/>
        <w:rPr>
          <w:rFonts w:hint="eastAsia" w:ascii="宋体" w:hAnsi="宋体"/>
          <w:sz w:val="24"/>
        </w:rPr>
      </w:pPr>
      <w:r>
        <w:rPr>
          <w:rFonts w:hint="eastAsia" w:ascii="宋体" w:hAnsi="宋体"/>
          <w:color w:val="0000FF"/>
          <w:sz w:val="24"/>
          <w:u w:val="single"/>
        </w:rPr>
        <w:t xml:space="preserve">                </w:t>
      </w:r>
      <w:r>
        <w:rPr>
          <w:rFonts w:hint="eastAsia" w:ascii="宋体" w:hAnsi="宋体"/>
          <w:sz w:val="24"/>
        </w:rPr>
        <w:t>（以下简称乙方）就甘肃酒钢集团宏兴钢铁股份有限公司检修工程部陶瓷纤维陶盾模块供货技术事宜进行洽谈，经双方协商，达成如下协议：</w:t>
      </w:r>
    </w:p>
    <w:p w14:paraId="08C8137B">
      <w:pPr>
        <w:snapToGrid w:val="0"/>
        <w:spacing w:line="360" w:lineRule="auto"/>
        <w:rPr>
          <w:rFonts w:hint="eastAsia" w:ascii="宋体" w:hAnsi="宋体"/>
          <w:b/>
          <w:sz w:val="24"/>
        </w:rPr>
      </w:pPr>
      <w:r>
        <w:rPr>
          <w:rFonts w:hint="eastAsia" w:ascii="宋体" w:hAnsi="宋体"/>
          <w:b/>
          <w:sz w:val="24"/>
        </w:rPr>
        <w:t>附件一  总则</w:t>
      </w:r>
    </w:p>
    <w:p w14:paraId="001BD692">
      <w:pPr>
        <w:snapToGrid w:val="0"/>
        <w:spacing w:line="360" w:lineRule="auto"/>
        <w:ind w:firstLine="480" w:firstLineChars="200"/>
        <w:rPr>
          <w:rFonts w:hint="eastAsia" w:ascii="宋体" w:hAnsi="宋体"/>
          <w:sz w:val="24"/>
        </w:rPr>
      </w:pPr>
      <w:r>
        <w:rPr>
          <w:rFonts w:hint="eastAsia" w:ascii="宋体" w:hAnsi="宋体"/>
          <w:sz w:val="24"/>
        </w:rPr>
        <w:t>1.1  本技术协议作为甲方产品订货合同的附件，与订货合同同时生效，具有同等法律效力。合同执行期间双方再协商形成的补充协议和追加条款也具有同等法律效力。</w:t>
      </w:r>
    </w:p>
    <w:p w14:paraId="6CE168B4">
      <w:pPr>
        <w:snapToGrid w:val="0"/>
        <w:spacing w:line="360" w:lineRule="auto"/>
        <w:ind w:firstLine="480" w:firstLineChars="200"/>
        <w:rPr>
          <w:rFonts w:hint="eastAsia" w:ascii="宋体" w:hAnsi="宋体"/>
          <w:sz w:val="24"/>
        </w:rPr>
      </w:pPr>
      <w:r>
        <w:rPr>
          <w:rFonts w:hint="eastAsia" w:ascii="宋体" w:hAnsi="宋体"/>
          <w:sz w:val="24"/>
        </w:rPr>
        <w:t>1.2  本技术协议所提出的是最低材料的技术要求，对一切技术细节和有关标准和规范不详细的，乙方应保证提供符合国家或行业有关标准和技术文件的优质产品。</w:t>
      </w:r>
    </w:p>
    <w:p w14:paraId="053070FE">
      <w:pPr>
        <w:snapToGrid w:val="0"/>
        <w:spacing w:line="360" w:lineRule="auto"/>
        <w:ind w:firstLine="480" w:firstLineChars="200"/>
        <w:rPr>
          <w:rFonts w:hint="eastAsia" w:ascii="宋体" w:hAnsi="宋体"/>
          <w:sz w:val="24"/>
        </w:rPr>
      </w:pPr>
      <w:r>
        <w:rPr>
          <w:rFonts w:hint="eastAsia" w:ascii="宋体" w:hAnsi="宋体"/>
          <w:sz w:val="24"/>
        </w:rPr>
        <w:t>1.3  乙方提供的产品必须具有国内同行业近几年内的先进制造水平，</w:t>
      </w:r>
      <w:r>
        <w:rPr>
          <w:rFonts w:hint="eastAsia" w:ascii="宋体" w:hAnsi="宋体"/>
          <w:sz w:val="24"/>
          <w:lang w:eastAsia="zh-CN"/>
        </w:rPr>
        <w:t>具有罩式炉所用产品成功供货的酒钢业绩，</w:t>
      </w:r>
      <w:r>
        <w:rPr>
          <w:rFonts w:hint="eastAsia" w:ascii="宋体" w:hAnsi="宋体"/>
          <w:sz w:val="24"/>
        </w:rPr>
        <w:t>采用先进工艺，合格材料，成熟的技术或专利技术。</w:t>
      </w:r>
    </w:p>
    <w:p w14:paraId="5F4469DB">
      <w:pPr>
        <w:snapToGrid w:val="0"/>
        <w:spacing w:line="360" w:lineRule="auto"/>
        <w:ind w:firstLine="480" w:firstLineChars="200"/>
        <w:rPr>
          <w:rFonts w:hint="eastAsia" w:ascii="宋体" w:hAnsi="宋体"/>
          <w:sz w:val="24"/>
        </w:rPr>
      </w:pPr>
      <w:r>
        <w:rPr>
          <w:rFonts w:hint="eastAsia" w:ascii="宋体" w:hAnsi="宋体"/>
          <w:sz w:val="24"/>
        </w:rPr>
        <w:t>1.4  乙方提供的产品必须是全新、规范、先进的高质量可靠产品，能够确保连续稳定的工作。</w:t>
      </w:r>
    </w:p>
    <w:p w14:paraId="384582B0">
      <w:pPr>
        <w:snapToGrid w:val="0"/>
        <w:spacing w:line="360" w:lineRule="auto"/>
        <w:ind w:firstLine="480" w:firstLineChars="200"/>
        <w:rPr>
          <w:rFonts w:hint="eastAsia" w:ascii="宋体" w:hAnsi="宋体"/>
          <w:sz w:val="24"/>
        </w:rPr>
      </w:pPr>
      <w:r>
        <w:rPr>
          <w:rFonts w:hint="eastAsia" w:ascii="宋体" w:hAnsi="宋体"/>
          <w:sz w:val="24"/>
        </w:rPr>
        <w:t>1.5  乙方提供货物的制造，材料的选择，都应按照国内外通用的现行标准和相应的技术规范执行，而这些标准和技术规范应为合同签字日为止最新公布发问的标准和技术规范。</w:t>
      </w:r>
    </w:p>
    <w:p w14:paraId="5FFF627A">
      <w:pPr>
        <w:snapToGrid w:val="0"/>
        <w:spacing w:line="360" w:lineRule="auto"/>
        <w:ind w:firstLine="480" w:firstLineChars="200"/>
        <w:rPr>
          <w:rFonts w:hint="eastAsia" w:ascii="宋体" w:hAnsi="宋体"/>
          <w:sz w:val="24"/>
        </w:rPr>
      </w:pPr>
      <w:r>
        <w:rPr>
          <w:rFonts w:hint="eastAsia" w:ascii="宋体" w:hAnsi="宋体"/>
          <w:sz w:val="24"/>
        </w:rPr>
        <w:t>1.6  乙方须对</w:t>
      </w:r>
      <w:r>
        <w:rPr>
          <w:rFonts w:hint="eastAsia" w:ascii="宋体" w:hAnsi="宋体"/>
          <w:sz w:val="24"/>
          <w:lang w:val="en-US" w:eastAsia="zh-CN"/>
        </w:rPr>
        <w:t>检修工程部陶瓷纤维陶盾模块</w:t>
      </w:r>
      <w:r>
        <w:rPr>
          <w:rFonts w:hint="eastAsia" w:ascii="宋体" w:hAnsi="宋体"/>
          <w:sz w:val="24"/>
        </w:rPr>
        <w:t>使用质量承担全部责任。保证设备设计满足</w:t>
      </w:r>
      <w:r>
        <w:rPr>
          <w:rFonts w:hint="eastAsia" w:ascii="宋体" w:hAnsi="宋体"/>
          <w:sz w:val="24"/>
          <w:lang w:val="en-US" w:eastAsia="zh-CN"/>
        </w:rPr>
        <w:t>罩式炉</w:t>
      </w:r>
      <w:r>
        <w:rPr>
          <w:rFonts w:hint="eastAsia" w:ascii="宋体" w:hAnsi="宋体"/>
          <w:sz w:val="24"/>
        </w:rPr>
        <w:t>工艺要求。</w:t>
      </w:r>
    </w:p>
    <w:p w14:paraId="21B1D9CF">
      <w:pPr>
        <w:snapToGrid w:val="0"/>
        <w:spacing w:line="360" w:lineRule="auto"/>
        <w:ind w:firstLine="480" w:firstLineChars="200"/>
        <w:rPr>
          <w:rFonts w:hint="eastAsia" w:ascii="宋体" w:hAnsi="宋体"/>
          <w:sz w:val="24"/>
        </w:rPr>
      </w:pPr>
      <w:r>
        <w:rPr>
          <w:rFonts w:hint="eastAsia" w:ascii="宋体" w:hAnsi="宋体"/>
          <w:sz w:val="24"/>
        </w:rPr>
        <w:t>1.7  乙方在合同货物制造中，发生侵犯专利的行为时其侵权责任与甲方无关。</w:t>
      </w:r>
    </w:p>
    <w:p w14:paraId="5025B694">
      <w:pPr>
        <w:snapToGrid w:val="0"/>
        <w:spacing w:line="360" w:lineRule="auto"/>
        <w:rPr>
          <w:rFonts w:hint="eastAsia" w:ascii="宋体" w:hAnsi="宋体"/>
          <w:sz w:val="24"/>
        </w:rPr>
      </w:pPr>
      <w:r>
        <w:rPr>
          <w:rFonts w:hint="eastAsia" w:ascii="宋体" w:hAnsi="宋体"/>
          <w:b/>
          <w:sz w:val="24"/>
        </w:rPr>
        <w:t>附件二  工程简介</w:t>
      </w:r>
    </w:p>
    <w:p w14:paraId="1A14A496">
      <w:pPr>
        <w:snapToGrid w:val="0"/>
        <w:spacing w:line="360" w:lineRule="auto"/>
        <w:ind w:firstLine="480" w:firstLineChars="200"/>
        <w:rPr>
          <w:rFonts w:hint="eastAsia" w:ascii="宋体" w:hAnsi="宋体"/>
          <w:sz w:val="24"/>
        </w:rPr>
      </w:pPr>
      <w:r>
        <w:rPr>
          <w:rFonts w:hint="eastAsia" w:ascii="宋体" w:hAnsi="宋体"/>
          <w:sz w:val="24"/>
          <w:lang w:val="en-US" w:eastAsia="zh-CN"/>
        </w:rPr>
        <w:t>检修工程部不锈钢分公司中板罩退作业区罩式炉耐材维保</w:t>
      </w:r>
      <w:r>
        <w:rPr>
          <w:rFonts w:hint="eastAsia" w:ascii="宋体" w:hAnsi="宋体"/>
          <w:sz w:val="24"/>
        </w:rPr>
        <w:t>耐火</w:t>
      </w:r>
      <w:r>
        <w:rPr>
          <w:rFonts w:hint="eastAsia" w:ascii="宋体" w:hAnsi="宋体"/>
          <w:sz w:val="24"/>
          <w:lang w:eastAsia="zh-CN"/>
        </w:rPr>
        <w:t>材料</w:t>
      </w:r>
      <w:r>
        <w:rPr>
          <w:rFonts w:hint="eastAsia" w:ascii="宋体" w:hAnsi="宋体"/>
          <w:sz w:val="24"/>
        </w:rPr>
        <w:t>供货。</w:t>
      </w:r>
    </w:p>
    <w:p w14:paraId="52BCA46C">
      <w:pPr>
        <w:snapToGrid w:val="0"/>
        <w:spacing w:line="360" w:lineRule="auto"/>
        <w:rPr>
          <w:rFonts w:hint="eastAsia" w:ascii="宋体" w:hAnsi="宋体"/>
          <w:b/>
          <w:sz w:val="24"/>
        </w:rPr>
      </w:pPr>
      <w:r>
        <w:rPr>
          <w:rFonts w:hint="eastAsia" w:ascii="宋体" w:hAnsi="宋体"/>
          <w:b/>
          <w:sz w:val="24"/>
        </w:rPr>
        <w:t>附件三  供货范围</w:t>
      </w:r>
    </w:p>
    <w:p w14:paraId="0541C682">
      <w:pPr>
        <w:snapToGrid w:val="0"/>
        <w:spacing w:line="360" w:lineRule="auto"/>
        <w:ind w:firstLine="435"/>
        <w:rPr>
          <w:rFonts w:hint="eastAsia" w:ascii="宋体" w:hAnsi="宋体"/>
          <w:sz w:val="24"/>
        </w:rPr>
      </w:pPr>
      <w:r>
        <w:rPr>
          <w:rFonts w:hint="eastAsia" w:ascii="宋体" w:hAnsi="宋体"/>
          <w:sz w:val="24"/>
        </w:rPr>
        <w:t>供货范围：</w:t>
      </w:r>
    </w:p>
    <w:p w14:paraId="29A89385">
      <w:pPr>
        <w:snapToGrid w:val="0"/>
        <w:spacing w:line="360" w:lineRule="auto"/>
        <w:ind w:firstLine="435"/>
        <w:rPr>
          <w:rFonts w:hint="eastAsia" w:ascii="宋体" w:hAnsi="宋体"/>
          <w:sz w:val="24"/>
        </w:rPr>
      </w:pPr>
      <w:r>
        <w:rPr>
          <w:rFonts w:hint="eastAsia" w:ascii="宋体" w:hAnsi="宋体"/>
          <w:sz w:val="24"/>
          <w:lang w:val="en-US" w:eastAsia="zh-CN"/>
        </w:rPr>
        <w:t>1、陶瓷纤维陶盾模块</w:t>
      </w:r>
      <w:r>
        <w:rPr>
          <w:rFonts w:hint="eastAsia" w:ascii="宋体" w:hAnsi="宋体"/>
          <w:sz w:val="24"/>
          <w:lang w:eastAsia="zh-CN"/>
        </w:rPr>
        <w:t>用量</w:t>
      </w:r>
      <w:r>
        <w:rPr>
          <w:rFonts w:hint="eastAsia" w:ascii="宋体" w:hAnsi="宋体"/>
          <w:sz w:val="24"/>
        </w:rPr>
        <w:t>。</w:t>
      </w:r>
    </w:p>
    <w:tbl>
      <w:tblPr>
        <w:tblStyle w:val="10"/>
        <w:tblW w:w="907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50"/>
        <w:gridCol w:w="1105"/>
        <w:gridCol w:w="1316"/>
        <w:gridCol w:w="2016"/>
        <w:gridCol w:w="566"/>
        <w:gridCol w:w="816"/>
        <w:gridCol w:w="2606"/>
      </w:tblGrid>
      <w:tr w14:paraId="3FB387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65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0195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1105" w:type="dxa"/>
            <w:tcBorders>
              <w:top w:val="single" w:color="000000" w:sz="8" w:space="0"/>
              <w:left w:val="nil"/>
              <w:bottom w:val="single" w:color="000000" w:sz="8" w:space="0"/>
              <w:right w:val="single" w:color="000000" w:sz="8" w:space="0"/>
            </w:tcBorders>
            <w:shd w:val="clear" w:color="auto" w:fill="auto"/>
            <w:vAlign w:val="center"/>
          </w:tcPr>
          <w:p w14:paraId="77A3C5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代码</w:t>
            </w:r>
          </w:p>
        </w:tc>
        <w:tc>
          <w:tcPr>
            <w:tcW w:w="1316" w:type="dxa"/>
            <w:tcBorders>
              <w:top w:val="single" w:color="000000" w:sz="8" w:space="0"/>
              <w:left w:val="nil"/>
              <w:bottom w:val="single" w:color="000000" w:sz="8" w:space="0"/>
              <w:right w:val="single" w:color="000000" w:sz="8" w:space="0"/>
            </w:tcBorders>
            <w:shd w:val="clear" w:color="auto" w:fill="auto"/>
            <w:vAlign w:val="center"/>
          </w:tcPr>
          <w:p w14:paraId="0E1112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名称</w:t>
            </w:r>
          </w:p>
        </w:tc>
        <w:tc>
          <w:tcPr>
            <w:tcW w:w="2016" w:type="dxa"/>
            <w:tcBorders>
              <w:top w:val="single" w:color="000000" w:sz="8" w:space="0"/>
              <w:left w:val="nil"/>
              <w:bottom w:val="single" w:color="000000" w:sz="8" w:space="0"/>
              <w:right w:val="single" w:color="000000" w:sz="8" w:space="0"/>
            </w:tcBorders>
            <w:shd w:val="clear" w:color="auto" w:fill="auto"/>
            <w:vAlign w:val="center"/>
          </w:tcPr>
          <w:p w14:paraId="1F50EE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规格型号</w:t>
            </w:r>
          </w:p>
        </w:tc>
        <w:tc>
          <w:tcPr>
            <w:tcW w:w="566" w:type="dxa"/>
            <w:tcBorders>
              <w:top w:val="single" w:color="000000" w:sz="8" w:space="0"/>
              <w:left w:val="nil"/>
              <w:bottom w:val="single" w:color="000000" w:sz="8" w:space="0"/>
              <w:right w:val="single" w:color="000000" w:sz="8" w:space="0"/>
            </w:tcBorders>
            <w:shd w:val="clear" w:color="auto" w:fill="auto"/>
            <w:vAlign w:val="center"/>
          </w:tcPr>
          <w:p w14:paraId="6E36D0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w:t>
            </w:r>
          </w:p>
        </w:tc>
        <w:tc>
          <w:tcPr>
            <w:tcW w:w="816" w:type="dxa"/>
            <w:tcBorders>
              <w:top w:val="single" w:color="000000" w:sz="8" w:space="0"/>
              <w:left w:val="nil"/>
              <w:bottom w:val="single" w:color="000000" w:sz="8" w:space="0"/>
              <w:right w:val="single" w:color="000000" w:sz="8" w:space="0"/>
            </w:tcBorders>
            <w:shd w:val="clear" w:color="auto" w:fill="auto"/>
            <w:vAlign w:val="center"/>
          </w:tcPr>
          <w:p w14:paraId="13253B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数量（套）</w:t>
            </w:r>
          </w:p>
        </w:tc>
        <w:tc>
          <w:tcPr>
            <w:tcW w:w="2606" w:type="dxa"/>
            <w:tcBorders>
              <w:top w:val="single" w:color="000000" w:sz="8" w:space="0"/>
              <w:left w:val="nil"/>
              <w:bottom w:val="single" w:color="000000" w:sz="8" w:space="0"/>
              <w:right w:val="single" w:color="000000" w:sz="8" w:space="0"/>
            </w:tcBorders>
            <w:shd w:val="clear" w:color="auto" w:fill="auto"/>
            <w:vAlign w:val="center"/>
          </w:tcPr>
          <w:p w14:paraId="22138B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备注（技术要求）</w:t>
            </w:r>
          </w:p>
        </w:tc>
      </w:tr>
      <w:tr w14:paraId="16CCCA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55" w:hRule="atLeast"/>
        </w:trPr>
        <w:tc>
          <w:tcPr>
            <w:tcW w:w="650" w:type="dxa"/>
            <w:tcBorders>
              <w:top w:val="nil"/>
              <w:left w:val="single" w:color="000000" w:sz="8" w:space="0"/>
              <w:bottom w:val="single" w:color="000000" w:sz="8" w:space="0"/>
              <w:right w:val="single" w:color="000000" w:sz="8" w:space="0"/>
            </w:tcBorders>
            <w:shd w:val="clear" w:color="auto" w:fill="auto"/>
            <w:vAlign w:val="center"/>
          </w:tcPr>
          <w:p w14:paraId="7ABB32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1</w:t>
            </w:r>
          </w:p>
        </w:tc>
        <w:tc>
          <w:tcPr>
            <w:tcW w:w="1105" w:type="dxa"/>
            <w:tcBorders>
              <w:top w:val="nil"/>
              <w:left w:val="nil"/>
              <w:bottom w:val="single" w:color="000000" w:sz="8" w:space="0"/>
              <w:right w:val="single" w:color="000000" w:sz="8" w:space="0"/>
            </w:tcBorders>
            <w:shd w:val="clear" w:color="auto" w:fill="auto"/>
            <w:vAlign w:val="center"/>
          </w:tcPr>
          <w:p w14:paraId="247A9B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70444955</w:t>
            </w:r>
          </w:p>
        </w:tc>
        <w:tc>
          <w:tcPr>
            <w:tcW w:w="1316" w:type="dxa"/>
            <w:tcBorders>
              <w:top w:val="nil"/>
              <w:left w:val="nil"/>
              <w:bottom w:val="single" w:color="000000" w:sz="8" w:space="0"/>
              <w:right w:val="single" w:color="000000" w:sz="8" w:space="0"/>
            </w:tcBorders>
            <w:shd w:val="clear" w:color="auto" w:fill="auto"/>
            <w:vAlign w:val="center"/>
          </w:tcPr>
          <w:p w14:paraId="2271F4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陶瓷纤维陶盾模块</w:t>
            </w:r>
          </w:p>
        </w:tc>
        <w:tc>
          <w:tcPr>
            <w:tcW w:w="2016" w:type="dxa"/>
            <w:tcBorders>
              <w:top w:val="nil"/>
              <w:left w:val="nil"/>
              <w:bottom w:val="single" w:color="000000" w:sz="8" w:space="0"/>
              <w:right w:val="single" w:color="000000" w:sz="8" w:space="0"/>
            </w:tcBorders>
            <w:shd w:val="clear" w:color="auto" w:fill="auto"/>
            <w:vAlign w:val="center"/>
          </w:tcPr>
          <w:p w14:paraId="2CB1E4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140×308/264×250/</w:t>
            </w:r>
            <w:r>
              <w:rPr>
                <w:rFonts w:hint="eastAsia" w:ascii="宋体" w:hAnsi="宋体" w:eastAsia="宋体" w:cs="宋体"/>
                <w:i w:val="0"/>
                <w:iCs w:val="0"/>
                <w:color w:val="333333"/>
                <w:kern w:val="0"/>
                <w:sz w:val="20"/>
                <w:szCs w:val="20"/>
                <w:u w:val="none"/>
                <w:lang w:val="en-US" w:eastAsia="zh-CN" w:bidi="ar"/>
              </w:rPr>
              <w:t>配锚固件</w:t>
            </w:r>
            <w:r>
              <w:rPr>
                <w:rStyle w:val="46"/>
                <w:lang w:val="en-US" w:eastAsia="zh-CN" w:bidi="ar"/>
              </w:rPr>
              <w:t xml:space="preserve"> 220kg/m3 1260</w:t>
            </w:r>
            <w:r>
              <w:rPr>
                <w:rFonts w:hint="eastAsia" w:ascii="宋体" w:hAnsi="宋体" w:eastAsia="宋体" w:cs="宋体"/>
                <w:i w:val="0"/>
                <w:iCs w:val="0"/>
                <w:color w:val="333333"/>
                <w:kern w:val="0"/>
                <w:sz w:val="20"/>
                <w:szCs w:val="20"/>
                <w:u w:val="none"/>
                <w:lang w:val="en-US" w:eastAsia="zh-CN" w:bidi="ar"/>
              </w:rPr>
              <w:t>℃</w:t>
            </w:r>
          </w:p>
        </w:tc>
        <w:tc>
          <w:tcPr>
            <w:tcW w:w="566" w:type="dxa"/>
            <w:tcBorders>
              <w:top w:val="nil"/>
              <w:left w:val="nil"/>
              <w:bottom w:val="single" w:color="000000" w:sz="8" w:space="0"/>
              <w:right w:val="single" w:color="000000" w:sz="8" w:space="0"/>
            </w:tcBorders>
            <w:shd w:val="clear" w:color="auto" w:fill="auto"/>
            <w:vAlign w:val="center"/>
          </w:tcPr>
          <w:p w14:paraId="6CA672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816" w:type="dxa"/>
            <w:tcBorders>
              <w:top w:val="nil"/>
              <w:left w:val="single" w:color="000000" w:sz="8" w:space="0"/>
              <w:bottom w:val="single" w:color="000000" w:sz="8" w:space="0"/>
              <w:right w:val="single" w:color="000000" w:sz="8" w:space="0"/>
            </w:tcBorders>
            <w:shd w:val="clear" w:color="auto" w:fill="auto"/>
            <w:vAlign w:val="center"/>
          </w:tcPr>
          <w:p w14:paraId="4B0867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2606" w:type="dxa"/>
            <w:tcBorders>
              <w:top w:val="nil"/>
              <w:left w:val="single" w:color="000000" w:sz="8" w:space="0"/>
              <w:bottom w:val="single" w:color="000000" w:sz="8" w:space="0"/>
              <w:right w:val="single" w:color="000000" w:sz="8" w:space="0"/>
            </w:tcBorders>
            <w:shd w:val="clear" w:color="auto" w:fill="auto"/>
            <w:vAlign w:val="center"/>
          </w:tcPr>
          <w:p w14:paraId="65B61D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含不锈钢（材质：Cr25Ni20）锚固件、垫片、快速卡片、螺栓螺母、U型钉、快速卡片（材质：65Mn） 、及表面固化剂（内高温900度）；质保期5年，理化指标满足4.1相关要求</w:t>
            </w:r>
          </w:p>
        </w:tc>
      </w:tr>
    </w:tbl>
    <w:p w14:paraId="0AC8E5CF">
      <w:pPr>
        <w:snapToGrid w:val="0"/>
        <w:spacing w:line="360" w:lineRule="auto"/>
        <w:rPr>
          <w:rFonts w:hint="eastAsia" w:ascii="宋体" w:hAnsi="宋体" w:eastAsia="宋体"/>
          <w:b/>
          <w:sz w:val="24"/>
          <w:lang w:val="en-US" w:eastAsia="zh-CN"/>
        </w:rPr>
      </w:pPr>
    </w:p>
    <w:p w14:paraId="1C701038">
      <w:pPr>
        <w:snapToGrid w:val="0"/>
        <w:spacing w:line="360" w:lineRule="auto"/>
        <w:rPr>
          <w:rFonts w:hint="eastAsia" w:ascii="宋体" w:hAnsi="宋体"/>
          <w:b/>
          <w:sz w:val="24"/>
        </w:rPr>
      </w:pPr>
      <w:r>
        <w:rPr>
          <w:rFonts w:hint="eastAsia" w:ascii="宋体" w:hAnsi="宋体"/>
          <w:b/>
          <w:sz w:val="24"/>
        </w:rPr>
        <w:t>附件四  理化指标</w:t>
      </w:r>
      <w:bookmarkStart w:id="0" w:name="_GoBack"/>
      <w:bookmarkEnd w:id="0"/>
    </w:p>
    <w:p w14:paraId="0C31A2A1">
      <w:pPr>
        <w:snapToGrid w:val="0"/>
        <w:spacing w:line="360" w:lineRule="auto"/>
        <w:ind w:firstLine="360" w:firstLineChars="150"/>
        <w:rPr>
          <w:rFonts w:hint="eastAsia" w:ascii="宋体" w:hAnsi="宋体"/>
          <w:sz w:val="24"/>
        </w:rPr>
      </w:pPr>
      <w:r>
        <w:rPr>
          <w:rFonts w:hint="eastAsia" w:ascii="宋体" w:hAnsi="宋体"/>
          <w:sz w:val="24"/>
        </w:rPr>
        <w:t>4.1</w:t>
      </w:r>
      <w:r>
        <w:rPr>
          <w:rFonts w:hint="eastAsia" w:ascii="宋体" w:hAnsi="宋体" w:eastAsia="宋体" w:cs="宋体"/>
          <w:color w:val="auto"/>
          <w:sz w:val="24"/>
          <w:szCs w:val="24"/>
        </w:rPr>
        <w:t>陶瓷纤维模块</w:t>
      </w:r>
      <w:r>
        <w:rPr>
          <w:rFonts w:hint="eastAsia" w:ascii="宋体" w:hAnsi="宋体"/>
          <w:sz w:val="24"/>
        </w:rPr>
        <w:t>理化指标</w:t>
      </w:r>
    </w:p>
    <w:p w14:paraId="67D7A3C9">
      <w:pPr>
        <w:snapToGrid w:val="0"/>
        <w:spacing w:line="360" w:lineRule="auto"/>
        <w:ind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分类温度：1260℃</w:t>
      </w:r>
    </w:p>
    <w:p w14:paraId="50D0EF15">
      <w:pPr>
        <w:snapToGrid w:val="0"/>
        <w:spacing w:line="360" w:lineRule="auto"/>
        <w:ind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加热线收缩(1000℃×24h)：＜-3%</w:t>
      </w:r>
    </w:p>
    <w:p w14:paraId="794B444E">
      <w:pPr>
        <w:snapToGrid w:val="0"/>
        <w:spacing w:line="360" w:lineRule="auto"/>
        <w:ind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容重：2</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0kg/m3</w:t>
      </w:r>
    </w:p>
    <w:p w14:paraId="0B16D750">
      <w:pPr>
        <w:snapToGrid w:val="0"/>
        <w:spacing w:line="360" w:lineRule="auto"/>
        <w:ind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抗拉强度(厚度25mm)：≥0.05MPa</w:t>
      </w:r>
    </w:p>
    <w:p w14:paraId="074A690C">
      <w:pPr>
        <w:snapToGrid w:val="0"/>
        <w:spacing w:line="360" w:lineRule="auto"/>
        <w:ind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导热系数：平均温度500℃ ≤0.153W/m·K</w:t>
      </w:r>
    </w:p>
    <w:p w14:paraId="31AC6277">
      <w:pPr>
        <w:snapToGrid w:val="0"/>
        <w:spacing w:line="360" w:lineRule="auto"/>
        <w:ind w:firstLine="360" w:firstLineChars="150"/>
        <w:rPr>
          <w:rFonts w:hint="eastAsia" w:ascii="宋体" w:hAnsi="宋体" w:cs="宋体"/>
          <w:color w:val="auto"/>
          <w:sz w:val="24"/>
          <w:szCs w:val="24"/>
          <w:vertAlign w:val="baseline"/>
          <w:lang w:val="en-US" w:eastAsia="zh-CN"/>
        </w:rPr>
      </w:pPr>
      <w:r>
        <w:rPr>
          <w:rFonts w:hint="eastAsia" w:ascii="宋体" w:hAnsi="宋体" w:cs="宋体"/>
          <w:color w:val="auto"/>
          <w:sz w:val="24"/>
          <w:szCs w:val="24"/>
          <w:lang w:val="en-US" w:eastAsia="zh-CN"/>
        </w:rPr>
        <w:t>Al</w:t>
      </w:r>
      <w:r>
        <w:rPr>
          <w:rFonts w:hint="eastAsia" w:ascii="宋体" w:hAnsi="宋体" w:cs="宋体"/>
          <w:color w:val="auto"/>
          <w:sz w:val="24"/>
          <w:szCs w:val="24"/>
          <w:vertAlign w:val="subscript"/>
          <w:lang w:val="en-US" w:eastAsia="zh-CN"/>
        </w:rPr>
        <w:t>2</w:t>
      </w:r>
      <w:r>
        <w:rPr>
          <w:rFonts w:hint="eastAsia" w:ascii="宋体" w:hAnsi="宋体" w:cs="宋体"/>
          <w:color w:val="auto"/>
          <w:sz w:val="24"/>
          <w:szCs w:val="24"/>
          <w:lang w:val="en-US" w:eastAsia="zh-CN"/>
        </w:rPr>
        <w:t>O</w:t>
      </w:r>
      <w:r>
        <w:rPr>
          <w:rFonts w:hint="eastAsia" w:ascii="宋体" w:hAnsi="宋体" w:cs="宋体"/>
          <w:color w:val="auto"/>
          <w:sz w:val="24"/>
          <w:szCs w:val="24"/>
          <w:vertAlign w:val="subscript"/>
          <w:lang w:val="en-US" w:eastAsia="zh-CN"/>
        </w:rPr>
        <w:t>3</w:t>
      </w:r>
      <w:r>
        <w:rPr>
          <w:rFonts w:hint="eastAsia" w:ascii="宋体" w:hAnsi="宋体" w:cs="宋体"/>
          <w:color w:val="auto"/>
          <w:sz w:val="24"/>
          <w:szCs w:val="24"/>
          <w:vertAlign w:val="baseline"/>
          <w:lang w:val="en-US" w:eastAsia="zh-CN"/>
        </w:rPr>
        <w:t>含量≥38%</w:t>
      </w:r>
    </w:p>
    <w:p w14:paraId="287BFA95">
      <w:pPr>
        <w:snapToGrid w:val="0"/>
        <w:spacing w:line="360" w:lineRule="auto"/>
        <w:ind w:firstLine="360" w:firstLineChars="150"/>
        <w:rPr>
          <w:rFonts w:hint="eastAsia" w:ascii="宋体" w:hAnsi="宋体" w:cs="宋体"/>
          <w:color w:val="auto"/>
          <w:sz w:val="24"/>
          <w:szCs w:val="24"/>
          <w:vertAlign w:val="baseline"/>
          <w:lang w:val="en-US" w:eastAsia="zh-CN"/>
        </w:rPr>
      </w:pPr>
      <w:r>
        <w:rPr>
          <w:rFonts w:hint="eastAsia" w:ascii="宋体" w:hAnsi="宋体" w:cs="宋体"/>
          <w:color w:val="auto"/>
          <w:sz w:val="24"/>
          <w:szCs w:val="24"/>
          <w:vertAlign w:val="baseline"/>
          <w:lang w:val="en-US" w:eastAsia="zh-CN"/>
        </w:rPr>
        <w:t>SiO</w:t>
      </w:r>
      <w:r>
        <w:rPr>
          <w:rFonts w:hint="eastAsia" w:ascii="宋体" w:hAnsi="宋体" w:cs="宋体"/>
          <w:color w:val="auto"/>
          <w:sz w:val="24"/>
          <w:szCs w:val="24"/>
          <w:vertAlign w:val="subscript"/>
          <w:lang w:val="en-US" w:eastAsia="zh-CN"/>
        </w:rPr>
        <w:t>2</w:t>
      </w:r>
      <w:r>
        <w:rPr>
          <w:rFonts w:hint="eastAsia" w:ascii="宋体" w:hAnsi="宋体" w:cs="宋体"/>
          <w:color w:val="auto"/>
          <w:sz w:val="24"/>
          <w:szCs w:val="24"/>
          <w:vertAlign w:val="baseline"/>
          <w:lang w:val="en-US" w:eastAsia="zh-CN"/>
        </w:rPr>
        <w:t>含量≥45%</w:t>
      </w:r>
    </w:p>
    <w:p w14:paraId="3EA02599">
      <w:pPr>
        <w:snapToGrid w:val="0"/>
        <w:spacing w:line="360" w:lineRule="auto"/>
        <w:ind w:firstLine="360" w:firstLineChars="150"/>
        <w:rPr>
          <w:rFonts w:hint="default" w:ascii="宋体" w:hAnsi="宋体" w:cs="宋体"/>
          <w:color w:val="auto"/>
          <w:sz w:val="24"/>
          <w:szCs w:val="24"/>
          <w:vertAlign w:val="baseline"/>
          <w:lang w:val="en-US" w:eastAsia="zh-CN"/>
        </w:rPr>
      </w:pPr>
      <w:r>
        <w:rPr>
          <w:rFonts w:hint="eastAsia" w:ascii="宋体" w:hAnsi="宋体" w:cs="宋体"/>
          <w:color w:val="auto"/>
          <w:sz w:val="24"/>
          <w:szCs w:val="24"/>
          <w:vertAlign w:val="baseline"/>
          <w:lang w:val="en-US" w:eastAsia="zh-CN"/>
        </w:rPr>
        <w:t>ZrO</w:t>
      </w:r>
      <w:r>
        <w:rPr>
          <w:rFonts w:hint="eastAsia" w:ascii="宋体" w:hAnsi="宋体" w:cs="宋体"/>
          <w:color w:val="auto"/>
          <w:sz w:val="24"/>
          <w:szCs w:val="24"/>
          <w:vertAlign w:val="subscript"/>
          <w:lang w:val="en-US" w:eastAsia="zh-CN"/>
        </w:rPr>
        <w:t>2</w:t>
      </w:r>
      <w:r>
        <w:rPr>
          <w:rFonts w:hint="eastAsia" w:ascii="宋体" w:hAnsi="宋体" w:cs="宋体"/>
          <w:color w:val="auto"/>
          <w:sz w:val="24"/>
          <w:szCs w:val="24"/>
          <w:vertAlign w:val="baseline"/>
          <w:lang w:val="en-US" w:eastAsia="zh-CN"/>
        </w:rPr>
        <w:t>含量≥16%</w:t>
      </w:r>
    </w:p>
    <w:p w14:paraId="5CDF8063">
      <w:pPr>
        <w:snapToGrid w:val="0"/>
        <w:spacing w:line="360" w:lineRule="auto"/>
        <w:ind w:firstLine="240" w:firstLineChars="100"/>
        <w:rPr>
          <w:rFonts w:hint="eastAsia" w:ascii="宋体" w:hAnsi="宋体"/>
          <w:sz w:val="24"/>
        </w:rPr>
      </w:pPr>
      <w:r>
        <w:rPr>
          <w:rFonts w:hint="eastAsia" w:ascii="宋体" w:hAnsi="宋体"/>
          <w:sz w:val="24"/>
        </w:rPr>
        <w:t>4.</w:t>
      </w:r>
      <w:r>
        <w:rPr>
          <w:rFonts w:hint="eastAsia" w:ascii="宋体" w:hAnsi="宋体"/>
          <w:sz w:val="24"/>
          <w:lang w:val="en-US" w:eastAsia="zh-CN"/>
        </w:rPr>
        <w:t>4</w:t>
      </w:r>
      <w:r>
        <w:rPr>
          <w:rFonts w:hint="eastAsia" w:ascii="宋体" w:hAnsi="宋体"/>
          <w:sz w:val="24"/>
        </w:rPr>
        <w:t>验收要求</w:t>
      </w:r>
    </w:p>
    <w:p w14:paraId="125BFF23">
      <w:pPr>
        <w:snapToGrid w:val="0"/>
        <w:spacing w:line="360" w:lineRule="auto"/>
        <w:ind w:firstLine="480" w:firstLineChars="200"/>
        <w:rPr>
          <w:rFonts w:hint="eastAsia" w:ascii="宋体" w:hAnsi="宋体"/>
          <w:sz w:val="24"/>
          <w:highlight w:val="none"/>
          <w:lang w:eastAsia="zh-CN"/>
        </w:rPr>
      </w:pPr>
      <w:r>
        <w:rPr>
          <w:rFonts w:hint="eastAsia" w:ascii="宋体" w:hAnsi="宋体"/>
          <w:sz w:val="24"/>
          <w:highlight w:val="none"/>
          <w:lang w:val="en-US" w:eastAsia="zh-CN"/>
        </w:rPr>
        <w:t>4.4.1乙方提供的陶瓷纤维陶盾模块</w:t>
      </w:r>
      <w:r>
        <w:rPr>
          <w:rFonts w:hint="eastAsia" w:ascii="宋体" w:hAnsi="宋体"/>
          <w:sz w:val="24"/>
          <w:highlight w:val="none"/>
        </w:rPr>
        <w:t>的</w:t>
      </w:r>
      <w:r>
        <w:rPr>
          <w:rFonts w:hint="eastAsia" w:ascii="宋体" w:hAnsi="宋体"/>
          <w:sz w:val="24"/>
          <w:highlight w:val="none"/>
          <w:lang w:eastAsia="zh-CN"/>
        </w:rPr>
        <w:t>合格证及第三方化检验报告</w:t>
      </w:r>
      <w:r>
        <w:rPr>
          <w:rFonts w:hint="eastAsia" w:ascii="宋体" w:hAnsi="宋体"/>
          <w:sz w:val="24"/>
          <w:highlight w:val="none"/>
          <w:lang w:val="en-US" w:eastAsia="zh-CN"/>
        </w:rPr>
        <w:t>必须满足附件四4.1中的相关理化指标</w:t>
      </w:r>
      <w:r>
        <w:rPr>
          <w:rFonts w:hint="eastAsia" w:ascii="宋体" w:hAnsi="宋体"/>
          <w:sz w:val="24"/>
          <w:highlight w:val="none"/>
        </w:rPr>
        <w:t>、</w:t>
      </w:r>
      <w:r>
        <w:rPr>
          <w:rFonts w:hint="eastAsia" w:ascii="宋体" w:hAnsi="宋体"/>
          <w:sz w:val="24"/>
          <w:highlight w:val="none"/>
          <w:lang w:eastAsia="zh-CN"/>
        </w:rPr>
        <w:t>要求乙方</w:t>
      </w:r>
      <w:r>
        <w:rPr>
          <w:rFonts w:hint="eastAsia" w:ascii="宋体" w:hAnsi="宋体"/>
          <w:sz w:val="24"/>
          <w:highlight w:val="none"/>
        </w:rPr>
        <w:t>进行</w:t>
      </w:r>
      <w:r>
        <w:rPr>
          <w:rFonts w:hint="eastAsia" w:ascii="宋体" w:hAnsi="宋体"/>
          <w:sz w:val="24"/>
          <w:highlight w:val="none"/>
          <w:lang w:eastAsia="zh-CN"/>
        </w:rPr>
        <w:t>出厂前</w:t>
      </w:r>
      <w:r>
        <w:rPr>
          <w:rFonts w:hint="eastAsia" w:ascii="宋体" w:hAnsi="宋体"/>
          <w:sz w:val="24"/>
          <w:highlight w:val="none"/>
        </w:rPr>
        <w:t>抽检</w:t>
      </w:r>
      <w:r>
        <w:rPr>
          <w:rFonts w:hint="eastAsia" w:ascii="宋体" w:hAnsi="宋体"/>
          <w:sz w:val="24"/>
          <w:highlight w:val="none"/>
          <w:lang w:eastAsia="zh-CN"/>
        </w:rPr>
        <w:t>。</w:t>
      </w:r>
    </w:p>
    <w:p w14:paraId="6E6E2684">
      <w:pPr>
        <w:snapToGrid w:val="0"/>
        <w:spacing w:line="360" w:lineRule="auto"/>
        <w:ind w:firstLine="480" w:firstLineChars="200"/>
        <w:rPr>
          <w:rFonts w:hint="eastAsia" w:ascii="宋体" w:hAnsi="宋体"/>
          <w:sz w:val="24"/>
          <w:highlight w:val="none"/>
          <w:lang w:val="en-US" w:eastAsia="zh-CN"/>
        </w:rPr>
      </w:pPr>
      <w:r>
        <w:rPr>
          <w:rFonts w:hint="eastAsia" w:ascii="宋体" w:hAnsi="宋体"/>
          <w:sz w:val="24"/>
          <w:highlight w:val="none"/>
          <w:lang w:val="en-US" w:eastAsia="zh-CN"/>
        </w:rPr>
        <w:t>4.4.2陶瓷纤维陶盾模块为异型模块组件（大小头），包含含不锈钢（材质：Cr25Ni20）锚固件、垫片、快速卡片、螺栓螺母、U型钉、快速卡片（材质：65Mn）及表面固化剂（内高温900度）。</w:t>
      </w:r>
    </w:p>
    <w:p w14:paraId="3A9BE7C3">
      <w:pPr>
        <w:snapToGrid w:val="0"/>
        <w:spacing w:line="360" w:lineRule="auto"/>
        <w:ind w:firstLine="480" w:firstLineChars="200"/>
        <w:rPr>
          <w:rFonts w:hint="eastAsia" w:ascii="宋体" w:hAnsi="宋体"/>
          <w:sz w:val="24"/>
        </w:rPr>
      </w:pPr>
      <w:r>
        <w:rPr>
          <w:rFonts w:hint="eastAsia" w:ascii="宋体" w:hAnsi="宋体"/>
          <w:sz w:val="24"/>
          <w:lang w:val="en-US" w:eastAsia="zh-CN"/>
        </w:rPr>
        <w:t>4.4.3陶瓷纤维陶盾模块到货后必须进行抽样</w:t>
      </w:r>
      <w:r>
        <w:rPr>
          <w:rFonts w:hint="eastAsia" w:ascii="宋体" w:hAnsi="宋体"/>
          <w:sz w:val="24"/>
        </w:rPr>
        <w:t>，</w:t>
      </w:r>
      <w:r>
        <w:rPr>
          <w:rFonts w:hint="eastAsia" w:ascii="宋体" w:hAnsi="宋体"/>
          <w:sz w:val="24"/>
          <w:lang w:eastAsia="zh-CN"/>
        </w:rPr>
        <w:t>甲方与乙方各派人员进行现场取样，</w:t>
      </w:r>
      <w:r>
        <w:rPr>
          <w:rFonts w:hint="eastAsia" w:ascii="宋体" w:hAnsi="宋体"/>
          <w:sz w:val="24"/>
        </w:rPr>
        <w:t>乙方须委托由国家认可的第三方进行化检验，</w:t>
      </w:r>
      <w:r>
        <w:rPr>
          <w:rFonts w:hint="eastAsia" w:ascii="宋体" w:hAnsi="宋体"/>
          <w:sz w:val="24"/>
          <w:lang w:eastAsia="zh-CN"/>
        </w:rPr>
        <w:t>检验项目要包含附件四理化指标中的所有项目</w:t>
      </w:r>
      <w:r>
        <w:rPr>
          <w:rFonts w:hint="eastAsia" w:ascii="宋体" w:hAnsi="宋体"/>
          <w:sz w:val="24"/>
        </w:rPr>
        <w:t>并出具化检验报告，</w:t>
      </w:r>
      <w:r>
        <w:rPr>
          <w:rFonts w:hint="eastAsia" w:ascii="宋体" w:hAnsi="宋体"/>
          <w:sz w:val="24"/>
          <w:lang w:eastAsia="zh-CN"/>
        </w:rPr>
        <w:t>检验报告中要包含</w:t>
      </w:r>
      <w:r>
        <w:rPr>
          <w:rFonts w:hint="eastAsia" w:ascii="宋体" w:hAnsi="宋体"/>
          <w:sz w:val="24"/>
        </w:rPr>
        <w:t>由此产生的化经验等其它费用由乙方承担，对于不合格产品甲方有权拒绝支付货款。</w:t>
      </w:r>
    </w:p>
    <w:p w14:paraId="0EF607E4">
      <w:pPr>
        <w:snapToGrid w:val="0"/>
        <w:spacing w:line="360" w:lineRule="auto"/>
        <w:rPr>
          <w:rFonts w:hint="eastAsia" w:ascii="宋体" w:hAnsi="宋体"/>
          <w:b/>
          <w:sz w:val="24"/>
        </w:rPr>
      </w:pPr>
      <w:r>
        <w:rPr>
          <w:rFonts w:hint="eastAsia" w:ascii="宋体" w:hAnsi="宋体"/>
          <w:b/>
          <w:sz w:val="24"/>
        </w:rPr>
        <w:t>附件五  图纸资料交接</w:t>
      </w:r>
    </w:p>
    <w:p w14:paraId="16B19A7D">
      <w:pPr>
        <w:snapToGrid w:val="0"/>
        <w:spacing w:line="360" w:lineRule="auto"/>
        <w:rPr>
          <w:rFonts w:hint="eastAsia" w:ascii="宋体" w:hAnsi="宋体"/>
          <w:sz w:val="24"/>
        </w:rPr>
      </w:pPr>
      <w:r>
        <w:rPr>
          <w:rFonts w:hint="eastAsia" w:ascii="宋体" w:hAnsi="宋体"/>
          <w:sz w:val="24"/>
        </w:rPr>
        <w:t xml:space="preserve">    5.1  第三方化检验报告书。</w:t>
      </w:r>
    </w:p>
    <w:p w14:paraId="50EFA7A2">
      <w:pPr>
        <w:snapToGrid w:val="0"/>
        <w:spacing w:line="360" w:lineRule="auto"/>
        <w:rPr>
          <w:rFonts w:hint="eastAsia" w:ascii="宋体" w:hAnsi="宋体"/>
          <w:sz w:val="24"/>
        </w:rPr>
      </w:pPr>
      <w:r>
        <w:rPr>
          <w:rFonts w:hint="eastAsia" w:ascii="宋体" w:hAnsi="宋体"/>
          <w:sz w:val="24"/>
        </w:rPr>
        <w:t xml:space="preserve">    5.2  产品质量保证书。</w:t>
      </w:r>
    </w:p>
    <w:p w14:paraId="6FF75F38">
      <w:pPr>
        <w:snapToGrid w:val="0"/>
        <w:spacing w:line="360" w:lineRule="auto"/>
        <w:rPr>
          <w:rFonts w:hint="eastAsia" w:ascii="宋体" w:hAnsi="宋体"/>
          <w:sz w:val="24"/>
        </w:rPr>
      </w:pPr>
      <w:r>
        <w:rPr>
          <w:rFonts w:hint="eastAsia" w:ascii="宋体" w:hAnsi="宋体"/>
          <w:sz w:val="24"/>
        </w:rPr>
        <w:t xml:space="preserve">    5.3  合格证。</w:t>
      </w:r>
    </w:p>
    <w:p w14:paraId="66F4C0F7">
      <w:pPr>
        <w:snapToGrid w:val="0"/>
        <w:spacing w:line="360" w:lineRule="auto"/>
        <w:rPr>
          <w:rFonts w:hint="eastAsia" w:ascii="宋体" w:hAnsi="宋体"/>
          <w:sz w:val="24"/>
        </w:rPr>
      </w:pPr>
      <w:r>
        <w:rPr>
          <w:rFonts w:hint="eastAsia" w:ascii="宋体" w:hAnsi="宋体"/>
          <w:sz w:val="24"/>
        </w:rPr>
        <w:t xml:space="preserve">    5.4  产品使用说明书。</w:t>
      </w:r>
    </w:p>
    <w:p w14:paraId="7B1B26A7">
      <w:pPr>
        <w:snapToGrid w:val="0"/>
        <w:spacing w:line="360" w:lineRule="auto"/>
        <w:rPr>
          <w:rFonts w:hint="eastAsia" w:ascii="宋体" w:hAnsi="宋体"/>
          <w:b/>
          <w:sz w:val="24"/>
        </w:rPr>
      </w:pPr>
      <w:r>
        <w:rPr>
          <w:rFonts w:hint="eastAsia" w:ascii="宋体" w:hAnsi="宋体"/>
          <w:b/>
          <w:sz w:val="24"/>
        </w:rPr>
        <w:t>附件六  产品加工与储存、运输</w:t>
      </w:r>
    </w:p>
    <w:p w14:paraId="324A1FBC">
      <w:pPr>
        <w:snapToGrid w:val="0"/>
        <w:spacing w:line="360" w:lineRule="auto"/>
        <w:rPr>
          <w:rFonts w:hint="eastAsia" w:ascii="宋体" w:hAnsi="宋体"/>
          <w:sz w:val="24"/>
        </w:rPr>
      </w:pPr>
      <w:r>
        <w:rPr>
          <w:rFonts w:hint="eastAsia" w:ascii="宋体" w:hAnsi="宋体"/>
          <w:sz w:val="24"/>
        </w:rPr>
        <w:t xml:space="preserve">    6.1  产品加工期间，甲方有权派人在现场进行检查、监督制造过程，乙方须无条件予以合作。</w:t>
      </w:r>
    </w:p>
    <w:p w14:paraId="78BD29A6">
      <w:pPr>
        <w:snapToGrid w:val="0"/>
        <w:spacing w:line="360" w:lineRule="auto"/>
        <w:ind w:firstLine="480"/>
        <w:rPr>
          <w:rFonts w:hint="eastAsia" w:ascii="宋体" w:hAnsi="宋体"/>
          <w:sz w:val="24"/>
        </w:rPr>
      </w:pPr>
      <w:r>
        <w:rPr>
          <w:rFonts w:hint="eastAsia" w:ascii="宋体" w:hAnsi="宋体"/>
          <w:sz w:val="24"/>
        </w:rPr>
        <w:t>6.2  产品生产期间，原料混有杂物一律不得用于产品生产；一经被甲方发现，本批次产品按废品处理。</w:t>
      </w:r>
    </w:p>
    <w:p w14:paraId="3910E514">
      <w:pPr>
        <w:snapToGrid w:val="0"/>
        <w:spacing w:line="360" w:lineRule="auto"/>
        <w:ind w:firstLine="480"/>
        <w:rPr>
          <w:rFonts w:hint="eastAsia" w:ascii="宋体" w:hAnsi="宋体"/>
          <w:sz w:val="24"/>
        </w:rPr>
      </w:pPr>
      <w:r>
        <w:rPr>
          <w:rFonts w:hint="eastAsia" w:ascii="宋体" w:hAnsi="宋体"/>
          <w:sz w:val="24"/>
        </w:rPr>
        <w:t>6.3  产品加工完毕，乙方须按照产品保存要求做好防雨、防碰撞、防摔工作，严禁露天储存与运输。</w:t>
      </w:r>
    </w:p>
    <w:p w14:paraId="6889834A">
      <w:pPr>
        <w:snapToGrid w:val="0"/>
        <w:spacing w:line="360" w:lineRule="auto"/>
        <w:ind w:firstLine="480"/>
        <w:rPr>
          <w:rFonts w:hint="eastAsia" w:ascii="宋体" w:hAnsi="宋体"/>
          <w:sz w:val="24"/>
        </w:rPr>
      </w:pPr>
      <w:r>
        <w:rPr>
          <w:rFonts w:hint="eastAsia" w:ascii="宋体" w:hAnsi="宋体"/>
          <w:sz w:val="24"/>
        </w:rPr>
        <w:t>6.4  所有产品须按要求进行包装。请投标厂家在标书中说明包装要求及其并提供行业标准（包装袋强度必须保证运输，吊运没有破损或断带）。</w:t>
      </w:r>
    </w:p>
    <w:p w14:paraId="1D6A797B">
      <w:pPr>
        <w:snapToGrid w:val="0"/>
        <w:spacing w:line="360" w:lineRule="auto"/>
        <w:rPr>
          <w:rFonts w:hint="eastAsia" w:ascii="宋体" w:hAnsi="宋体"/>
          <w:b/>
          <w:sz w:val="24"/>
        </w:rPr>
      </w:pPr>
      <w:r>
        <w:rPr>
          <w:rFonts w:hint="eastAsia" w:ascii="宋体" w:hAnsi="宋体"/>
          <w:b/>
          <w:sz w:val="24"/>
        </w:rPr>
        <w:t>附件七  交货</w:t>
      </w:r>
    </w:p>
    <w:p w14:paraId="1D077D9A">
      <w:pPr>
        <w:snapToGrid w:val="0"/>
        <w:spacing w:line="360" w:lineRule="auto"/>
        <w:ind w:firstLine="480"/>
        <w:rPr>
          <w:rFonts w:hint="eastAsia" w:ascii="宋体" w:hAnsi="宋体"/>
          <w:sz w:val="24"/>
        </w:rPr>
      </w:pPr>
      <w:r>
        <w:rPr>
          <w:rFonts w:hint="eastAsia" w:ascii="宋体" w:hAnsi="宋体"/>
          <w:sz w:val="24"/>
        </w:rPr>
        <w:t>7.1  交货日期：</w:t>
      </w:r>
      <w:r>
        <w:rPr>
          <w:rFonts w:hint="eastAsia" w:ascii="宋体" w:hAnsi="宋体"/>
          <w:sz w:val="24"/>
          <w:lang w:val="en-US" w:eastAsia="zh-CN"/>
        </w:rPr>
        <w:t>陶瓷纤维陶盾模块交货</w:t>
      </w:r>
      <w:r>
        <w:rPr>
          <w:rFonts w:hint="eastAsia" w:ascii="宋体" w:hAnsi="宋体"/>
          <w:sz w:val="24"/>
        </w:rPr>
        <w:t>20</w:t>
      </w:r>
      <w:r>
        <w:rPr>
          <w:rFonts w:hint="eastAsia" w:ascii="宋体" w:hAnsi="宋体"/>
          <w:sz w:val="24"/>
          <w:lang w:val="en-US" w:eastAsia="zh-CN"/>
        </w:rPr>
        <w:t>25</w:t>
      </w:r>
      <w:r>
        <w:rPr>
          <w:rFonts w:hint="eastAsia" w:ascii="宋体" w:hAnsi="宋体"/>
          <w:sz w:val="24"/>
        </w:rPr>
        <w:t>年</w:t>
      </w:r>
      <w:r>
        <w:rPr>
          <w:rFonts w:hint="eastAsia" w:ascii="宋体" w:hAnsi="宋体"/>
          <w:sz w:val="24"/>
          <w:lang w:val="en-US" w:eastAsia="zh-CN"/>
        </w:rPr>
        <w:t>4</w:t>
      </w:r>
      <w:r>
        <w:rPr>
          <w:rFonts w:hint="eastAsia" w:ascii="宋体" w:hAnsi="宋体"/>
          <w:sz w:val="24"/>
        </w:rPr>
        <w:t>月</w:t>
      </w:r>
      <w:r>
        <w:rPr>
          <w:rFonts w:hint="eastAsia" w:ascii="宋体" w:hAnsi="宋体"/>
          <w:sz w:val="24"/>
          <w:lang w:val="en-US" w:eastAsia="zh-CN"/>
        </w:rPr>
        <w:t>1</w:t>
      </w:r>
      <w:r>
        <w:rPr>
          <w:rFonts w:hint="eastAsia" w:ascii="宋体" w:hAnsi="宋体"/>
          <w:sz w:val="24"/>
        </w:rPr>
        <w:t>日</w:t>
      </w:r>
      <w:r>
        <w:rPr>
          <w:rFonts w:hint="eastAsia" w:ascii="宋体" w:hAnsi="宋体"/>
          <w:sz w:val="24"/>
          <w:lang w:val="en-US" w:eastAsia="zh-CN"/>
        </w:rPr>
        <w:t>(准确时间以甲方通知为准)</w:t>
      </w:r>
      <w:r>
        <w:rPr>
          <w:rFonts w:hint="eastAsia" w:ascii="宋体" w:hAnsi="宋体"/>
          <w:sz w:val="24"/>
        </w:rPr>
        <w:t>乙方将货物运至酒钢施工现场（甘肃省嘉峪关市酒钢厂区）。</w:t>
      </w:r>
    </w:p>
    <w:p w14:paraId="585F1C6D">
      <w:pPr>
        <w:snapToGrid w:val="0"/>
        <w:spacing w:line="360" w:lineRule="auto"/>
        <w:ind w:firstLine="480"/>
        <w:rPr>
          <w:rFonts w:hint="eastAsia" w:ascii="宋体" w:hAnsi="宋体"/>
          <w:sz w:val="24"/>
        </w:rPr>
      </w:pPr>
      <w:r>
        <w:rPr>
          <w:rFonts w:hint="eastAsia" w:ascii="宋体" w:hAnsi="宋体"/>
          <w:sz w:val="24"/>
        </w:rPr>
        <w:t>7.2  产品交货</w:t>
      </w:r>
      <w:r>
        <w:rPr>
          <w:rFonts w:hint="eastAsia" w:ascii="宋体" w:hAnsi="宋体"/>
          <w:sz w:val="24"/>
          <w:lang w:eastAsia="zh-CN"/>
        </w:rPr>
        <w:t>规格及数量</w:t>
      </w:r>
      <w:r>
        <w:rPr>
          <w:rFonts w:hint="eastAsia" w:ascii="宋体" w:hAnsi="宋体"/>
          <w:sz w:val="24"/>
        </w:rPr>
        <w:t>以协议合同标定的数量为准。</w:t>
      </w:r>
    </w:p>
    <w:p w14:paraId="28498EC3">
      <w:pPr>
        <w:snapToGrid w:val="0"/>
        <w:spacing w:line="360" w:lineRule="auto"/>
        <w:ind w:firstLine="480"/>
        <w:rPr>
          <w:rFonts w:hint="eastAsia" w:ascii="宋体" w:hAnsi="宋体"/>
          <w:sz w:val="24"/>
        </w:rPr>
      </w:pPr>
      <w:r>
        <w:rPr>
          <w:rFonts w:hint="eastAsia" w:ascii="宋体" w:hAnsi="宋体"/>
          <w:sz w:val="24"/>
        </w:rPr>
        <w:t>7.3  产品交货到货后，乙方需派专人到现场与甲方人员共同清点到货数量并做好记录。</w:t>
      </w:r>
    </w:p>
    <w:p w14:paraId="430553B4">
      <w:pPr>
        <w:snapToGrid w:val="0"/>
        <w:spacing w:line="360" w:lineRule="auto"/>
        <w:rPr>
          <w:rFonts w:hint="eastAsia" w:ascii="宋体" w:hAnsi="宋体"/>
          <w:b/>
          <w:sz w:val="24"/>
        </w:rPr>
      </w:pPr>
      <w:r>
        <w:rPr>
          <w:rFonts w:hint="eastAsia" w:ascii="宋体" w:hAnsi="宋体"/>
          <w:b/>
          <w:sz w:val="24"/>
        </w:rPr>
        <w:t>附件八  售后服务</w:t>
      </w:r>
    </w:p>
    <w:p w14:paraId="40FAA3FB">
      <w:pPr>
        <w:snapToGrid w:val="0"/>
        <w:spacing w:line="360" w:lineRule="auto"/>
        <w:ind w:firstLine="480"/>
        <w:rPr>
          <w:rFonts w:hint="eastAsia" w:ascii="宋体" w:hAnsi="宋体"/>
          <w:sz w:val="24"/>
        </w:rPr>
      </w:pPr>
      <w:r>
        <w:rPr>
          <w:rFonts w:hint="eastAsia" w:ascii="宋体" w:hAnsi="宋体"/>
          <w:sz w:val="24"/>
        </w:rPr>
        <w:t>乙方根据甲方的服务需求在48小时内提供所需服务，服务时必须满足甲方要求。</w:t>
      </w:r>
    </w:p>
    <w:p w14:paraId="08632A3D">
      <w:pPr>
        <w:snapToGrid w:val="0"/>
        <w:spacing w:line="360" w:lineRule="auto"/>
        <w:rPr>
          <w:rFonts w:hint="eastAsia" w:ascii="宋体" w:hAnsi="宋体"/>
          <w:b/>
          <w:sz w:val="24"/>
        </w:rPr>
      </w:pPr>
      <w:r>
        <w:rPr>
          <w:rFonts w:hint="eastAsia" w:ascii="宋体" w:hAnsi="宋体"/>
          <w:b/>
          <w:sz w:val="24"/>
        </w:rPr>
        <w:t>附件九  考核指标</w:t>
      </w:r>
    </w:p>
    <w:p w14:paraId="12D6762A">
      <w:pPr>
        <w:snapToGrid w:val="0"/>
        <w:spacing w:line="360" w:lineRule="auto"/>
        <w:ind w:firstLine="480" w:firstLineChars="200"/>
        <w:rPr>
          <w:rFonts w:hint="eastAsia" w:ascii="宋体" w:hAnsi="宋体"/>
          <w:sz w:val="24"/>
        </w:rPr>
      </w:pPr>
      <w:r>
        <w:rPr>
          <w:rFonts w:hint="eastAsia" w:ascii="宋体" w:hAnsi="宋体"/>
          <w:sz w:val="24"/>
        </w:rPr>
        <w:t>9.1</w:t>
      </w:r>
      <w:r>
        <w:rPr>
          <w:rFonts w:hint="eastAsia" w:ascii="宋体" w:hAnsi="宋体"/>
          <w:sz w:val="24"/>
          <w:lang w:val="en-US" w:eastAsia="zh-CN"/>
        </w:rPr>
        <w:t xml:space="preserve"> </w:t>
      </w:r>
      <w:r>
        <w:rPr>
          <w:rFonts w:hint="eastAsia" w:ascii="宋体" w:hAnsi="宋体"/>
          <w:sz w:val="24"/>
        </w:rPr>
        <w:t>GB/T 2997 致密定形耐火制品体积密度、显气孔率和真气孔率试验方法，</w:t>
      </w:r>
      <w:r>
        <w:rPr>
          <w:rFonts w:hint="eastAsia" w:ascii="宋体" w:hAnsi="宋体"/>
          <w:b w:val="0"/>
          <w:bCs/>
          <w:sz w:val="24"/>
        </w:rPr>
        <w:t>检验</w:t>
      </w:r>
      <w:r>
        <w:rPr>
          <w:rFonts w:hint="eastAsia" w:ascii="宋体" w:hAnsi="宋体"/>
          <w:sz w:val="24"/>
        </w:rPr>
        <w:t>不合格按进货总金额的20%对乙方进行考核。</w:t>
      </w:r>
    </w:p>
    <w:p w14:paraId="145FD5ED">
      <w:pPr>
        <w:snapToGrid w:val="0"/>
        <w:spacing w:line="360" w:lineRule="auto"/>
        <w:ind w:firstLine="480" w:firstLineChars="200"/>
        <w:rPr>
          <w:rFonts w:hint="eastAsia" w:ascii="宋体" w:hAnsi="宋体"/>
          <w:sz w:val="24"/>
        </w:rPr>
      </w:pPr>
      <w:r>
        <w:rPr>
          <w:rFonts w:hint="eastAsia" w:ascii="宋体" w:hAnsi="宋体"/>
          <w:sz w:val="24"/>
        </w:rPr>
        <w:t>9.2 GB/T 5072 耐火材料常温耐压强度试验方法，检验不合格按进货总金额的20%对乙方进行考核。</w:t>
      </w:r>
    </w:p>
    <w:p w14:paraId="13F62F2A">
      <w:pPr>
        <w:snapToGrid w:val="0"/>
        <w:spacing w:line="360" w:lineRule="auto"/>
        <w:ind w:firstLine="480" w:firstLineChars="200"/>
        <w:rPr>
          <w:rFonts w:hint="eastAsia" w:ascii="宋体" w:hAnsi="宋体"/>
          <w:sz w:val="24"/>
        </w:rPr>
      </w:pPr>
      <w:r>
        <w:rPr>
          <w:rFonts w:hint="eastAsia" w:ascii="宋体" w:hAnsi="宋体"/>
          <w:sz w:val="24"/>
        </w:rPr>
        <w:t>9.3 GB/T 5073 耐火材料压蠕变试验方法，检验不合格按进货总金额的20%对乙方进行考核。</w:t>
      </w:r>
    </w:p>
    <w:p w14:paraId="6C57BAAE">
      <w:pPr>
        <w:snapToGrid w:val="0"/>
        <w:spacing w:line="360" w:lineRule="auto"/>
        <w:ind w:firstLine="480" w:firstLineChars="200"/>
        <w:rPr>
          <w:rFonts w:hint="eastAsia" w:ascii="宋体" w:hAnsi="宋体"/>
          <w:sz w:val="24"/>
        </w:rPr>
      </w:pPr>
      <w:r>
        <w:rPr>
          <w:rFonts w:hint="eastAsia" w:ascii="宋体" w:hAnsi="宋体"/>
          <w:sz w:val="24"/>
        </w:rPr>
        <w:t>9.4 GB/T 6900 铝硅系耐火材料化学分析方法，检验不合格按进货总金额的20%对乙方进行考核。</w:t>
      </w:r>
    </w:p>
    <w:p w14:paraId="3A1F4139">
      <w:pPr>
        <w:snapToGrid w:val="0"/>
        <w:spacing w:line="360" w:lineRule="auto"/>
        <w:ind w:firstLine="480" w:firstLineChars="200"/>
        <w:rPr>
          <w:rFonts w:hint="eastAsia" w:ascii="宋体" w:hAnsi="宋体"/>
          <w:sz w:val="24"/>
        </w:rPr>
      </w:pPr>
      <w:r>
        <w:rPr>
          <w:rFonts w:hint="eastAsia" w:ascii="宋体" w:hAnsi="宋体"/>
          <w:sz w:val="24"/>
        </w:rPr>
        <w:t>9.5 GB/T 16546 定形耐火制品包装、标志、运输和储存，检验不合格按进货总金额的10%对乙方进行考核。</w:t>
      </w:r>
    </w:p>
    <w:p w14:paraId="0D4CDE8C">
      <w:pPr>
        <w:snapToGrid w:val="0"/>
        <w:spacing w:line="360" w:lineRule="auto"/>
        <w:ind w:firstLine="480" w:firstLineChars="200"/>
        <w:rPr>
          <w:rFonts w:hint="eastAsia" w:ascii="宋体" w:hAnsi="宋体"/>
          <w:sz w:val="24"/>
        </w:rPr>
      </w:pPr>
      <w:r>
        <w:rPr>
          <w:rFonts w:hint="eastAsia" w:ascii="宋体" w:hAnsi="宋体"/>
          <w:sz w:val="24"/>
        </w:rPr>
        <w:t>9.6 YB/T 370   耐火制品荷重软化温度试验方法（非示差-升温法），检验不合格按进货总金额的20%对乙方进行考核。</w:t>
      </w:r>
    </w:p>
    <w:p w14:paraId="47DCA522">
      <w:pPr>
        <w:snapToGrid w:val="0"/>
        <w:spacing w:line="360" w:lineRule="auto"/>
        <w:ind w:firstLine="480" w:firstLineChars="200"/>
        <w:rPr>
          <w:rFonts w:hint="default" w:ascii="宋体" w:hAnsi="宋体" w:eastAsia="宋体"/>
          <w:sz w:val="24"/>
          <w:lang w:val="en-US" w:eastAsia="zh-CN"/>
        </w:rPr>
      </w:pPr>
      <w:r>
        <w:rPr>
          <w:rFonts w:hint="eastAsia" w:ascii="宋体" w:hAnsi="宋体"/>
          <w:sz w:val="24"/>
        </w:rPr>
        <w:t>9.7  YB/T 376.3 耐火制品抗热震性试验方法第三部分：水急冷-裂纹判定法检验，不合格按进货总金额的20%对乙方进行考核。</w:t>
      </w:r>
    </w:p>
    <w:p w14:paraId="10CC9F67">
      <w:pPr>
        <w:snapToGrid w:val="0"/>
        <w:spacing w:line="360" w:lineRule="auto"/>
        <w:rPr>
          <w:rFonts w:hint="eastAsia" w:ascii="宋体" w:hAnsi="宋体"/>
          <w:b/>
          <w:sz w:val="24"/>
        </w:rPr>
      </w:pPr>
      <w:r>
        <w:rPr>
          <w:rFonts w:hint="eastAsia" w:ascii="宋体" w:hAnsi="宋体"/>
          <w:b/>
          <w:sz w:val="24"/>
        </w:rPr>
        <w:t>附件十  其他</w:t>
      </w:r>
    </w:p>
    <w:p w14:paraId="338DAEF3">
      <w:pPr>
        <w:spacing w:line="360" w:lineRule="auto"/>
        <w:ind w:firstLine="480" w:firstLineChars="200"/>
        <w:rPr>
          <w:rFonts w:hint="eastAsia" w:ascii="宋体" w:hAnsi="宋体"/>
          <w:sz w:val="24"/>
        </w:rPr>
      </w:pPr>
      <w:r>
        <w:rPr>
          <w:rFonts w:hint="eastAsia" w:ascii="宋体" w:hAnsi="宋体"/>
          <w:sz w:val="24"/>
        </w:rPr>
        <w:t>10.1  本协议作为商业合同的一部分，与商务合同具有同等法律效力，经双方代表签字后与商务合同同时生效。</w:t>
      </w:r>
    </w:p>
    <w:p w14:paraId="34709568">
      <w:pPr>
        <w:spacing w:line="360" w:lineRule="auto"/>
        <w:ind w:firstLine="480" w:firstLineChars="200"/>
        <w:rPr>
          <w:rFonts w:hint="eastAsia" w:ascii="宋体" w:hAnsi="宋体"/>
          <w:sz w:val="24"/>
        </w:rPr>
      </w:pPr>
      <w:r>
        <w:rPr>
          <w:rFonts w:hint="eastAsia" w:ascii="宋体" w:hAnsi="宋体"/>
          <w:sz w:val="24"/>
        </w:rPr>
        <w:t>10.2  除国家认可检验机构出具的检验报告外，乙方应</w:t>
      </w:r>
      <w:r>
        <w:rPr>
          <w:rFonts w:hint="eastAsia" w:ascii="宋体" w:hAnsi="宋体"/>
          <w:sz w:val="24"/>
          <w:lang w:eastAsia="zh-CN"/>
        </w:rPr>
        <w:t>以</w:t>
      </w:r>
      <w:r>
        <w:rPr>
          <w:rFonts w:hint="eastAsia" w:ascii="宋体" w:hAnsi="宋体"/>
          <w:sz w:val="24"/>
        </w:rPr>
        <w:t>产品批次向甲方提供自检检验报告一份。</w:t>
      </w:r>
    </w:p>
    <w:p w14:paraId="6EBA8D58">
      <w:pPr>
        <w:spacing w:line="360" w:lineRule="auto"/>
        <w:ind w:firstLine="480"/>
        <w:rPr>
          <w:rFonts w:hint="eastAsia" w:ascii="宋体" w:hAnsi="宋体"/>
          <w:sz w:val="24"/>
        </w:rPr>
      </w:pPr>
      <w:r>
        <w:rPr>
          <w:rFonts w:hint="eastAsia" w:ascii="宋体" w:hAnsi="宋体"/>
          <w:sz w:val="24"/>
        </w:rPr>
        <w:t>10.3  本协议一式贰份，甲乙双方分别保存。</w:t>
      </w:r>
    </w:p>
    <w:p w14:paraId="51E3889F">
      <w:pPr>
        <w:spacing w:line="360" w:lineRule="auto"/>
        <w:ind w:firstLine="480" w:firstLineChars="200"/>
        <w:rPr>
          <w:rFonts w:hint="eastAsia" w:ascii="宋体" w:hAnsi="宋体" w:cs="Times New Roman"/>
          <w:sz w:val="24"/>
        </w:rPr>
      </w:pPr>
      <w:r>
        <w:rPr>
          <w:rFonts w:hint="eastAsia" w:ascii="宋体" w:hAnsi="宋体" w:cs="Times New Roman"/>
          <w:sz w:val="24"/>
        </w:rPr>
        <w:t>10.4  本协议未尽事宜，双方友好解决。若有异议，及时沟通解决。</w:t>
      </w:r>
    </w:p>
    <w:p w14:paraId="01E35F5F">
      <w:pPr>
        <w:spacing w:line="360" w:lineRule="auto"/>
        <w:ind w:firstLine="480" w:firstLineChars="200"/>
        <w:rPr>
          <w:rFonts w:hint="eastAsia" w:ascii="宋体" w:hAnsi="宋体" w:cs="Times New Roman"/>
          <w:sz w:val="24"/>
        </w:rPr>
      </w:pPr>
      <w:r>
        <w:rPr>
          <w:rFonts w:hint="eastAsia" w:ascii="宋体" w:hAnsi="宋体" w:cs="Times New Roman"/>
          <w:sz w:val="24"/>
          <w:lang w:val="en-US" w:eastAsia="zh-CN"/>
        </w:rPr>
        <w:t>10.5 本技术规格书为附生效条件的合同，以主合同的生效为前提条件</w:t>
      </w:r>
      <w:r>
        <w:rPr>
          <w:rFonts w:hint="eastAsia" w:ascii="宋体" w:hAnsi="宋体" w:cs="Times New Roman"/>
          <w:sz w:val="24"/>
        </w:rPr>
        <w:t>。</w:t>
      </w:r>
    </w:p>
    <w:p w14:paraId="0659B997">
      <w:pPr>
        <w:spacing w:line="360" w:lineRule="auto"/>
        <w:ind w:firstLine="480" w:firstLineChars="200"/>
        <w:rPr>
          <w:rFonts w:hint="eastAsia" w:ascii="宋体" w:hAnsi="宋体" w:cs="Times New Roman"/>
          <w:sz w:val="24"/>
        </w:rPr>
      </w:pPr>
      <w:r>
        <w:rPr>
          <w:rFonts w:hint="eastAsia" w:ascii="宋体" w:hAnsi="宋体" w:cs="Times New Roman"/>
          <w:sz w:val="24"/>
          <w:lang w:val="en-US" w:eastAsia="zh-CN"/>
        </w:rPr>
        <w:t>10.6本规格书内容经由甲乙双方于 年   月  日  时至  时通过          方式商定。</w:t>
      </w:r>
    </w:p>
    <w:p w14:paraId="47715714">
      <w:pPr>
        <w:spacing w:line="360" w:lineRule="auto"/>
        <w:ind w:firstLine="480" w:firstLineChars="200"/>
        <w:rPr>
          <w:rFonts w:hint="eastAsia" w:ascii="宋体" w:hAnsi="宋体" w:cs="Times New Roman"/>
          <w:sz w:val="24"/>
          <w:lang w:val="en-US" w:eastAsia="zh-CN"/>
        </w:rPr>
      </w:pPr>
      <w:r>
        <w:rPr>
          <w:rFonts w:hint="eastAsia" w:ascii="宋体" w:hAnsi="宋体" w:cs="Times New Roman"/>
          <w:sz w:val="24"/>
          <w:lang w:val="en-US" w:eastAsia="zh-CN"/>
        </w:rPr>
        <w:t>10.7甲乙双方应当就签订本规格书的相关事宜保密，不得将签订主体、时间、内容等信息透露给其他第三人。</w:t>
      </w:r>
    </w:p>
    <w:p w14:paraId="1B928A30">
      <w:pPr>
        <w:spacing w:line="360" w:lineRule="auto"/>
        <w:ind w:firstLine="480" w:firstLineChars="200"/>
        <w:rPr>
          <w:rFonts w:hint="eastAsia" w:ascii="宋体" w:hAnsi="宋体" w:cs="Times New Roman"/>
          <w:sz w:val="24"/>
        </w:rPr>
      </w:pPr>
      <w:r>
        <w:rPr>
          <w:rFonts w:hint="eastAsia" w:ascii="宋体" w:hAnsi="宋体" w:cs="Times New Roman"/>
          <w:sz w:val="24"/>
          <w:lang w:val="en-US" w:eastAsia="zh-CN"/>
        </w:rPr>
        <w:t>10.8 若          单位不中标，本技术规格书自动失效，双方互不承担任何责任。</w:t>
      </w:r>
    </w:p>
    <w:p w14:paraId="52DC22B3">
      <w:pPr>
        <w:spacing w:line="360" w:lineRule="auto"/>
        <w:ind w:firstLine="480"/>
        <w:rPr>
          <w:rFonts w:hint="eastAsia" w:ascii="宋体" w:hAnsi="宋体"/>
          <w:sz w:val="24"/>
        </w:rPr>
      </w:pPr>
    </w:p>
    <w:p w14:paraId="203A7E60">
      <w:pPr>
        <w:spacing w:line="360" w:lineRule="auto"/>
        <w:rPr>
          <w:rFonts w:hint="eastAsia" w:ascii="宋体" w:hAnsi="宋体"/>
          <w:sz w:val="24"/>
        </w:rPr>
      </w:pPr>
    </w:p>
    <w:p w14:paraId="7F8D8E89">
      <w:pPr>
        <w:spacing w:line="360" w:lineRule="auto"/>
        <w:rPr>
          <w:rFonts w:hint="eastAsia" w:ascii="宋体" w:hAnsi="宋体"/>
          <w:sz w:val="24"/>
        </w:rPr>
      </w:pPr>
    </w:p>
    <w:p w14:paraId="158953FF">
      <w:pPr>
        <w:spacing w:line="360" w:lineRule="auto"/>
        <w:rPr>
          <w:rFonts w:hint="eastAsia" w:ascii="宋体" w:hAnsi="宋体"/>
          <w:sz w:val="24"/>
        </w:rPr>
      </w:pPr>
      <w:r>
        <w:rPr>
          <w:rFonts w:hint="eastAsia" w:ascii="宋体" w:hAnsi="宋体"/>
          <w:sz w:val="24"/>
        </w:rPr>
        <w:t xml:space="preserve">甲方：甘肃酒钢集团宏兴钢铁股份有限公司检修工程部   乙方： </w:t>
      </w:r>
    </w:p>
    <w:p w14:paraId="19A0CC26">
      <w:pPr>
        <w:spacing w:line="360" w:lineRule="auto"/>
        <w:rPr>
          <w:rFonts w:hint="eastAsia" w:ascii="宋体" w:hAnsi="宋体"/>
          <w:sz w:val="24"/>
        </w:rPr>
      </w:pPr>
      <w:r>
        <w:rPr>
          <w:rFonts w:hint="eastAsia" w:ascii="宋体" w:hAnsi="宋体"/>
          <w:sz w:val="24"/>
        </w:rPr>
        <w:t xml:space="preserve">代表:                                      </w:t>
      </w:r>
      <w:r>
        <w:rPr>
          <w:rFonts w:hint="eastAsia" w:ascii="宋体" w:hAnsi="宋体"/>
          <w:sz w:val="24"/>
          <w:lang w:val="en-US" w:eastAsia="zh-CN"/>
        </w:rPr>
        <w:t xml:space="preserve">        </w:t>
      </w:r>
      <w:r>
        <w:rPr>
          <w:rFonts w:hint="eastAsia" w:ascii="宋体" w:hAnsi="宋体"/>
          <w:sz w:val="24"/>
        </w:rPr>
        <w:t>代表：</w:t>
      </w:r>
    </w:p>
    <w:p w14:paraId="60C4C0D6">
      <w:pPr>
        <w:spacing w:line="360" w:lineRule="auto"/>
        <w:rPr>
          <w:rFonts w:hint="eastAsia" w:ascii="宋体" w:hAnsi="宋体"/>
          <w:sz w:val="24"/>
        </w:rPr>
      </w:pPr>
    </w:p>
    <w:p w14:paraId="35039FD3">
      <w:pPr>
        <w:spacing w:line="360" w:lineRule="auto"/>
        <w:ind w:firstLine="960" w:firstLineChars="400"/>
        <w:rPr>
          <w:rFonts w:hint="eastAsia" w:ascii="宋体" w:hAnsi="宋体" w:eastAsia="宋体"/>
          <w:sz w:val="24"/>
          <w:lang w:eastAsia="zh-CN"/>
        </w:rPr>
      </w:pPr>
      <w:r>
        <w:rPr>
          <w:rFonts w:hint="eastAsia" w:ascii="宋体" w:hAnsi="宋体"/>
          <w:sz w:val="24"/>
        </w:rPr>
        <w:t xml:space="preserve">年   月   </w:t>
      </w:r>
      <w:r>
        <w:rPr>
          <w:rFonts w:hint="eastAsia" w:ascii="宋体" w:hAnsi="宋体"/>
          <w:sz w:val="24"/>
          <w:lang w:val="en-US" w:eastAsia="zh-CN"/>
        </w:rPr>
        <w:t xml:space="preserve"> </w:t>
      </w:r>
      <w:r>
        <w:rPr>
          <w:rFonts w:hint="eastAsia" w:ascii="宋体" w:hAnsi="宋体"/>
          <w:sz w:val="24"/>
        </w:rPr>
        <w:t>日                              年    月    日</w:t>
      </w:r>
    </w:p>
    <w:p w14:paraId="0C1C52BD">
      <w:pPr>
        <w:pStyle w:val="2"/>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kern w:val="2"/>
          <w:sz w:val="24"/>
          <w:szCs w:val="24"/>
          <w:lang w:val="en-US" w:eastAsia="zh-CN" w:bidi="ar-SA"/>
        </w:rPr>
      </w:pPr>
    </w:p>
    <w:sectPr>
      <w:headerReference r:id="rId3" w:type="first"/>
      <w:footerReference r:id="rId6" w:type="first"/>
      <w:footerReference r:id="rId4" w:type="default"/>
      <w:footerReference r:id="rId5" w:type="even"/>
      <w:pgSz w:w="11906" w:h="16838"/>
      <w:pgMar w:top="1134" w:right="1416" w:bottom="1134" w:left="1531" w:header="851" w:footer="992" w:gutter="0"/>
      <w:pgNumType w:fmt="decimal" w:start="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embedRegular r:id="rId1" w:fontKey="{0DDE7007-901A-4621-9C90-EC474FF1DB6E}"/>
  </w:font>
  <w:font w:name="fontmui">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Helvetica">
    <w:altName w:val="Arial"/>
    <w:panose1 w:val="00000000000000000000"/>
    <w:charset w:val="00"/>
    <w:family w:val="auto"/>
    <w:pitch w:val="default"/>
    <w:sig w:usb0="00000000" w:usb1="00000000" w:usb2="00000000" w:usb3="00000000" w:csb0="00000000" w:csb1="00000000"/>
    <w:embedRegular r:id="rId2" w:fontKey="{2E00B798-7D47-4B4C-B236-6145222A2BFB}"/>
  </w:font>
  <w:font w:name="华文中宋">
    <w:panose1 w:val="02010600040101010101"/>
    <w:charset w:val="86"/>
    <w:family w:val="auto"/>
    <w:pitch w:val="default"/>
    <w:sig w:usb0="00000287" w:usb1="080F0000" w:usb2="00000000" w:usb3="00000000" w:csb0="0004009F" w:csb1="DFD70000"/>
    <w:embedRegular r:id="rId3" w:fontKey="{96A3989D-FE0F-4314-86A7-EE241F55C908}"/>
  </w:font>
  <w:font w:name="WPSEMBED12">
    <w:panose1 w:val="02010600040101010101"/>
    <w:charset w:val="86"/>
    <w:family w:val="auto"/>
    <w:pitch w:val="default"/>
    <w:sig w:usb0="00000287" w:usb1="080F0000" w:usb2="00000000" w:usb3="00000000" w:csb0="0004009F" w:csb1="DFD70000"/>
  </w:font>
  <w:font w:name="WPSEMBED1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229185">
    <w:pPr>
      <w:pStyle w:val="7"/>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0CD0AE6">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lY197LAQAAnAMAAA4AAAAAAAAAAQAgAAAAHgEAAGRycy9lMm9E&#10;b2MueG1sUEsFBgAAAAAGAAYAWQEAAFsFAAAAAA==&#10;">
              <v:fill on="f" focussize="0,0"/>
              <v:stroke on="f"/>
              <v:imagedata o:title=""/>
              <o:lock v:ext="edit" aspectratio="f"/>
              <v:textbox inset="0mm,0mm,0mm,0mm" style="mso-fit-shape-to-text:t;">
                <w:txbxContent>
                  <w:p w14:paraId="60CD0AE6">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088315">
    <w:pPr>
      <w:pStyle w:val="7"/>
      <w:framePr w:wrap="around" w:vAnchor="text" w:hAnchor="margin" w:xAlign="right" w:y="1"/>
      <w:rPr>
        <w:rStyle w:val="12"/>
      </w:rPr>
    </w:pPr>
    <w:r>
      <w:rPr>
        <w:rStyle w:val="12"/>
      </w:rPr>
      <w:fldChar w:fldCharType="begin"/>
    </w:r>
    <w:r>
      <w:rPr>
        <w:rStyle w:val="12"/>
      </w:rPr>
      <w:instrText xml:space="preserve">PAGE  </w:instrText>
    </w:r>
    <w:r>
      <w:rPr>
        <w:rStyle w:val="12"/>
      </w:rPr>
      <w:fldChar w:fldCharType="separate"/>
    </w:r>
    <w:r>
      <w:rPr>
        <w:rStyle w:val="12"/>
        <w:rFonts w:hint="eastAsia"/>
      </w:rPr>
      <w:t>０</w:t>
    </w:r>
    <w:r>
      <w:rPr>
        <w:rStyle w:val="12"/>
      </w:rPr>
      <w:fldChar w:fldCharType="end"/>
    </w:r>
  </w:p>
  <w:p w14:paraId="350C21DE">
    <w:pPr>
      <w:pStyle w:val="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8D25EA">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3B941A0">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FZIC97LAQAAnAMAAA4AAAAAAAAAAQAgAAAAHgEAAGRycy9lMm9E&#10;b2MueG1sUEsFBgAAAAAGAAYAWQEAAFsFAAAAAA==&#10;">
              <v:fill on="f" focussize="0,0"/>
              <v:stroke on="f"/>
              <v:imagedata o:title=""/>
              <o:lock v:ext="edit" aspectratio="f"/>
              <v:textbox inset="0mm,0mm,0mm,0mm" style="mso-fit-shape-to-text:t;">
                <w:txbxContent>
                  <w:p w14:paraId="43B941A0">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B4FCB6">
    <w:pPr>
      <w:pStyle w:val="8"/>
      <w:pBdr>
        <w:bottom w:val="none" w:color="auto" w:sz="0" w:space="1"/>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yNGNkY2YyZDI0NzY1OTE1ZWNkZDRkYmFkMjJlNWYifQ=="/>
  </w:docVars>
  <w:rsids>
    <w:rsidRoot w:val="009E2D50"/>
    <w:rsid w:val="00010A1E"/>
    <w:rsid w:val="00045CD0"/>
    <w:rsid w:val="00060B14"/>
    <w:rsid w:val="00072770"/>
    <w:rsid w:val="000870F9"/>
    <w:rsid w:val="000979D0"/>
    <w:rsid w:val="000C024B"/>
    <w:rsid w:val="00111AE7"/>
    <w:rsid w:val="00160DED"/>
    <w:rsid w:val="00163B7C"/>
    <w:rsid w:val="00167062"/>
    <w:rsid w:val="00186605"/>
    <w:rsid w:val="001A4549"/>
    <w:rsid w:val="001B4AE3"/>
    <w:rsid w:val="001C499F"/>
    <w:rsid w:val="001D3C86"/>
    <w:rsid w:val="001F276E"/>
    <w:rsid w:val="001F5ABD"/>
    <w:rsid w:val="002143E3"/>
    <w:rsid w:val="002467D3"/>
    <w:rsid w:val="002803D2"/>
    <w:rsid w:val="00282179"/>
    <w:rsid w:val="00292DE9"/>
    <w:rsid w:val="002A47F0"/>
    <w:rsid w:val="002C57AA"/>
    <w:rsid w:val="002D4EA3"/>
    <w:rsid w:val="00365619"/>
    <w:rsid w:val="003975B3"/>
    <w:rsid w:val="003C2B12"/>
    <w:rsid w:val="003E04EC"/>
    <w:rsid w:val="00414A1D"/>
    <w:rsid w:val="00430473"/>
    <w:rsid w:val="00483D2A"/>
    <w:rsid w:val="004864FA"/>
    <w:rsid w:val="00491BBE"/>
    <w:rsid w:val="0049536E"/>
    <w:rsid w:val="004B43A3"/>
    <w:rsid w:val="005011C8"/>
    <w:rsid w:val="00502876"/>
    <w:rsid w:val="00520486"/>
    <w:rsid w:val="00546275"/>
    <w:rsid w:val="00575FA8"/>
    <w:rsid w:val="00576909"/>
    <w:rsid w:val="00583058"/>
    <w:rsid w:val="00637745"/>
    <w:rsid w:val="00643A7C"/>
    <w:rsid w:val="0065032F"/>
    <w:rsid w:val="006544E3"/>
    <w:rsid w:val="0066213D"/>
    <w:rsid w:val="00664041"/>
    <w:rsid w:val="006A40BF"/>
    <w:rsid w:val="006A49D1"/>
    <w:rsid w:val="006B16B7"/>
    <w:rsid w:val="006B255F"/>
    <w:rsid w:val="006C481C"/>
    <w:rsid w:val="006D228F"/>
    <w:rsid w:val="00711279"/>
    <w:rsid w:val="007556FB"/>
    <w:rsid w:val="00755C2E"/>
    <w:rsid w:val="0077771D"/>
    <w:rsid w:val="007C4EEB"/>
    <w:rsid w:val="007E57DA"/>
    <w:rsid w:val="00814052"/>
    <w:rsid w:val="00816376"/>
    <w:rsid w:val="00843AF3"/>
    <w:rsid w:val="00895A9A"/>
    <w:rsid w:val="008D3343"/>
    <w:rsid w:val="00930390"/>
    <w:rsid w:val="00995B3B"/>
    <w:rsid w:val="009B50D5"/>
    <w:rsid w:val="009E2D50"/>
    <w:rsid w:val="00A10CBC"/>
    <w:rsid w:val="00A50C12"/>
    <w:rsid w:val="00A62052"/>
    <w:rsid w:val="00A70C79"/>
    <w:rsid w:val="00A80FAD"/>
    <w:rsid w:val="00A95CB6"/>
    <w:rsid w:val="00AA01AB"/>
    <w:rsid w:val="00AE2DA1"/>
    <w:rsid w:val="00AE5FE7"/>
    <w:rsid w:val="00AE75BF"/>
    <w:rsid w:val="00AF685B"/>
    <w:rsid w:val="00B0599A"/>
    <w:rsid w:val="00B629B9"/>
    <w:rsid w:val="00BB171E"/>
    <w:rsid w:val="00BC3A8F"/>
    <w:rsid w:val="00BD72FE"/>
    <w:rsid w:val="00BE0C32"/>
    <w:rsid w:val="00BE60EA"/>
    <w:rsid w:val="00BF5EA6"/>
    <w:rsid w:val="00C25E7A"/>
    <w:rsid w:val="00C3006F"/>
    <w:rsid w:val="00C77CF8"/>
    <w:rsid w:val="00C8506E"/>
    <w:rsid w:val="00C85B91"/>
    <w:rsid w:val="00CA2FB0"/>
    <w:rsid w:val="00CE4ABD"/>
    <w:rsid w:val="00CE7AA7"/>
    <w:rsid w:val="00CF7A42"/>
    <w:rsid w:val="00D22D61"/>
    <w:rsid w:val="00D26083"/>
    <w:rsid w:val="00D553D2"/>
    <w:rsid w:val="00D577D6"/>
    <w:rsid w:val="00D85ACF"/>
    <w:rsid w:val="00D86767"/>
    <w:rsid w:val="00DF4DB1"/>
    <w:rsid w:val="00DF7FF9"/>
    <w:rsid w:val="00E016E9"/>
    <w:rsid w:val="00E10EED"/>
    <w:rsid w:val="00E4511D"/>
    <w:rsid w:val="00ED2E85"/>
    <w:rsid w:val="00EE2DE6"/>
    <w:rsid w:val="00FC37EA"/>
    <w:rsid w:val="02371E5D"/>
    <w:rsid w:val="028642E4"/>
    <w:rsid w:val="054A6B02"/>
    <w:rsid w:val="05784AC0"/>
    <w:rsid w:val="069B184D"/>
    <w:rsid w:val="06F03211"/>
    <w:rsid w:val="086C5D2B"/>
    <w:rsid w:val="088F43C8"/>
    <w:rsid w:val="09F71582"/>
    <w:rsid w:val="0AA028C4"/>
    <w:rsid w:val="0BEC41CE"/>
    <w:rsid w:val="0C9261F4"/>
    <w:rsid w:val="0CF73000"/>
    <w:rsid w:val="0FD74AB9"/>
    <w:rsid w:val="0FE24CD2"/>
    <w:rsid w:val="1013057D"/>
    <w:rsid w:val="10EB6986"/>
    <w:rsid w:val="111D24AC"/>
    <w:rsid w:val="1187413B"/>
    <w:rsid w:val="11A15785"/>
    <w:rsid w:val="120407D6"/>
    <w:rsid w:val="12353FB8"/>
    <w:rsid w:val="12B332E8"/>
    <w:rsid w:val="12BF2272"/>
    <w:rsid w:val="133D3E1D"/>
    <w:rsid w:val="138F3C4D"/>
    <w:rsid w:val="13F64750"/>
    <w:rsid w:val="14415D2F"/>
    <w:rsid w:val="15727576"/>
    <w:rsid w:val="15FB33C4"/>
    <w:rsid w:val="16D927DD"/>
    <w:rsid w:val="175B1444"/>
    <w:rsid w:val="18EC0675"/>
    <w:rsid w:val="1A312930"/>
    <w:rsid w:val="1C034035"/>
    <w:rsid w:val="1D1D4338"/>
    <w:rsid w:val="1D51325D"/>
    <w:rsid w:val="1DD735EB"/>
    <w:rsid w:val="1DE821F7"/>
    <w:rsid w:val="1E76369C"/>
    <w:rsid w:val="1F6A154C"/>
    <w:rsid w:val="2093363B"/>
    <w:rsid w:val="211B36E1"/>
    <w:rsid w:val="22CB5324"/>
    <w:rsid w:val="24882AEF"/>
    <w:rsid w:val="24AF72D6"/>
    <w:rsid w:val="2591423F"/>
    <w:rsid w:val="25E42F4C"/>
    <w:rsid w:val="26484D3C"/>
    <w:rsid w:val="28A26638"/>
    <w:rsid w:val="29496265"/>
    <w:rsid w:val="294B5680"/>
    <w:rsid w:val="29602A12"/>
    <w:rsid w:val="2994017D"/>
    <w:rsid w:val="2AC4599C"/>
    <w:rsid w:val="2B0B7AD3"/>
    <w:rsid w:val="2B694D93"/>
    <w:rsid w:val="2B745ED5"/>
    <w:rsid w:val="2BBB64FD"/>
    <w:rsid w:val="2BE94E19"/>
    <w:rsid w:val="2C810199"/>
    <w:rsid w:val="2CCE366E"/>
    <w:rsid w:val="2DB25627"/>
    <w:rsid w:val="2DCD6F57"/>
    <w:rsid w:val="2E315C3F"/>
    <w:rsid w:val="2F1E302B"/>
    <w:rsid w:val="2F340E9D"/>
    <w:rsid w:val="2F560F3B"/>
    <w:rsid w:val="2FA379D4"/>
    <w:rsid w:val="2FAB0637"/>
    <w:rsid w:val="30E125DC"/>
    <w:rsid w:val="31456670"/>
    <w:rsid w:val="31C2516E"/>
    <w:rsid w:val="31D113A3"/>
    <w:rsid w:val="32390AD6"/>
    <w:rsid w:val="340F1EDD"/>
    <w:rsid w:val="34720FBA"/>
    <w:rsid w:val="3473094A"/>
    <w:rsid w:val="352D4E09"/>
    <w:rsid w:val="36196FC0"/>
    <w:rsid w:val="364D56CE"/>
    <w:rsid w:val="372F3EC7"/>
    <w:rsid w:val="3757357E"/>
    <w:rsid w:val="384F0C2C"/>
    <w:rsid w:val="396A73A8"/>
    <w:rsid w:val="39AF3668"/>
    <w:rsid w:val="3A381C32"/>
    <w:rsid w:val="3CC86201"/>
    <w:rsid w:val="3D686160"/>
    <w:rsid w:val="3DAB57D8"/>
    <w:rsid w:val="3DCC57DC"/>
    <w:rsid w:val="3DF35DB6"/>
    <w:rsid w:val="3DF71617"/>
    <w:rsid w:val="3EA86067"/>
    <w:rsid w:val="3ED5266C"/>
    <w:rsid w:val="3F3E2931"/>
    <w:rsid w:val="4036521B"/>
    <w:rsid w:val="409B28BF"/>
    <w:rsid w:val="419202C7"/>
    <w:rsid w:val="41B6057F"/>
    <w:rsid w:val="426E22F3"/>
    <w:rsid w:val="42AB52F4"/>
    <w:rsid w:val="42E773F6"/>
    <w:rsid w:val="44085CFF"/>
    <w:rsid w:val="44127F83"/>
    <w:rsid w:val="44BC20D7"/>
    <w:rsid w:val="45A548DB"/>
    <w:rsid w:val="45AA29B7"/>
    <w:rsid w:val="45BB074E"/>
    <w:rsid w:val="46FC6425"/>
    <w:rsid w:val="474849B9"/>
    <w:rsid w:val="478E535A"/>
    <w:rsid w:val="47EC34A9"/>
    <w:rsid w:val="49437344"/>
    <w:rsid w:val="4970227E"/>
    <w:rsid w:val="49F05AF1"/>
    <w:rsid w:val="4AC126EB"/>
    <w:rsid w:val="4B3147EB"/>
    <w:rsid w:val="4B7168D8"/>
    <w:rsid w:val="4C602A7D"/>
    <w:rsid w:val="4CDA730F"/>
    <w:rsid w:val="4DB60C00"/>
    <w:rsid w:val="4F1F482A"/>
    <w:rsid w:val="4F44150A"/>
    <w:rsid w:val="4F6A28E6"/>
    <w:rsid w:val="4F7E4768"/>
    <w:rsid w:val="50924ADE"/>
    <w:rsid w:val="50A225A7"/>
    <w:rsid w:val="51F930E0"/>
    <w:rsid w:val="524C3A26"/>
    <w:rsid w:val="534A3B3F"/>
    <w:rsid w:val="54B55930"/>
    <w:rsid w:val="56C01378"/>
    <w:rsid w:val="56DE143A"/>
    <w:rsid w:val="57212874"/>
    <w:rsid w:val="58E40592"/>
    <w:rsid w:val="5BCB2A5F"/>
    <w:rsid w:val="5CD55049"/>
    <w:rsid w:val="5D277B49"/>
    <w:rsid w:val="5DF85EEB"/>
    <w:rsid w:val="5E7E78FC"/>
    <w:rsid w:val="5EBF57AD"/>
    <w:rsid w:val="60327E41"/>
    <w:rsid w:val="60C53352"/>
    <w:rsid w:val="61AE4C78"/>
    <w:rsid w:val="61CA03AF"/>
    <w:rsid w:val="633C04BB"/>
    <w:rsid w:val="63AD43A2"/>
    <w:rsid w:val="643F5B88"/>
    <w:rsid w:val="64673A56"/>
    <w:rsid w:val="6522417C"/>
    <w:rsid w:val="656F2390"/>
    <w:rsid w:val="665D3C0D"/>
    <w:rsid w:val="667440E4"/>
    <w:rsid w:val="67BD0CA1"/>
    <w:rsid w:val="67EF2384"/>
    <w:rsid w:val="687463C3"/>
    <w:rsid w:val="6A320F18"/>
    <w:rsid w:val="6BD07171"/>
    <w:rsid w:val="6BE96194"/>
    <w:rsid w:val="6C517895"/>
    <w:rsid w:val="6CA43E69"/>
    <w:rsid w:val="6D202397"/>
    <w:rsid w:val="6DB53BAF"/>
    <w:rsid w:val="6E6D7B96"/>
    <w:rsid w:val="6E9566B2"/>
    <w:rsid w:val="6EBF744F"/>
    <w:rsid w:val="6FF20151"/>
    <w:rsid w:val="7023735E"/>
    <w:rsid w:val="70E4369F"/>
    <w:rsid w:val="71033854"/>
    <w:rsid w:val="716271EF"/>
    <w:rsid w:val="72A32944"/>
    <w:rsid w:val="7441385C"/>
    <w:rsid w:val="744B7C54"/>
    <w:rsid w:val="754937FF"/>
    <w:rsid w:val="778A0071"/>
    <w:rsid w:val="77BD43F5"/>
    <w:rsid w:val="77E617D9"/>
    <w:rsid w:val="79545CCC"/>
    <w:rsid w:val="798847C2"/>
    <w:rsid w:val="79A34221"/>
    <w:rsid w:val="79E41D48"/>
    <w:rsid w:val="79FA7AE0"/>
    <w:rsid w:val="7A236BE5"/>
    <w:rsid w:val="7A9970F5"/>
    <w:rsid w:val="7B645CD4"/>
    <w:rsid w:val="7B687EED"/>
    <w:rsid w:val="7BB122C4"/>
    <w:rsid w:val="7D7E1E12"/>
    <w:rsid w:val="7E154531"/>
    <w:rsid w:val="7E364807"/>
    <w:rsid w:val="7E96225D"/>
    <w:rsid w:val="7F364D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qFormat="1" w:uiPriority="0" w:semiHidden="0" w:name="Normal Indent"/>
    <w:lsdException w:unhideWhenUsed="0" w:uiPriority="0" w:semiHidden="0" w:name="footnote text"/>
    <w:lsdException w:unhideWhenUsed="0" w:uiPriority="0" w:semiHidden="0" w:name="annotation text"/>
    <w:lsdException w:qFormat="1" w:unhideWhenUsed="0" w:uiPriority="99" w:name="header"/>
    <w:lsdException w:qFormat="1" w:unhideWhenUsed="0" w:uiPriority="99" w:semiHidden="0" w:name="footer"/>
    <w:lsdException w:unhideWhenUsed="0" w:uiPriority="0" w:semiHidden="0" w:name="index heading"/>
    <w:lsdException w:qFormat="1" w:unhideWhenUsed="0" w:uiPriority="99" w:semiHidden="0" w:name="caption" w:locked="1"/>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ocked="1"/>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ocked="1"/>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ocked="1"/>
    <w:lsdException w:qFormat="1" w:unhideWhenUsed="0" w:uiPriority="20" w:semiHidden="0" w:name="Emphasis" w:locked="1"/>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7"/>
    <w:qFormat/>
    <w:uiPriority w:val="0"/>
    <w:pPr>
      <w:spacing w:after="120"/>
    </w:pPr>
  </w:style>
  <w:style w:type="paragraph" w:styleId="3">
    <w:name w:val="Normal Indent"/>
    <w:basedOn w:val="1"/>
    <w:unhideWhenUsed/>
    <w:qFormat/>
    <w:uiPriority w:val="0"/>
    <w:pPr>
      <w:snapToGrid w:val="0"/>
      <w:spacing w:beforeLines="0" w:afterLines="0" w:line="300" w:lineRule="auto"/>
      <w:ind w:firstLine="556"/>
    </w:pPr>
    <w:rPr>
      <w:rFonts w:hint="eastAsia" w:ascii="仿宋_GB2312" w:eastAsia="仿宋_GB2312"/>
      <w:kern w:val="0"/>
      <w:sz w:val="21"/>
    </w:rPr>
  </w:style>
  <w:style w:type="paragraph" w:styleId="4">
    <w:name w:val="caption"/>
    <w:basedOn w:val="1"/>
    <w:next w:val="1"/>
    <w:qFormat/>
    <w:locked/>
    <w:uiPriority w:val="99"/>
    <w:rPr>
      <w:rFonts w:ascii="Arial" w:hAnsi="Arial" w:eastAsia="黑体"/>
      <w:sz w:val="20"/>
      <w:szCs w:val="20"/>
    </w:rPr>
  </w:style>
  <w:style w:type="paragraph" w:styleId="5">
    <w:name w:val="Date"/>
    <w:basedOn w:val="1"/>
    <w:next w:val="1"/>
    <w:qFormat/>
    <w:uiPriority w:val="0"/>
    <w:pPr>
      <w:ind w:left="100" w:leftChars="2500"/>
    </w:pPr>
  </w:style>
  <w:style w:type="paragraph" w:styleId="6">
    <w:name w:val="Balloon Text"/>
    <w:basedOn w:val="1"/>
    <w:semiHidden/>
    <w:qFormat/>
    <w:uiPriority w:val="0"/>
    <w:rPr>
      <w:sz w:val="18"/>
      <w:szCs w:val="18"/>
    </w:rPr>
  </w:style>
  <w:style w:type="paragraph" w:styleId="7">
    <w:name w:val="footer"/>
    <w:basedOn w:val="1"/>
    <w:link w:val="15"/>
    <w:qFormat/>
    <w:uiPriority w:val="99"/>
    <w:pPr>
      <w:tabs>
        <w:tab w:val="center" w:pos="4153"/>
        <w:tab w:val="right" w:pos="8306"/>
      </w:tabs>
      <w:snapToGrid w:val="0"/>
      <w:jc w:val="left"/>
    </w:pPr>
    <w:rPr>
      <w:kern w:val="0"/>
      <w:sz w:val="18"/>
      <w:szCs w:val="20"/>
    </w:rPr>
  </w:style>
  <w:style w:type="paragraph" w:styleId="8">
    <w:name w:val="header"/>
    <w:basedOn w:val="1"/>
    <w:link w:val="16"/>
    <w:semiHidden/>
    <w:qFormat/>
    <w:uiPriority w:val="99"/>
    <w:pPr>
      <w:pBdr>
        <w:bottom w:val="single" w:color="auto" w:sz="6" w:space="1"/>
      </w:pBdr>
      <w:tabs>
        <w:tab w:val="center" w:pos="4153"/>
        <w:tab w:val="right" w:pos="8306"/>
      </w:tabs>
      <w:snapToGrid w:val="0"/>
      <w:jc w:val="center"/>
    </w:pPr>
    <w:rPr>
      <w:kern w:val="0"/>
      <w:sz w:val="18"/>
      <w:szCs w:val="20"/>
    </w:rPr>
  </w:style>
  <w:style w:type="paragraph" w:styleId="9">
    <w:name w:val="Body Text First Indent"/>
    <w:basedOn w:val="2"/>
    <w:qFormat/>
    <w:uiPriority w:val="0"/>
    <w:pPr>
      <w:ind w:firstLine="420" w:firstLineChars="100"/>
    </w:pPr>
  </w:style>
  <w:style w:type="character" w:styleId="12">
    <w:name w:val="page number"/>
    <w:basedOn w:val="11"/>
    <w:qFormat/>
    <w:uiPriority w:val="99"/>
  </w:style>
  <w:style w:type="character" w:styleId="13">
    <w:name w:val="FollowedHyperlink"/>
    <w:basedOn w:val="11"/>
    <w:qFormat/>
    <w:uiPriority w:val="0"/>
    <w:rPr>
      <w:rFonts w:ascii="Arial" w:hAnsi="Arial" w:eastAsia="Arial" w:cs="Arial"/>
      <w:color w:val="333333"/>
      <w:sz w:val="21"/>
      <w:szCs w:val="21"/>
      <w:u w:val="none"/>
    </w:rPr>
  </w:style>
  <w:style w:type="character" w:styleId="14">
    <w:name w:val="Hyperlink"/>
    <w:basedOn w:val="11"/>
    <w:qFormat/>
    <w:uiPriority w:val="0"/>
    <w:rPr>
      <w:rFonts w:hint="default" w:ascii="fontmui" w:hAnsi="fontmui" w:eastAsia="fontmui" w:cs="fontmui"/>
      <w:color w:val="333333"/>
      <w:sz w:val="21"/>
      <w:szCs w:val="21"/>
      <w:u w:val="none"/>
    </w:rPr>
  </w:style>
  <w:style w:type="character" w:customStyle="1" w:styleId="15">
    <w:name w:val="页脚 字符"/>
    <w:link w:val="7"/>
    <w:semiHidden/>
    <w:qFormat/>
    <w:locked/>
    <w:uiPriority w:val="99"/>
    <w:rPr>
      <w:sz w:val="18"/>
    </w:rPr>
  </w:style>
  <w:style w:type="character" w:customStyle="1" w:styleId="16">
    <w:name w:val="页眉 字符"/>
    <w:link w:val="8"/>
    <w:semiHidden/>
    <w:qFormat/>
    <w:locked/>
    <w:uiPriority w:val="99"/>
    <w:rPr>
      <w:sz w:val="18"/>
    </w:rPr>
  </w:style>
  <w:style w:type="character" w:customStyle="1" w:styleId="17">
    <w:name w:val="正文文本 字符"/>
    <w:basedOn w:val="11"/>
    <w:link w:val="2"/>
    <w:qFormat/>
    <w:uiPriority w:val="0"/>
    <w:rPr>
      <w:kern w:val="2"/>
      <w:sz w:val="21"/>
      <w:szCs w:val="24"/>
    </w:rPr>
  </w:style>
  <w:style w:type="character" w:customStyle="1" w:styleId="18">
    <w:name w:val="before"/>
    <w:basedOn w:val="11"/>
    <w:qFormat/>
    <w:uiPriority w:val="0"/>
    <w:rPr>
      <w:bdr w:val="single" w:color="auto" w:sz="48" w:space="0"/>
    </w:rPr>
  </w:style>
  <w:style w:type="character" w:customStyle="1" w:styleId="19">
    <w:name w:val="before1"/>
    <w:basedOn w:val="11"/>
    <w:qFormat/>
    <w:uiPriority w:val="0"/>
  </w:style>
  <w:style w:type="character" w:customStyle="1" w:styleId="20">
    <w:name w:val="credit"/>
    <w:basedOn w:val="11"/>
    <w:qFormat/>
    <w:uiPriority w:val="0"/>
    <w:rPr>
      <w:sz w:val="18"/>
      <w:szCs w:val="18"/>
    </w:rPr>
  </w:style>
  <w:style w:type="character" w:customStyle="1" w:styleId="21">
    <w:name w:val="hover40"/>
    <w:basedOn w:val="11"/>
    <w:qFormat/>
    <w:uiPriority w:val="0"/>
    <w:rPr>
      <w:color w:val="DF4127"/>
    </w:rPr>
  </w:style>
  <w:style w:type="character" w:customStyle="1" w:styleId="22">
    <w:name w:val="hover41"/>
    <w:basedOn w:val="11"/>
    <w:qFormat/>
    <w:uiPriority w:val="0"/>
    <w:rPr>
      <w:shd w:val="clear" w:fill="CC2C11"/>
    </w:rPr>
  </w:style>
  <w:style w:type="character" w:customStyle="1" w:styleId="23">
    <w:name w:val="hover42"/>
    <w:basedOn w:val="11"/>
    <w:qFormat/>
    <w:uiPriority w:val="0"/>
    <w:rPr>
      <w:color w:val="DF4127"/>
      <w:u w:val="none"/>
    </w:rPr>
  </w:style>
  <w:style w:type="character" w:customStyle="1" w:styleId="24">
    <w:name w:val="hover43"/>
    <w:basedOn w:val="11"/>
    <w:qFormat/>
    <w:uiPriority w:val="0"/>
    <w:rPr>
      <w:color w:val="1A85D7"/>
    </w:rPr>
  </w:style>
  <w:style w:type="character" w:customStyle="1" w:styleId="25">
    <w:name w:val="hover44"/>
    <w:basedOn w:val="11"/>
    <w:qFormat/>
    <w:uiPriority w:val="0"/>
    <w:rPr>
      <w:color w:val="DF4127"/>
    </w:rPr>
  </w:style>
  <w:style w:type="character" w:customStyle="1" w:styleId="26">
    <w:name w:val="hover45"/>
    <w:basedOn w:val="11"/>
    <w:qFormat/>
    <w:uiPriority w:val="0"/>
  </w:style>
  <w:style w:type="character" w:customStyle="1" w:styleId="27">
    <w:name w:val="after"/>
    <w:basedOn w:val="11"/>
    <w:qFormat/>
    <w:uiPriority w:val="0"/>
    <w:rPr>
      <w:bdr w:val="dashed" w:color="auto" w:sz="48" w:space="0"/>
    </w:rPr>
  </w:style>
  <w:style w:type="character" w:customStyle="1" w:styleId="28">
    <w:name w:val="after1"/>
    <w:basedOn w:val="11"/>
    <w:qFormat/>
    <w:uiPriority w:val="0"/>
    <w:rPr>
      <w:shd w:val="clear" w:fill="DF4127"/>
    </w:rPr>
  </w:style>
  <w:style w:type="character" w:customStyle="1" w:styleId="29">
    <w:name w:val="first-child"/>
    <w:basedOn w:val="11"/>
    <w:qFormat/>
    <w:uiPriority w:val="0"/>
    <w:rPr>
      <w:shd w:val="clear" w:fill="DF4127"/>
    </w:rPr>
  </w:style>
  <w:style w:type="character" w:customStyle="1" w:styleId="30">
    <w:name w:val="first-child1"/>
    <w:basedOn w:val="11"/>
    <w:qFormat/>
    <w:uiPriority w:val="0"/>
  </w:style>
  <w:style w:type="character" w:customStyle="1" w:styleId="31">
    <w:name w:val="active2"/>
    <w:basedOn w:val="11"/>
    <w:autoRedefine/>
    <w:qFormat/>
    <w:uiPriority w:val="0"/>
    <w:rPr>
      <w:color w:val="DF4127"/>
    </w:rPr>
  </w:style>
  <w:style w:type="character" w:customStyle="1" w:styleId="32">
    <w:name w:val="before2"/>
    <w:basedOn w:val="11"/>
    <w:autoRedefine/>
    <w:qFormat/>
    <w:uiPriority w:val="0"/>
  </w:style>
  <w:style w:type="character" w:customStyle="1" w:styleId="33">
    <w:name w:val="hover"/>
    <w:basedOn w:val="11"/>
    <w:autoRedefine/>
    <w:qFormat/>
    <w:uiPriority w:val="0"/>
    <w:rPr>
      <w:color w:val="DF4127"/>
      <w:u w:val="none"/>
    </w:rPr>
  </w:style>
  <w:style w:type="character" w:customStyle="1" w:styleId="34">
    <w:name w:val="hover1"/>
    <w:basedOn w:val="11"/>
    <w:autoRedefine/>
    <w:qFormat/>
    <w:uiPriority w:val="0"/>
    <w:rPr>
      <w:shd w:val="clear" w:fill="CC2C11"/>
    </w:rPr>
  </w:style>
  <w:style w:type="character" w:customStyle="1" w:styleId="35">
    <w:name w:val="hover2"/>
    <w:basedOn w:val="11"/>
    <w:autoRedefine/>
    <w:qFormat/>
    <w:uiPriority w:val="0"/>
    <w:rPr>
      <w:color w:val="DF4127"/>
    </w:rPr>
  </w:style>
  <w:style w:type="character" w:customStyle="1" w:styleId="36">
    <w:name w:val="hover3"/>
    <w:basedOn w:val="11"/>
    <w:autoRedefine/>
    <w:qFormat/>
    <w:uiPriority w:val="0"/>
    <w:rPr>
      <w:color w:val="DF4127"/>
    </w:rPr>
  </w:style>
  <w:style w:type="character" w:customStyle="1" w:styleId="37">
    <w:name w:val="hover4"/>
    <w:basedOn w:val="11"/>
    <w:autoRedefine/>
    <w:qFormat/>
    <w:uiPriority w:val="0"/>
    <w:rPr>
      <w:color w:val="1A85D7"/>
    </w:rPr>
  </w:style>
  <w:style w:type="character" w:customStyle="1" w:styleId="38">
    <w:name w:val="hover5"/>
    <w:basedOn w:val="11"/>
    <w:qFormat/>
    <w:uiPriority w:val="0"/>
  </w:style>
  <w:style w:type="character" w:customStyle="1" w:styleId="39">
    <w:name w:val="hover46"/>
    <w:basedOn w:val="11"/>
    <w:qFormat/>
    <w:uiPriority w:val="0"/>
  </w:style>
  <w:style w:type="character" w:customStyle="1" w:styleId="40">
    <w:name w:val="font11"/>
    <w:basedOn w:val="11"/>
    <w:qFormat/>
    <w:uiPriority w:val="0"/>
    <w:rPr>
      <w:rFonts w:hint="eastAsia" w:ascii="宋体" w:hAnsi="宋体" w:eastAsia="宋体" w:cs="宋体"/>
      <w:color w:val="000000"/>
      <w:sz w:val="24"/>
      <w:szCs w:val="24"/>
      <w:u w:val="none"/>
      <w:vertAlign w:val="subscript"/>
    </w:rPr>
  </w:style>
  <w:style w:type="character" w:customStyle="1" w:styleId="41">
    <w:name w:val="font21"/>
    <w:basedOn w:val="11"/>
    <w:qFormat/>
    <w:uiPriority w:val="0"/>
    <w:rPr>
      <w:rFonts w:hint="eastAsia" w:ascii="宋体" w:hAnsi="宋体" w:eastAsia="宋体" w:cs="宋体"/>
      <w:color w:val="000000"/>
      <w:sz w:val="24"/>
      <w:szCs w:val="24"/>
      <w:u w:val="none"/>
    </w:rPr>
  </w:style>
  <w:style w:type="character" w:customStyle="1" w:styleId="42">
    <w:name w:val="font01"/>
    <w:basedOn w:val="11"/>
    <w:qFormat/>
    <w:uiPriority w:val="0"/>
    <w:rPr>
      <w:rFonts w:hint="eastAsia" w:ascii="宋体" w:hAnsi="宋体" w:eastAsia="宋体" w:cs="宋体"/>
      <w:color w:val="000000"/>
      <w:sz w:val="24"/>
      <w:szCs w:val="24"/>
      <w:u w:val="none"/>
      <w:vertAlign w:val="superscript"/>
    </w:rPr>
  </w:style>
  <w:style w:type="character" w:customStyle="1" w:styleId="43">
    <w:name w:val="font31"/>
    <w:basedOn w:val="11"/>
    <w:qFormat/>
    <w:uiPriority w:val="0"/>
    <w:rPr>
      <w:rFonts w:ascii="宋体" w:hAnsi="宋体" w:eastAsia="宋体" w:cs="宋体"/>
      <w:color w:val="000000"/>
      <w:sz w:val="26"/>
      <w:szCs w:val="26"/>
      <w:u w:val="none"/>
    </w:rPr>
  </w:style>
  <w:style w:type="character" w:customStyle="1" w:styleId="44">
    <w:name w:val="font41"/>
    <w:basedOn w:val="11"/>
    <w:qFormat/>
    <w:uiPriority w:val="0"/>
    <w:rPr>
      <w:rFonts w:hint="eastAsia" w:ascii="宋体" w:hAnsi="宋体" w:eastAsia="宋体" w:cs="宋体"/>
      <w:color w:val="333333"/>
      <w:sz w:val="18"/>
      <w:szCs w:val="18"/>
      <w:u w:val="none"/>
    </w:rPr>
  </w:style>
  <w:style w:type="character" w:customStyle="1" w:styleId="45">
    <w:name w:val="font51"/>
    <w:basedOn w:val="11"/>
    <w:qFormat/>
    <w:uiPriority w:val="0"/>
    <w:rPr>
      <w:rFonts w:ascii="Helvetica" w:hAnsi="Helvetica" w:eastAsia="Helvetica" w:cs="Helvetica"/>
      <w:color w:val="333333"/>
      <w:sz w:val="18"/>
      <w:szCs w:val="18"/>
      <w:u w:val="none"/>
    </w:rPr>
  </w:style>
  <w:style w:type="character" w:customStyle="1" w:styleId="46">
    <w:name w:val="font61"/>
    <w:basedOn w:val="11"/>
    <w:qFormat/>
    <w:uiPriority w:val="0"/>
    <w:rPr>
      <w:rFonts w:ascii="Helvetica" w:hAnsi="Helvetica" w:eastAsia="Helvetica" w:cs="Helvetica"/>
      <w:color w:val="333333"/>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2163</Words>
  <Characters>2429</Characters>
  <Lines>17</Lines>
  <Paragraphs>4</Paragraphs>
  <TotalTime>44</TotalTime>
  <ScaleCrop>false</ScaleCrop>
  <LinksUpToDate>false</LinksUpToDate>
  <CharactersWithSpaces>2716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2018-01-26T02:59:00Z</dcterms:created>
  <dc:creator>微软用户</dc:creator>
  <cp:lastModifiedBy>黄文君</cp:lastModifiedBy>
  <cp:lastPrinted>2019-05-24T12:14:00Z</cp:lastPrinted>
  <dcterms:modified xsi:type="dcterms:W3CDTF">2026-03-30T11:32:40Z</dcterms:modified>
  <dc:title>协  议  会  签  单</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FB00228521E94556B11F7C93ADB73F13_13</vt:lpwstr>
  </property>
  <property fmtid="{D5CDD505-2E9C-101B-9397-08002B2CF9AE}" pid="4" name="KSOTemplateDocerSaveRecord">
    <vt:lpwstr>eyJoZGlkIjoiNzljNDNiYjZiYWMxMTNhMjI3NTAxMmE2MmM4ODllNjUiLCJ1c2VySWQiOiIxNDg5OTA1ODM5In0=</vt:lpwstr>
  </property>
</Properties>
</file>