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left="1"/>
        <w:rPr>
          <w:rFonts w:ascii="宋体" w:hAnsi="宋体" w:cs="Arial"/>
          <w:sz w:val="24"/>
        </w:rPr>
      </w:pPr>
      <w:bookmarkStart w:id="0" w:name="_GoBack"/>
      <w:bookmarkEnd w:id="0"/>
    </w:p>
    <w:p>
      <w:pPr>
        <w:spacing w:line="440" w:lineRule="exact"/>
        <w:ind w:left="1"/>
        <w:rPr>
          <w:rFonts w:ascii="宋体" w:hAnsi="宋体" w:cs="Arial"/>
          <w:sz w:val="24"/>
        </w:rPr>
      </w:pPr>
    </w:p>
    <w:p>
      <w:pPr>
        <w:spacing w:line="440" w:lineRule="exact"/>
        <w:ind w:left="1"/>
        <w:rPr>
          <w:rFonts w:ascii="宋体" w:hAnsi="宋体" w:cs="Arial"/>
          <w:sz w:val="24"/>
        </w:rPr>
      </w:pPr>
    </w:p>
    <w:p>
      <w:pPr>
        <w:spacing w:line="440" w:lineRule="exact"/>
        <w:ind w:left="1"/>
        <w:rPr>
          <w:rFonts w:ascii="宋体" w:hAnsi="宋体" w:cs="Arial"/>
          <w:sz w:val="24"/>
        </w:rPr>
      </w:pPr>
    </w:p>
    <w:p>
      <w:pPr>
        <w:spacing w:line="440" w:lineRule="exact"/>
        <w:ind w:left="1"/>
        <w:rPr>
          <w:rFonts w:ascii="宋体" w:hAnsi="宋体" w:cs="Arial"/>
          <w:sz w:val="24"/>
        </w:rPr>
      </w:pPr>
    </w:p>
    <w:p>
      <w:pPr>
        <w:jc w:val="center"/>
        <w:rPr>
          <w:rFonts w:hint="default" w:ascii="黑体" w:hAnsi="黑体" w:eastAsia="黑体" w:cs="黑体"/>
          <w:b/>
          <w:bCs/>
          <w:sz w:val="52"/>
          <w:szCs w:val="52"/>
          <w:lang w:val="en-US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东兴铝业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净化</w:t>
      </w: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一作业区工具车主动轮轮组（10B119）</w:t>
      </w:r>
    </w:p>
    <w:p>
      <w:pPr>
        <w:spacing w:line="440" w:lineRule="exact"/>
        <w:ind w:left="1"/>
        <w:rPr>
          <w:rFonts w:ascii="宋体" w:hAnsi="宋体" w:cs="Arial"/>
          <w:sz w:val="24"/>
        </w:rPr>
      </w:pPr>
    </w:p>
    <w:p>
      <w:pPr>
        <w:spacing w:line="440" w:lineRule="exact"/>
        <w:ind w:left="1"/>
        <w:rPr>
          <w:rFonts w:ascii="宋体" w:hAnsi="宋体" w:cs="Arial"/>
          <w:sz w:val="24"/>
        </w:rPr>
      </w:pPr>
    </w:p>
    <w:p>
      <w:pPr>
        <w:spacing w:line="720" w:lineRule="auto"/>
        <w:jc w:val="center"/>
        <w:rPr>
          <w:rFonts w:ascii="黑体" w:hAnsi="黑体" w:eastAsia="黑体" w:cs="Arial"/>
          <w:sz w:val="52"/>
          <w:szCs w:val="52"/>
        </w:rPr>
      </w:pPr>
      <w:r>
        <w:rPr>
          <w:rFonts w:hint="eastAsia" w:ascii="黑体" w:hAnsi="黑体" w:eastAsia="黑体" w:cs="Arial"/>
          <w:sz w:val="52"/>
          <w:szCs w:val="52"/>
        </w:rPr>
        <w:t>技</w:t>
      </w:r>
    </w:p>
    <w:p>
      <w:pPr>
        <w:spacing w:line="720" w:lineRule="auto"/>
        <w:jc w:val="center"/>
        <w:rPr>
          <w:rFonts w:hint="eastAsia" w:ascii="黑体" w:hAnsi="黑体" w:eastAsia="黑体" w:cs="Arial"/>
          <w:sz w:val="52"/>
          <w:szCs w:val="52"/>
        </w:rPr>
      </w:pPr>
      <w:r>
        <w:rPr>
          <w:rFonts w:hint="eastAsia" w:ascii="黑体" w:hAnsi="黑体" w:eastAsia="黑体" w:cs="Arial"/>
          <w:sz w:val="52"/>
          <w:szCs w:val="52"/>
        </w:rPr>
        <w:t>术</w:t>
      </w:r>
    </w:p>
    <w:p>
      <w:pPr>
        <w:spacing w:line="720" w:lineRule="auto"/>
        <w:jc w:val="center"/>
        <w:rPr>
          <w:rFonts w:hint="eastAsia" w:ascii="黑体" w:hAnsi="黑体" w:eastAsia="黑体" w:cs="Arial"/>
          <w:sz w:val="52"/>
          <w:szCs w:val="52"/>
          <w:lang w:val="en-US" w:eastAsia="zh-CN"/>
        </w:rPr>
      </w:pPr>
      <w:r>
        <w:rPr>
          <w:rFonts w:hint="eastAsia" w:ascii="黑体" w:hAnsi="黑体" w:eastAsia="黑体" w:cs="Arial"/>
          <w:sz w:val="52"/>
          <w:szCs w:val="52"/>
          <w:lang w:val="en-US" w:eastAsia="zh-CN"/>
        </w:rPr>
        <w:t>规</w:t>
      </w:r>
    </w:p>
    <w:p>
      <w:pPr>
        <w:spacing w:line="720" w:lineRule="auto"/>
        <w:jc w:val="center"/>
        <w:rPr>
          <w:rFonts w:hint="eastAsia" w:ascii="黑体" w:hAnsi="黑体" w:eastAsia="黑体" w:cs="Arial"/>
          <w:sz w:val="52"/>
          <w:szCs w:val="52"/>
          <w:lang w:val="en-US" w:eastAsia="zh-CN"/>
        </w:rPr>
      </w:pPr>
      <w:r>
        <w:rPr>
          <w:rFonts w:hint="eastAsia" w:ascii="黑体" w:hAnsi="黑体" w:eastAsia="黑体" w:cs="Arial"/>
          <w:sz w:val="52"/>
          <w:szCs w:val="52"/>
          <w:lang w:val="en-US" w:eastAsia="zh-CN"/>
        </w:rPr>
        <w:t>格</w:t>
      </w:r>
    </w:p>
    <w:p>
      <w:pPr>
        <w:spacing w:line="720" w:lineRule="auto"/>
        <w:jc w:val="center"/>
        <w:rPr>
          <w:rFonts w:hint="eastAsia" w:ascii="黑体" w:hAnsi="黑体" w:eastAsia="黑体" w:cs="Arial"/>
          <w:sz w:val="52"/>
          <w:szCs w:val="52"/>
          <w:lang w:val="en-US" w:eastAsia="zh-CN"/>
        </w:rPr>
      </w:pPr>
      <w:r>
        <w:rPr>
          <w:rFonts w:hint="eastAsia" w:ascii="黑体" w:hAnsi="黑体" w:eastAsia="黑体" w:cs="Arial"/>
          <w:sz w:val="52"/>
          <w:szCs w:val="52"/>
          <w:lang w:val="en-US" w:eastAsia="zh-CN"/>
        </w:rPr>
        <w:t>书</w:t>
      </w:r>
    </w:p>
    <w:p>
      <w:pPr>
        <w:spacing w:line="720" w:lineRule="auto"/>
        <w:jc w:val="center"/>
        <w:rPr>
          <w:rFonts w:hint="default" w:ascii="黑体" w:hAnsi="黑体" w:eastAsia="黑体" w:cs="Arial"/>
          <w:sz w:val="52"/>
          <w:szCs w:val="52"/>
          <w:lang w:val="en-US" w:eastAsia="zh-CN"/>
        </w:rPr>
      </w:pPr>
    </w:p>
    <w:p>
      <w:pPr>
        <w:spacing w:line="440" w:lineRule="exact"/>
        <w:ind w:left="1"/>
        <w:rPr>
          <w:rFonts w:ascii="宋体" w:hAnsi="宋体" w:cs="Arial"/>
          <w:sz w:val="24"/>
        </w:rPr>
      </w:pPr>
    </w:p>
    <w:p>
      <w:pPr>
        <w:spacing w:line="440" w:lineRule="exact"/>
        <w:rPr>
          <w:rFonts w:ascii="宋体" w:hAnsi="宋体" w:cs="Arial"/>
          <w:sz w:val="24"/>
        </w:rPr>
      </w:pPr>
    </w:p>
    <w:p>
      <w:pPr>
        <w:spacing w:line="440" w:lineRule="exact"/>
        <w:ind w:left="1" w:firstLine="723" w:firstLineChars="3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甲方：</w:t>
      </w:r>
      <w:r>
        <w:rPr>
          <w:rFonts w:ascii="宋体" w:hAnsi="宋体" w:eastAsia="宋体" w:cs="宋体"/>
          <w:sz w:val="24"/>
          <w:szCs w:val="24"/>
        </w:rPr>
        <w:t xml:space="preserve">甘肃东兴铝业有限公司嘉峪关分公司 </w:t>
      </w:r>
    </w:p>
    <w:p>
      <w:pPr>
        <w:spacing w:line="440" w:lineRule="exact"/>
        <w:ind w:firstLine="723" w:firstLineChars="300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440" w:lineRule="exact"/>
        <w:ind w:firstLine="723" w:firstLineChars="3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乙方：</w:t>
      </w:r>
    </w:p>
    <w:p>
      <w:pPr>
        <w:spacing w:line="440" w:lineRule="exact"/>
        <w:rPr>
          <w:rFonts w:ascii="宋体" w:hAnsi="宋体" w:cs="Arial"/>
          <w:sz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3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总则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技术规格书</w:t>
      </w:r>
      <w:r>
        <w:rPr>
          <w:rFonts w:hint="eastAsia" w:ascii="仿宋_GB2312" w:hAnsi="仿宋_GB2312" w:eastAsia="仿宋_GB2312" w:cs="仿宋_GB2312"/>
          <w:sz w:val="32"/>
          <w:szCs w:val="32"/>
        </w:rPr>
        <w:t>适用于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甘肃东兴铝业嘉峪关45万吨</w:t>
      </w:r>
      <w:r>
        <w:rPr>
          <w:rFonts w:hint="eastAsia" w:ascii="仿宋_GB2312" w:hAnsi="仿宋_GB2312" w:eastAsia="仿宋_GB2312" w:cs="仿宋_GB2312"/>
          <w:sz w:val="32"/>
          <w:szCs w:val="32"/>
        </w:rPr>
        <w:t>净化一作业区所需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所需多功能机组工具车主动轮轮组</w:t>
      </w:r>
      <w:r>
        <w:rPr>
          <w:rFonts w:hint="eastAsia" w:ascii="仿宋_GB2312" w:hAnsi="仿宋_GB2312" w:eastAsia="仿宋_GB2312" w:cs="仿宋_GB2312"/>
          <w:sz w:val="32"/>
          <w:szCs w:val="32"/>
        </w:rPr>
        <w:t>供货方面的技术要求。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技术规格书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提出的是最低限度的要求，并未对一切细节做出规定，也未充分引述有关标准和规范的条文。乙方保证提供符合本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技术规格书</w:t>
      </w:r>
      <w:r>
        <w:rPr>
          <w:rFonts w:hint="eastAsia" w:ascii="仿宋_GB2312" w:hAnsi="仿宋_GB2312" w:eastAsia="仿宋_GB2312" w:cs="仿宋_GB2312"/>
          <w:sz w:val="32"/>
          <w:szCs w:val="32"/>
        </w:rPr>
        <w:t>和有关最新国家及工业标准的产品。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如乙方没有以书面形式对本协议的条文提出异议，那么甲方可以认为乙方提供的产品完全满足本文件的要求。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在签订合同之后，甲方有权提出因规范标准和规程发生变化而产生的一些补充要求，乙方应予以配合。具体项目由双方共同商定。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技术规格书</w:t>
      </w:r>
      <w:r>
        <w:rPr>
          <w:rFonts w:hint="eastAsia" w:ascii="仿宋_GB2312" w:hAnsi="仿宋_GB2312" w:eastAsia="仿宋_GB2312" w:cs="仿宋_GB2312"/>
          <w:sz w:val="32"/>
          <w:szCs w:val="32"/>
        </w:rPr>
        <w:t>所使用的标准如与乙方所执行的标准发生矛盾时，按较高标准执行。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乙方提供的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机组工具车主动轮轮</w:t>
      </w:r>
      <w:r>
        <w:rPr>
          <w:rFonts w:hint="eastAsia" w:ascii="仿宋_GB2312" w:hAnsi="仿宋_GB2312" w:eastAsia="仿宋_GB2312" w:cs="仿宋_GB2312"/>
          <w:sz w:val="32"/>
          <w:szCs w:val="32"/>
        </w:rPr>
        <w:t>，应该是制作技术先进、具有制造经验的成熟产品，而不是试制品。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textAlignment w:val="auto"/>
        <w:rPr>
          <w:rFonts w:hint="eastAsia" w:ascii="宋体" w:hAnsi="宋体"/>
          <w:b/>
          <w:kern w:val="2"/>
          <w:sz w:val="21"/>
          <w:szCs w:val="21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制造和验收要求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 xml:space="preserve"> </w:t>
      </w:r>
    </w:p>
    <w:p>
      <w:pPr>
        <w:spacing w:line="360" w:lineRule="auto"/>
        <w:ind w:firstLine="2741" w:firstLineChars="13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/>
          <w:b/>
          <w:kern w:val="2"/>
          <w:sz w:val="21"/>
          <w:szCs w:val="21"/>
        </w:rPr>
        <w:t>性能参数及</w:t>
      </w:r>
      <w:r>
        <w:rPr>
          <w:rFonts w:hint="eastAsia" w:ascii="宋体" w:hAnsi="宋体"/>
          <w:b/>
          <w:kern w:val="2"/>
          <w:sz w:val="21"/>
          <w:szCs w:val="21"/>
          <w:lang w:val="en-US" w:eastAsia="zh-CN"/>
        </w:rPr>
        <w:t>备件材质</w:t>
      </w:r>
      <w:r>
        <w:rPr>
          <w:rFonts w:hint="eastAsia" w:ascii="宋体" w:hAnsi="宋体"/>
          <w:b/>
          <w:kern w:val="2"/>
          <w:sz w:val="21"/>
          <w:szCs w:val="21"/>
        </w:rPr>
        <w:t>描述</w:t>
      </w:r>
    </w:p>
    <w:tbl>
      <w:tblPr>
        <w:tblStyle w:val="5"/>
        <w:tblW w:w="887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68"/>
        <w:gridCol w:w="52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技术指标</w:t>
            </w:r>
          </w:p>
        </w:tc>
        <w:tc>
          <w:tcPr>
            <w:tcW w:w="5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5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工具车主动轮轮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5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sz w:val="20"/>
                <w:szCs w:val="20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L40159.2.1.1.B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轴承品牌</w:t>
            </w:r>
          </w:p>
        </w:tc>
        <w:tc>
          <w:tcPr>
            <w:tcW w:w="5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参照或相当于SKF\FAG\KEEI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轴承型号</w:t>
            </w:r>
          </w:p>
        </w:tc>
        <w:tc>
          <w:tcPr>
            <w:tcW w:w="5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23218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轮组材质</w:t>
            </w:r>
          </w:p>
        </w:tc>
        <w:tc>
          <w:tcPr>
            <w:tcW w:w="5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65Mn锻件（表面热处理）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轴材质</w:t>
            </w:r>
          </w:p>
        </w:tc>
        <w:tc>
          <w:tcPr>
            <w:tcW w:w="5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42CrM0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硬度</w:t>
            </w:r>
          </w:p>
        </w:tc>
        <w:tc>
          <w:tcPr>
            <w:tcW w:w="5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HRC45～50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40"/>
          <w:tab w:val="left" w:pos="72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1.车轮材料选用65Mn锻件，轴选用42CrM0或同等材质，锻件的锻造比应大于2.5，标准符合JB/T 5000.8  锻件通用技术条件，检验标准达到V级的标准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及要求,轴承座采用材质为铸钢ZG340-650标准符合GB/T5613-2014。</w:t>
      </w:r>
    </w:p>
    <w:p>
      <w:pPr>
        <w:keepNext w:val="0"/>
        <w:keepLines w:val="0"/>
        <w:pageBreakBefore w:val="0"/>
        <w:widowControl w:val="0"/>
        <w:tabs>
          <w:tab w:val="left" w:pos="540"/>
          <w:tab w:val="left" w:pos="72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 车轮、轴粗加工进行调质处理，车轮加工后进行表面淬火处理。</w:t>
      </w:r>
    </w:p>
    <w:p>
      <w:pPr>
        <w:keepNext w:val="0"/>
        <w:keepLines w:val="0"/>
        <w:pageBreakBefore w:val="0"/>
        <w:widowControl w:val="0"/>
        <w:tabs>
          <w:tab w:val="left" w:pos="540"/>
          <w:tab w:val="left" w:pos="72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3.焊接件在焊接完成后采用退火方法进行消除应力处理，焊缝进行探伤检查，检测应该符合“JB/T 6061  焊缝磁粉检验方法和缺陷磁痕的分级  1级；JB/T 6062  焊缝渗透检验方法及缺陷迹痕的分级 I级；JB/T 10559  起重机械无损检测  钢焊缝超声检测  1级”标准及要求</w:t>
      </w:r>
    </w:p>
    <w:p>
      <w:pPr>
        <w:keepNext w:val="0"/>
        <w:keepLines w:val="0"/>
        <w:pageBreakBefore w:val="0"/>
        <w:widowControl w:val="0"/>
        <w:tabs>
          <w:tab w:val="left" w:pos="540"/>
          <w:tab w:val="left" w:pos="72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4.所要求检测内容，需要出具检测报告。</w:t>
      </w:r>
    </w:p>
    <w:p>
      <w:pPr>
        <w:keepNext w:val="0"/>
        <w:keepLines w:val="0"/>
        <w:pageBreakBefore w:val="0"/>
        <w:widowControl w:val="0"/>
        <w:tabs>
          <w:tab w:val="left" w:pos="540"/>
          <w:tab w:val="left" w:pos="72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5.轮组轴承选用SKF\FAG\KEEI等同等品牌轴承。</w:t>
      </w:r>
    </w:p>
    <w:p>
      <w:pPr>
        <w:keepNext w:val="0"/>
        <w:keepLines w:val="0"/>
        <w:pageBreakBefore w:val="0"/>
        <w:widowControl w:val="0"/>
        <w:tabs>
          <w:tab w:val="left" w:pos="540"/>
          <w:tab w:val="left" w:pos="72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6产品制造要求按照以下标准内容执行</w:t>
      </w:r>
    </w:p>
    <w:p>
      <w:pPr>
        <w:keepNext w:val="0"/>
        <w:keepLines w:val="0"/>
        <w:pageBreakBefore w:val="0"/>
        <w:widowControl w:val="0"/>
        <w:tabs>
          <w:tab w:val="left" w:pos="540"/>
          <w:tab w:val="left" w:pos="72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JB/T 5000.8  锻件通用技术条件 ；   </w:t>
      </w:r>
    </w:p>
    <w:p>
      <w:pPr>
        <w:keepNext w:val="0"/>
        <w:keepLines w:val="0"/>
        <w:pageBreakBefore w:val="0"/>
        <w:widowControl w:val="0"/>
        <w:tabs>
          <w:tab w:val="left" w:pos="540"/>
          <w:tab w:val="left" w:pos="72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JB 4728   不锈钢锻件通用技术条件 ； </w:t>
      </w:r>
    </w:p>
    <w:p>
      <w:pPr>
        <w:keepNext w:val="0"/>
        <w:keepLines w:val="0"/>
        <w:pageBreakBefore w:val="0"/>
        <w:widowControl w:val="0"/>
        <w:tabs>
          <w:tab w:val="left" w:pos="540"/>
          <w:tab w:val="left" w:pos="72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JB/T5000.12  重型机械通用技术条件  涂装；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设备的验收：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出厂检验：乙方在发货前，应对货物量、规格、性能、数量等进行全面检验，并出具 装箱单、材质检验报告、热处理检测报告、产品合格证。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2 到货验收：由甲方的有关检验部门按产品标准及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技术规格书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内容求，在设备到达酒钢库房后，由甲乙双方开箱检查，验收。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3 如果设备验收不合格，双方协商退货事宜。</w:t>
      </w:r>
    </w:p>
    <w:p>
      <w:pPr>
        <w:keepNext w:val="0"/>
        <w:keepLines w:val="0"/>
        <w:pageBreakBefore w:val="0"/>
        <w:widowControl w:val="0"/>
        <w:tabs>
          <w:tab w:val="left" w:pos="540"/>
          <w:tab w:val="left" w:pos="72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4 使用寿命：质量保质期为安装使用12个月或货到现场18个月，以先到为准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质保期内不得出现断轴、车轮裂纹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轮面变形、轴承损坏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等质量问题。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供货范围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2801"/>
        <w:gridCol w:w="1078"/>
        <w:gridCol w:w="35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1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型号及规范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9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70443712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工具车主动轮组\L40159.2.1.1.B 65Mn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9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均按照上方技术参数及技术要求进行供货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五、轮组到货验收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1.轮组</w:t>
      </w:r>
      <w:r>
        <w:rPr>
          <w:rFonts w:hint="eastAsia" w:ascii="仿宋_GB2312" w:hAnsi="仿宋_GB2312" w:eastAsia="仿宋_GB2312" w:cs="仿宋_GB2312"/>
          <w:sz w:val="32"/>
          <w:szCs w:val="32"/>
        </w:rPr>
        <w:t>到货后由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使用方</w:t>
      </w:r>
      <w:r>
        <w:rPr>
          <w:rFonts w:hint="eastAsia" w:ascii="仿宋_GB2312" w:hAnsi="仿宋_GB2312" w:eastAsia="仿宋_GB2312" w:cs="仿宋_GB2312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轮组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进行验收，如产品不满足基本技术参数及性能要求，全部退货。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2.通过目测进行检验，外观应光泽，喷漆均匀合口，端盖、上下盖等螺柱是否齐全；是否打铭牌、铭牌内容是否清晰、正确，使用专用仪器对材质、硬度进行检测。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3.箱体剖分面之间不允许填任何垫片，但可以涂密封胶或水玻璃以保证密封；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4.轮组颜色按照原车颜色执行，若颜色与原车不统一，甲方有权拒绝收货（与现场核定）。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5.乙方应按照相应标准提供产品合格证书；设备制造、检验报告；主要零部件材料合格证书和材料实验报告；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主动轮轴承包螺栓紧固，键板安装到位无间隙、无偏斜，轮组中心轴线与轨道轴线偏差不大于5mm，轮组表面无裂纹、破口等，车辆运行无跑偏现象,轴与轴承或外壳安装必须符合行业标准GB/T257-1993，螺栓孔符合GB/T5277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7.必须采用指定轴承品牌，不允许采用贴牌产品；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8.备件在合同规定的时间内，因制造质量问题而发生损坏，或不能进行正常工作时，乙方接到通知后4小时内给予答复，24小时内到达现场，免费为甲方修理或者更换零部件。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9.乙方所提供的备件如在质保期内出现由产品质量带来的问题，乙方免费更换或维修。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 提供资料：出厂合格证、出厂最终资料。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六、质量保证及售后服务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6.1合同设备的保证期为投运现场使用之日起12个月。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6.2乙方应对所提供产品和附件的制造质量、技术规格负有完全责任。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6.3乙方保证所提供的产品全部都是经过厂家测试合格的产品，乙方保证所提供的产品是全新的，未被使用过的，是用一流的工艺生产的，并完全符合买方规定的质量规格和性能的要求。乙方应保证其设备在正确安装、正常使用和保养条件下，在其使用寿命内应具有良好的性能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6.4在质保期内，因备件质量问题造成的备件损坏、乙方应及时免费更换损坏部件或更换新品，用来更换的部件应当是全新的，在质保期内，卖方应对设备自身设计、材料及生产工艺中的缺陷而产生的后果负责。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6.5乙方所生产制造的产品应与甲方提报的备件的规格型号一致，且与在线所使用设备具有互换性。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附件七  交货时间及地点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7.1交货时间：   年 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7.2交货地点：东兴铝业嘉峪关公司一期45万吨备件库房.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备出厂发运前用红油漆按箱外标准运输标记（合同号、目的地、收件人单位、设备名称、箱号/捆号、毛净重、尺寸、吊装点）进行标注。箱内设备用标签做标记，注明设备名称、安装位置、并在设备上带有铭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附件八  其它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8.1投标方在投标中所提供的系统必须是完整的、无缺项的。无论何时发现缺项、漏项，投标方都必须无偿补足。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8.2本协议为合同附件，与合同具有同等法律效力。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8.3提供中文操作说明手册。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8.4其它未尽事宜，甲乙双方协商解决。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8.5本协议一式四份，甲方三份，乙方一份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8.6本协议一式两份，甲方一份，乙方一份；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8.7若                公司不能中标，则本技术规格书自动失效，双方互不承担任何责任。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8.8本协议内容经由甲乙双方与   年  月  日  时  时通过      方式商定。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8.9甲乙双方应当就签订本协议的相关事宜保密，不得将签订主体、时间、内容等信息透露给其他第三人。 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tabs>
          <w:tab w:val="left" w:pos="540"/>
          <w:tab w:val="left" w:pos="840"/>
          <w:tab w:val="left" w:pos="1080"/>
        </w:tabs>
        <w:spacing w:line="360" w:lineRule="auto"/>
        <w:jc w:val="both"/>
        <w:rPr>
          <w:rFonts w:ascii="宋体"/>
          <w:sz w:val="21"/>
          <w:szCs w:val="21"/>
        </w:rPr>
      </w:pPr>
    </w:p>
    <w:p>
      <w:pPr>
        <w:autoSpaceDE w:val="0"/>
        <w:autoSpaceDN w:val="0"/>
        <w:spacing w:line="360" w:lineRule="auto"/>
        <w:ind w:firstLine="562" w:firstLineChars="20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甲方：</w:t>
      </w:r>
      <w:r>
        <w:rPr>
          <w:rFonts w:hint="eastAsia" w:ascii="宋体" w:hAnsi="宋体"/>
          <w:b w:val="0"/>
          <w:bCs/>
          <w:color w:val="auto"/>
          <w:sz w:val="21"/>
          <w:szCs w:val="21"/>
          <w:lang w:val="en-US" w:eastAsia="zh-CN"/>
        </w:rPr>
        <w:t xml:space="preserve">酒钢集团东兴铝业有限公司           </w:t>
      </w:r>
      <w:r>
        <w:rPr>
          <w:rFonts w:hint="eastAsia" w:ascii="宋体" w:hAnsi="宋体"/>
          <w:b/>
          <w:szCs w:val="21"/>
        </w:rPr>
        <w:t xml:space="preserve">     </w:t>
      </w:r>
      <w:r>
        <w:rPr>
          <w:rFonts w:hint="eastAsia" w:ascii="宋体" w:hAnsi="宋体"/>
          <w:b/>
          <w:sz w:val="28"/>
          <w:szCs w:val="28"/>
        </w:rPr>
        <w:t>乙方：</w:t>
      </w:r>
    </w:p>
    <w:p>
      <w:pPr>
        <w:rPr>
          <w:rFonts w:ascii="宋体"/>
          <w:b/>
          <w:szCs w:val="21"/>
        </w:rPr>
      </w:pPr>
    </w:p>
    <w:p>
      <w:pPr>
        <w:tabs>
          <w:tab w:val="left" w:pos="1943"/>
        </w:tabs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          </w:t>
      </w:r>
    </w:p>
    <w:p>
      <w:pPr>
        <w:tabs>
          <w:tab w:val="left" w:pos="1943"/>
        </w:tabs>
        <w:ind w:firstLine="562" w:firstLineChars="200"/>
        <w:rPr>
          <w:rFonts w:hint="eastAsia"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甲方代表：</w:t>
      </w:r>
      <w:r>
        <w:rPr>
          <w:rFonts w:ascii="宋体"/>
          <w:b/>
          <w:sz w:val="28"/>
          <w:szCs w:val="28"/>
        </w:rPr>
        <w:tab/>
      </w:r>
      <w:r>
        <w:rPr>
          <w:rFonts w:ascii="宋体" w:hAnsi="宋体"/>
          <w:b/>
          <w:sz w:val="28"/>
          <w:szCs w:val="28"/>
        </w:rPr>
        <w:t xml:space="preserve">                          </w:t>
      </w:r>
      <w:r>
        <w:rPr>
          <w:rFonts w:hint="eastAsia" w:ascii="宋体" w:hAnsi="宋体"/>
          <w:b/>
          <w:sz w:val="28"/>
          <w:szCs w:val="28"/>
        </w:rPr>
        <w:t>乙方代表：</w:t>
      </w:r>
    </w:p>
    <w:p>
      <w:pPr>
        <w:rPr>
          <w:rFonts w:hint="eastAsia"/>
          <w:lang w:eastAsia="zh-CN"/>
        </w:rPr>
      </w:pPr>
    </w:p>
    <w:p>
      <w:pPr>
        <w:tabs>
          <w:tab w:val="left" w:pos="1943"/>
        </w:tabs>
        <w:ind w:firstLine="562" w:firstLineChars="200"/>
        <w:rPr>
          <w:rFonts w:hint="default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签订时间：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宋体" w:hAnsi="宋体"/>
          <w:b/>
          <w:sz w:val="28"/>
          <w:szCs w:val="28"/>
          <w:lang w:eastAsia="zh-CN"/>
        </w:rPr>
        <w:t>签订时间：</w:t>
      </w:r>
    </w:p>
    <w:sectPr>
      <w:pgSz w:w="11906" w:h="16838"/>
      <w:pgMar w:top="1644" w:right="1531" w:bottom="164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MjE4OTFhZWU4Y2JiMTRmNmE4YmVjMjcxNjIzYjMifQ=="/>
  </w:docVars>
  <w:rsids>
    <w:rsidRoot w:val="5A3D051D"/>
    <w:rsid w:val="0053077B"/>
    <w:rsid w:val="056C72EF"/>
    <w:rsid w:val="12C41C65"/>
    <w:rsid w:val="1824234F"/>
    <w:rsid w:val="21947942"/>
    <w:rsid w:val="242E4A6B"/>
    <w:rsid w:val="32470AEB"/>
    <w:rsid w:val="3A4D337A"/>
    <w:rsid w:val="3D4A4F6C"/>
    <w:rsid w:val="403E21E9"/>
    <w:rsid w:val="41E91DBE"/>
    <w:rsid w:val="45CD7101"/>
    <w:rsid w:val="46BC33FE"/>
    <w:rsid w:val="4A025BC0"/>
    <w:rsid w:val="4A6056F9"/>
    <w:rsid w:val="57386826"/>
    <w:rsid w:val="5A3D051D"/>
    <w:rsid w:val="5B8653C9"/>
    <w:rsid w:val="61FD2769"/>
    <w:rsid w:val="677B5334"/>
    <w:rsid w:val="6A7F48E8"/>
    <w:rsid w:val="6DD12559"/>
    <w:rsid w:val="71DD4E56"/>
    <w:rsid w:val="7803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tabs>
        <w:tab w:val="left" w:pos="1134"/>
      </w:tabs>
      <w:snapToGrid w:val="0"/>
      <w:spacing w:line="360" w:lineRule="auto"/>
      <w:outlineLvl w:val="0"/>
    </w:pPr>
    <w:rPr>
      <w:rFonts w:ascii="Arial" w:hAnsi="Arial"/>
      <w:b/>
      <w:kern w:val="0"/>
      <w:sz w:val="28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2214</Words>
  <Characters>2451</Characters>
  <Lines>0</Lines>
  <Paragraphs>0</Paragraphs>
  <TotalTime>1</TotalTime>
  <ScaleCrop>false</ScaleCrop>
  <LinksUpToDate>false</LinksUpToDate>
  <CharactersWithSpaces>2598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2023-10-09T08:13:00Z</dcterms:created>
  <dc:creator>常兆亮</dc:creator>
  <cp:lastModifiedBy>User</cp:lastModifiedBy>
  <dcterms:modified xsi:type="dcterms:W3CDTF">2026-02-05T01:49:42Z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  <property fmtid="{D5CDD505-2E9C-101B-9397-08002B2CF9AE}" pid="3" name="ICV">
    <vt:lpwstr>15C613F888C040448606F3414F3695D1_12</vt:lpwstr>
  </property>
</Properties>
</file>