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523" w:firstLineChars="700"/>
        <w:jc w:val="both"/>
        <w:rPr>
          <w:rFonts w:hint="eastAsia" w:ascii="华文中宋" w:hAnsi="华文中宋" w:eastAsia="华文中宋" w:cs="华文中宋"/>
          <w:b/>
          <w:sz w:val="36"/>
          <w:szCs w:val="36"/>
        </w:rPr>
      </w:pPr>
    </w:p>
    <w:p>
      <w:pPr>
        <w:spacing w:line="360" w:lineRule="auto"/>
        <w:jc w:val="center"/>
        <w:rPr>
          <w:rFonts w:hint="eastAsia" w:ascii="宋体" w:hAnsi="宋体" w:eastAsia="宋体" w:cs="宋体"/>
          <w:b/>
          <w:sz w:val="36"/>
          <w:szCs w:val="36"/>
          <w:lang w:val="en-US" w:eastAsia="zh-CN"/>
        </w:rPr>
      </w:pPr>
      <w:r>
        <w:rPr>
          <w:rFonts w:hint="eastAsia" w:ascii="宋体" w:hAnsi="宋体" w:cs="宋体"/>
          <w:b/>
          <w:sz w:val="36"/>
          <w:szCs w:val="36"/>
          <w:lang w:val="en-US" w:eastAsia="zh-CN"/>
        </w:rPr>
        <w:t>科力耐材公司榆钢机械加工件业务</w:t>
      </w:r>
      <w:r>
        <w:rPr>
          <w:rFonts w:hint="eastAsia" w:ascii="宋体" w:hAnsi="宋体" w:eastAsia="宋体" w:cs="宋体"/>
          <w:b/>
          <w:sz w:val="36"/>
          <w:szCs w:val="36"/>
          <w:lang w:val="en-US" w:eastAsia="zh-CN"/>
        </w:rPr>
        <w:t>外包</w:t>
      </w:r>
    </w:p>
    <w:p>
      <w:pPr>
        <w:spacing w:line="360" w:lineRule="auto"/>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技术协议</w:t>
      </w:r>
    </w:p>
    <w:p>
      <w:pPr>
        <w:spacing w:line="360" w:lineRule="auto"/>
        <w:ind w:firstLine="1968" w:firstLineChars="700"/>
        <w:jc w:val="both"/>
        <w:rPr>
          <w:rFonts w:hint="eastAsia" w:ascii="仿宋_GB2312" w:hAnsi="仿宋_GB2312" w:eastAsia="仿宋_GB2312" w:cs="仿宋_GB2312"/>
          <w:b/>
          <w:sz w:val="28"/>
          <w:szCs w:val="28"/>
          <w:lang w:val="en-US" w:eastAsia="zh-CN"/>
        </w:rPr>
      </w:pPr>
    </w:p>
    <w:p>
      <w:pPr>
        <w:spacing w:line="360" w:lineRule="auto"/>
        <w:ind w:firstLine="3253" w:firstLineChars="900"/>
        <w:jc w:val="both"/>
        <w:rPr>
          <w:rFonts w:hint="eastAsia" w:ascii="宋体" w:hAnsi="宋体" w:eastAsia="宋体" w:cs="宋体"/>
          <w:b/>
          <w:sz w:val="36"/>
          <w:szCs w:val="36"/>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napToGrid w:val="0"/>
        <w:ind w:firstLine="1120" w:firstLineChars="4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甲方：</w:t>
      </w:r>
      <w:r>
        <w:rPr>
          <w:rFonts w:hint="eastAsia" w:asciiTheme="minorEastAsia" w:hAnsiTheme="minorEastAsia" w:eastAsiaTheme="minorEastAsia" w:cstheme="minorEastAsia"/>
          <w:b w:val="0"/>
          <w:bCs/>
          <w:color w:val="auto"/>
          <w:sz w:val="28"/>
          <w:szCs w:val="28"/>
          <w:lang w:val="en-US" w:eastAsia="zh-CN"/>
        </w:rPr>
        <w:t>甘肃酒钢集团科力耐火材料股份有限公司</w:t>
      </w:r>
    </w:p>
    <w:p>
      <w:pPr>
        <w:spacing w:line="360" w:lineRule="exact"/>
        <w:rPr>
          <w:rFonts w:hint="eastAsia" w:asciiTheme="minorEastAsia" w:hAnsiTheme="minorEastAsia" w:eastAsiaTheme="minorEastAsia" w:cstheme="minorEastAsia"/>
          <w:b w:val="0"/>
          <w:bCs/>
          <w:color w:val="auto"/>
          <w:sz w:val="28"/>
          <w:szCs w:val="28"/>
        </w:rPr>
      </w:pPr>
    </w:p>
    <w:p>
      <w:pPr>
        <w:snapToGrid w:val="0"/>
        <w:ind w:firstLine="1120" w:firstLineChars="400"/>
        <w:rPr>
          <w:rFonts w:hint="default" w:asciiTheme="minorEastAsia" w:hAnsiTheme="minorEastAsia" w:eastAsiaTheme="minorEastAsia" w:cstheme="minorEastAsia"/>
          <w:b w:val="0"/>
          <w:bCs/>
          <w:color w:val="auto"/>
          <w:sz w:val="28"/>
          <w:szCs w:val="28"/>
          <w:lang w:val="en-US"/>
        </w:rPr>
      </w:pPr>
      <w:r>
        <w:rPr>
          <w:rFonts w:hint="eastAsia" w:asciiTheme="minorEastAsia" w:hAnsiTheme="minorEastAsia" w:eastAsiaTheme="minorEastAsia" w:cstheme="minorEastAsia"/>
          <w:b w:val="0"/>
          <w:bCs/>
          <w:color w:val="auto"/>
          <w:sz w:val="28"/>
          <w:szCs w:val="28"/>
        </w:rPr>
        <w:t>乙方</w:t>
      </w:r>
      <w:r>
        <w:rPr>
          <w:rFonts w:hint="eastAsia" w:asciiTheme="minorEastAsia" w:hAnsiTheme="minorEastAsia" w:eastAsiaTheme="minorEastAsia" w:cstheme="minorEastAsia"/>
          <w:b w:val="0"/>
          <w:bCs/>
          <w:color w:val="auto"/>
          <w:sz w:val="28"/>
          <w:szCs w:val="28"/>
          <w:lang w:val="en-US" w:eastAsia="zh-CN"/>
        </w:rPr>
        <w:t>：....................</w:t>
      </w:r>
    </w:p>
    <w:p>
      <w:pPr>
        <w:snapToGrid w:val="0"/>
        <w:ind w:firstLine="1120" w:firstLineChars="400"/>
        <w:rPr>
          <w:rFonts w:hint="eastAsia" w:asciiTheme="minorEastAsia" w:hAnsiTheme="minorEastAsia" w:eastAsiaTheme="minorEastAsia" w:cstheme="minorEastAsia"/>
          <w:b w:val="0"/>
          <w:bCs/>
          <w:color w:val="auto"/>
          <w:sz w:val="28"/>
          <w:szCs w:val="28"/>
          <w:lang w:eastAsia="zh-CN"/>
        </w:rPr>
      </w:pPr>
    </w:p>
    <w:p>
      <w:pPr>
        <w:snapToGrid w:val="0"/>
        <w:ind w:firstLine="840" w:firstLineChars="300"/>
        <w:rPr>
          <w:rFonts w:hint="default"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 xml:space="preserve">        签订地点：甘肃省嘉峪关市</w:t>
      </w:r>
    </w:p>
    <w:p>
      <w:pPr>
        <w:snapToGrid w:val="0"/>
        <w:ind w:firstLine="840" w:firstLineChars="300"/>
        <w:rPr>
          <w:rFonts w:hint="eastAsia" w:asciiTheme="minorEastAsia" w:hAnsiTheme="minorEastAsia" w:eastAsiaTheme="minorEastAsia" w:cstheme="minorEastAsia"/>
          <w:b w:val="0"/>
          <w:bCs/>
          <w:color w:val="auto"/>
          <w:sz w:val="28"/>
          <w:szCs w:val="28"/>
          <w:lang w:val="en-US" w:eastAsia="zh-CN"/>
        </w:rPr>
      </w:pPr>
    </w:p>
    <w:p>
      <w:pPr>
        <w:snapToGrid w:val="0"/>
        <w:ind w:firstLine="1960" w:firstLineChars="7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 xml:space="preserve">签订时间： </w:t>
      </w:r>
      <w:r>
        <w:rPr>
          <w:rFonts w:hint="eastAsia" w:asciiTheme="minorEastAsia" w:hAnsiTheme="minorEastAsia" w:eastAsiaTheme="minorEastAsia" w:cstheme="minorEastAsia"/>
          <w:b w:val="0"/>
          <w:bCs/>
          <w:color w:val="auto"/>
          <w:sz w:val="28"/>
          <w:szCs w:val="28"/>
          <w:lang w:val="en-US" w:eastAsia="zh-CN"/>
        </w:rPr>
        <w:t>2022</w:t>
      </w:r>
      <w:r>
        <w:rPr>
          <w:rFonts w:hint="eastAsia" w:asciiTheme="minorEastAsia" w:hAnsiTheme="minorEastAsia" w:eastAsiaTheme="minorEastAsia" w:cstheme="minorEastAsia"/>
          <w:b w:val="0"/>
          <w:bCs/>
          <w:color w:val="auto"/>
          <w:sz w:val="28"/>
          <w:szCs w:val="28"/>
        </w:rPr>
        <w:t xml:space="preserve">年 </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月</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甲方：甘肃酒钢集团科力耐火材料股份有限公司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依照《中华人民共和国招投标法》、《中华人民共和国合同法》及其他有关法律、行政法规的规定，遵循平等、公正、公平和诚实信用的原则，双方就甲方榆钢机械加工件业务事宜达成如下协议：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1、本技术协议作为双方合同的附件，与合同具有同等法律效力。合同执行期间双方再协商形成的补充协议和追加条款也具有同等法律效力。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2、本技术协议所提出的是最低标准的技术要求，并未对一切技术细节做出规定，也未充分引述有关标准和规范的条文，乙方应保证提供符合有关标准和技术文件的优质产品和服务。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3、乙方按照甲方要求或书面委托的金属件加工规格、尺寸、技术参数、数量、交货时间等组织完成供货</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当买方未提供新的技术标准或特殊要求时，则卖方应按本技术要求执行。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、物料描述、规格型号、数量</w:t>
      </w:r>
    </w:p>
    <w:tbl>
      <w:tblPr>
        <w:tblStyle w:val="3"/>
        <w:tblW w:w="8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4"/>
        <w:gridCol w:w="1298"/>
        <w:gridCol w:w="3022"/>
        <w:gridCol w:w="1074"/>
        <w:gridCol w:w="824"/>
        <w:gridCol w:w="824"/>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转盘</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HT200 300×290 YGJX-LG18030</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HT200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轴承座</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Q235 30×200 YGJX-LG18020</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Q235</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连接座</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ZG45 260×260×70 YGJX-JH18001</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ZG45</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固定轴套</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40Cr Φ240×120 YGJX-JH18035</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40Cr</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托板</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1Cr18Ni9Ti 440×200 YGX-06-01</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1Cr18Ni9Ti</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中部篦条</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Cr26 412×2200 YGJX20200624-2</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Cr26</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凿岩机</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代料 CHY2000 焊接加工</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三、结算方式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1、结算方式：卖方按合同要求加工制作完毕并送至现场，经双方共同验收合格后，买方出具费用结算单，结算金额=加工单价*实际加工量-违约扣款。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2、支付方式：银行承兑。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3、结算要求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（1）每月20日前由买卖双方对当月委托加工量进行核对，核对无误经双方认可后，经买方现场负责人、作业区负责人签字确认，报买方结算管理部门审批后方可办理结算。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（2）每月结算时按责任追究有关条款，将当月卖方违约费用一次性扣除。确因赔违约费用数额较大，卖方当月承担有困难时，经买方同意可分月扣除。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（3）卖方按照双方确认违约考核扣款后实际结算金额，按照买方结算时间开具全额增值税专用发票送达买方经营</w:t>
      </w:r>
      <w:r>
        <w:rPr>
          <w:rFonts w:hint="eastAsia" w:asciiTheme="minorEastAsia" w:hAnsiTheme="minorEastAsia" w:eastAsiaTheme="minorEastAsia" w:cstheme="minorEastAsia"/>
          <w:b w:val="0"/>
          <w:bCs w:val="0"/>
          <w:sz w:val="24"/>
          <w:lang w:eastAsia="zh-CN"/>
        </w:rPr>
        <w:t>生产科</w:t>
      </w:r>
      <w:r>
        <w:rPr>
          <w:rFonts w:hint="eastAsia" w:asciiTheme="minorEastAsia" w:hAnsiTheme="minorEastAsia" w:eastAsiaTheme="minorEastAsia" w:cstheme="minorEastAsia"/>
          <w:b w:val="0"/>
          <w:bCs w:val="0"/>
          <w:sz w:val="24"/>
        </w:rPr>
        <w:t>办理结算。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四、协议期限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202</w:t>
      </w: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lang w:val="en-US" w:eastAsia="zh-CN"/>
        </w:rPr>
        <w:t xml:space="preserve"> </w:t>
      </w:r>
      <w:bookmarkStart w:id="0" w:name="_GoBack"/>
      <w:bookmarkEnd w:id="0"/>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日-202</w:t>
      </w: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lang w:val="en-US" w:eastAsia="zh-CN"/>
        </w:rPr>
        <w:t>12</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lang w:val="en-US" w:eastAsia="zh-CN"/>
        </w:rPr>
        <w:t>31</w:t>
      </w:r>
      <w:r>
        <w:rPr>
          <w:rFonts w:hint="eastAsia" w:asciiTheme="minorEastAsia" w:hAnsiTheme="minorEastAsia" w:eastAsiaTheme="minorEastAsia" w:cstheme="minorEastAsia"/>
          <w:bCs/>
          <w:sz w:val="24"/>
        </w:rPr>
        <w:t>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五、质量标准或验收标准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kern w:val="0"/>
          <w:sz w:val="24"/>
        </w:rPr>
      </w:pPr>
      <w:r>
        <w:rPr>
          <w:rFonts w:hint="eastAsia" w:asciiTheme="minorEastAsia" w:hAnsiTheme="minorEastAsia" w:eastAsiaTheme="minorEastAsia" w:cstheme="minorEastAsia"/>
          <w:b w:val="0"/>
          <w:bCs/>
          <w:sz w:val="24"/>
        </w:rPr>
        <w:t>1、卖方提供的机加件应按买方提供的图纸及实物要求进行加工、制作；产品质量保证期为不低于合理使用期限，质保期自使用之日计算；在质量保证期内，卖方有义务对其所供机加件存在的质量问题无偿进行处理或更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2、卖方所提供的机械加工件、修复件、铆焊件、钢结构件、标准件均须根据机械行业国家标准、行业标准或买方提供的图纸要求进行。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3、加工件未注公差按GB/T1804-2000中的中等精度等级（m级）执行。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4、零件加工表面不应有划痕、擦伤、翘曲、变形、裂纹、凹凸不平等损伤零件表面的缺陷。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5、焊接时应保证工件外形尺寸和形位公差，非加工面形位公差按IT15级执行，保证型钢、钢板对接时错位量不超过厚度的2%。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6、焊接时需要代料的，未经我司技术部门的书面同意，不能代料。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7、连续焊缝要求平直光滑，不能有明显的高低不平现象，不能有焊穿、焊偏、焊疤、气孔、咬边等现象。焊缝的焊角以图纸要求为准，无要求的保证焊角为相临件的最小厚度。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8、图纸上要求折弯的零件，没有我司的书面同意，不得采用焊接方式。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9、钢板在弯、折、卷制作过程中出现的锤击痕迹应予以修复，不得有明显变形现象。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10、对于周转件，尤其是焊接后不再进行加工的平面，在焊接时必须严加防护，避免电弧损伤或焊渣损伤且焊缝均匀的前提下不能随便进行打磨。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11、工件喷漆时，保证漆膜均匀无流挂，无漏喷现象。、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12、热处理工艺及技术要求与图纸要求必须一致，热处理需要防锈处理的零件应及时处理。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13、送至现场的备件表面应清洁无污，不得有开裂、翘边、变形等外观质量缺陷。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六、包装及运输要求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1、加工件的包装必须按照买方要求进行，并满足运输要求。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2、卖方负责将加工件运送到买方指定的使用地点，并由卖方承担所有运费。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七、违约责任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1、因卖方原因造成设备故障、人身伤害、交通违章等事故，卖方承担全部责任，并处乙方5000-50000元考核。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2、因卖方加工质量等原因，造成买方人员伤害（亡）的，按公司及国家有关规定及《安全生产法》执行。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3、买方要求召开的会议卖方擅自不到，每次考核300元，迟到每次考核50元。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4、卖方不能按协议约定的数量、质量标准、型号规格履行协议的，买方有权选择退货、更换、酌情减少协议价款等方式进行处理且要求卖方支付10%的违约金。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5、对质量产生异议的，由双方协商解决，由卖方造成的，卖方将免费维修，买方不予支付费用。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八、其它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1、卖方必须向买方开具真实、合法、有效的增值税专用发票。因卖方开具的发票出现问题造成日后税收风险，由卖方承担全部责任，买方保留提起法律诉讼的权利。</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2、本协议与对应合同具有同等法律效力，经双方授权代表人或委托代理人签字后正式生效。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卖方单方面提出解除合同时，必须提前3个月告知买方，经买方同意后方可解除合同，以便于买方后续重新组织招标。无正当理由，解除或不履行协议的，支付本合同总价10％的违约金（洪水、火灾、地震等自然灾害或其它不可抗力影响协议不能履行或不能完全履行的情况除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4、协议在执行期间发生争议时，由买卖双方协商解决，协商无果可向嘉峪关市人民法院起诉。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5、本协议一式 </w:t>
      </w:r>
      <w:r>
        <w:rPr>
          <w:rFonts w:hint="eastAsia" w:asciiTheme="minorEastAsia" w:hAnsiTheme="minorEastAsia" w:eastAsiaTheme="minorEastAsia" w:cstheme="minorEastAsia"/>
          <w:b w:val="0"/>
          <w:bCs/>
          <w:sz w:val="24"/>
          <w:lang w:val="en-US" w:eastAsia="zh-CN"/>
        </w:rPr>
        <w:t>4</w:t>
      </w:r>
      <w:r>
        <w:rPr>
          <w:rFonts w:hint="eastAsia" w:asciiTheme="minorEastAsia" w:hAnsiTheme="minorEastAsia" w:eastAsiaTheme="minorEastAsia" w:cstheme="minorEastAsia"/>
          <w:b w:val="0"/>
          <w:bCs/>
          <w:sz w:val="24"/>
        </w:rPr>
        <w:t xml:space="preserve"> 份，买方执 </w:t>
      </w: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 xml:space="preserve"> 份，卖方执 </w:t>
      </w: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 xml:space="preserve"> 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6、本协议自签订之日起生效。</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bCs/>
          <w:sz w:val="24"/>
        </w:rPr>
        <w:t>7、本协议在执行过程中，若双方有修改和补充</w:t>
      </w:r>
      <w:r>
        <w:rPr>
          <w:rFonts w:hint="eastAsia" w:asciiTheme="minorEastAsia" w:hAnsiTheme="minorEastAsia" w:eastAsiaTheme="minorEastAsia" w:cstheme="minorEastAsia"/>
          <w:sz w:val="24"/>
        </w:rPr>
        <w:t>条款，可以签订补充协议。</w:t>
      </w:r>
    </w:p>
    <w:p>
      <w:pPr>
        <w:keepNext w:val="0"/>
        <w:keepLines w:val="0"/>
        <w:pageBreakBefore w:val="0"/>
        <w:widowControl w:val="0"/>
        <w:kinsoku/>
        <w:wordWrap/>
        <w:overflowPunct/>
        <w:topLinePunct w:val="0"/>
        <w:autoSpaceDE/>
        <w:autoSpaceDN/>
        <w:bidi w:val="0"/>
        <w:spacing w:line="240" w:lineRule="auto"/>
        <w:jc w:val="left"/>
        <w:textAlignment w:val="auto"/>
        <w:outlineLvl w:val="9"/>
        <w:rPr>
          <w:rFonts w:hint="eastAsia"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买方（章）：甘肃酒钢集团科力耐火材料股份有限公司</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买方授权代表或委托代理人：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签订时间： 202</w:t>
      </w:r>
      <w:r>
        <w:rPr>
          <w:rFonts w:hint="eastAsia" w:asciiTheme="minorEastAsia" w:hAnsiTheme="minorEastAsia" w:eastAsiaTheme="minorEastAsia" w:cstheme="minorEastAsia"/>
          <w:b w:val="0"/>
          <w:bCs/>
          <w:sz w:val="24"/>
          <w:lang w:val="en-US" w:eastAsia="zh-CN"/>
        </w:rPr>
        <w:t>2</w:t>
      </w:r>
      <w:r>
        <w:rPr>
          <w:rFonts w:hint="eastAsia" w:asciiTheme="minorEastAsia" w:hAnsiTheme="minorEastAsia" w:eastAsiaTheme="minorEastAsia" w:cstheme="minorEastAsia"/>
          <w:b w:val="0"/>
          <w:bCs/>
          <w:sz w:val="24"/>
        </w:rPr>
        <w:t>年    月     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rPr>
        <w:t>卖 方（章）：</w:t>
      </w:r>
      <w:r>
        <w:rPr>
          <w:rFonts w:hint="eastAsia" w:asciiTheme="minorEastAsia" w:hAnsiTheme="minorEastAsia" w:eastAsiaTheme="minorEastAsia" w:cstheme="minorEastAsia"/>
          <w:b w:val="0"/>
          <w:bCs/>
          <w:sz w:val="24"/>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卖方授权代表或委托代理人：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时间： 202</w:t>
      </w:r>
      <w:r>
        <w:rPr>
          <w:rFonts w:hint="eastAsia" w:asciiTheme="minorEastAsia" w:hAnsiTheme="minorEastAsia" w:eastAsiaTheme="minorEastAsia" w:cstheme="minorEastAsia"/>
          <w:b w:val="0"/>
          <w:bCs/>
          <w:sz w:val="24"/>
          <w:lang w:val="en-US" w:eastAsia="zh-CN"/>
        </w:rPr>
        <w:t>2</w:t>
      </w:r>
      <w:r>
        <w:rPr>
          <w:rFonts w:hint="eastAsia" w:asciiTheme="minorEastAsia" w:hAnsiTheme="minorEastAsia" w:eastAsiaTheme="minorEastAsia" w:cstheme="minorEastAsia"/>
          <w:b w:val="0"/>
          <w:bCs/>
          <w:sz w:val="24"/>
        </w:rPr>
        <w:t xml:space="preserve"> 年  </w:t>
      </w:r>
      <w:r>
        <w:rPr>
          <w:rFonts w:hint="eastAsia" w:asciiTheme="minorEastAsia" w:hAnsiTheme="minorEastAsia" w:eastAsiaTheme="minorEastAsia" w:cstheme="minorEastAsia"/>
          <w:b w:val="0"/>
          <w:bCs/>
          <w:sz w:val="24"/>
          <w:lang w:val="en-US" w:eastAsia="zh-CN"/>
        </w:rPr>
        <w:t xml:space="preserve">  </w:t>
      </w:r>
      <w:r>
        <w:rPr>
          <w:rFonts w:hint="eastAsia" w:asciiTheme="minorEastAsia" w:hAnsiTheme="minorEastAsia" w:eastAsiaTheme="minorEastAsia" w:cstheme="minorEastAsia"/>
          <w:b w:val="0"/>
          <w:bCs/>
          <w:sz w:val="24"/>
        </w:rPr>
        <w:t xml:space="preserve">月  </w:t>
      </w:r>
      <w:r>
        <w:rPr>
          <w:rFonts w:hint="eastAsia" w:asciiTheme="minorEastAsia" w:hAnsiTheme="minorEastAsia" w:eastAsiaTheme="minorEastAsia" w:cstheme="minorEastAsia"/>
          <w:b w:val="0"/>
          <w:bCs/>
          <w:sz w:val="24"/>
          <w:lang w:val="en-US" w:eastAsia="zh-CN"/>
        </w:rPr>
        <w:t xml:space="preserve">  </w:t>
      </w:r>
      <w:r>
        <w:rPr>
          <w:rFonts w:hint="eastAsia" w:asciiTheme="minorEastAsia" w:hAnsiTheme="minorEastAsia" w:eastAsiaTheme="minorEastAsia" w:cstheme="minorEastAsia"/>
          <w:b w:val="0"/>
          <w:bCs/>
          <w:sz w:val="24"/>
        </w:rPr>
        <w:t xml:space="preserve">  日</w:t>
      </w:r>
    </w:p>
    <w:p>
      <w:pPr>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266A1"/>
    <w:rsid w:val="070D08FE"/>
    <w:rsid w:val="0DD164A8"/>
    <w:rsid w:val="107A78D4"/>
    <w:rsid w:val="1F9835FC"/>
    <w:rsid w:val="20D11AFC"/>
    <w:rsid w:val="52D1662A"/>
    <w:rsid w:val="5BF26983"/>
    <w:rsid w:val="693F0146"/>
    <w:rsid w:val="6BE76D19"/>
    <w:rsid w:val="7A4B0425"/>
    <w:rsid w:val="7B72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2022-02-22T10:54:00Z</dcterms:created>
  <dc:creator>杨贵林</dc:creator>
  <cp:lastModifiedBy>飘如陌上尘</cp:lastModifiedBy>
  <dcterms:modified xsi:type="dcterms:W3CDTF">2022-03-10T02:56:18Z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