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ECF9BB">
      <w:pPr>
        <w:rPr>
          <w:rFonts w:hint="eastAsia"/>
        </w:rPr>
      </w:pPr>
    </w:p>
    <w:p w14:paraId="3ACFF4A2">
      <w:pPr>
        <w:spacing w:line="360" w:lineRule="auto"/>
        <w:jc w:val="center"/>
        <w:rPr>
          <w:rFonts w:hint="eastAsia" w:ascii="宋体" w:hAnsi="宋体"/>
          <w:b/>
          <w:bCs/>
          <w:sz w:val="48"/>
          <w:szCs w:val="48"/>
        </w:rPr>
      </w:pPr>
    </w:p>
    <w:p w14:paraId="3C9C6181">
      <w:pPr>
        <w:spacing w:line="360" w:lineRule="auto"/>
        <w:jc w:val="center"/>
        <w:rPr>
          <w:rFonts w:hint="eastAsia" w:ascii="宋体" w:hAnsi="宋体"/>
          <w:b/>
          <w:bCs/>
          <w:sz w:val="48"/>
          <w:szCs w:val="48"/>
        </w:rPr>
      </w:pPr>
    </w:p>
    <w:p w14:paraId="77FA373A">
      <w:pPr>
        <w:spacing w:line="360" w:lineRule="auto"/>
        <w:jc w:val="center"/>
        <w:rPr>
          <w:rFonts w:hint="eastAsia" w:ascii="宋体" w:hAnsi="宋体" w:eastAsia="宋体" w:cs="华文中宋"/>
          <w:b/>
          <w:bCs/>
          <w:sz w:val="36"/>
          <w:szCs w:val="36"/>
          <w:highlight w:val="none"/>
          <w:lang w:val="en-US" w:eastAsia="zh-CN"/>
        </w:rPr>
      </w:pPr>
      <w:r>
        <w:rPr>
          <w:rFonts w:hint="eastAsia" w:ascii="宋体" w:hAnsi="宋体" w:eastAsia="宋体" w:cs="华文中宋"/>
          <w:b/>
          <w:bCs/>
          <w:sz w:val="36"/>
          <w:szCs w:val="36"/>
          <w:highlight w:val="none"/>
          <w:lang w:val="en-US" w:eastAsia="zh-CN"/>
        </w:rPr>
        <w:t>炼铁厂脱硫灰及瓦斯灰密闭输送项目</w:t>
      </w:r>
    </w:p>
    <w:p w14:paraId="30BC0B36">
      <w:pPr>
        <w:spacing w:line="360" w:lineRule="auto"/>
        <w:jc w:val="center"/>
        <w:rPr>
          <w:rFonts w:hint="eastAsia" w:ascii="宋体" w:hAnsi="宋体" w:cs="华文中宋"/>
          <w:b/>
          <w:bCs/>
          <w:sz w:val="36"/>
          <w:szCs w:val="36"/>
        </w:rPr>
      </w:pPr>
      <w:r>
        <w:rPr>
          <w:rFonts w:hint="eastAsia" w:ascii="宋体" w:hAnsi="宋体" w:cs="华文中宋"/>
          <w:b/>
          <w:bCs/>
          <w:sz w:val="36"/>
          <w:szCs w:val="36"/>
          <w:lang w:val="en-US" w:eastAsia="zh-CN"/>
        </w:rPr>
        <w:t>安全验收评价技术规格书</w:t>
      </w:r>
    </w:p>
    <w:p w14:paraId="2F9298C0">
      <w:pPr>
        <w:spacing w:line="360" w:lineRule="auto"/>
        <w:rPr>
          <w:rFonts w:hint="eastAsia" w:ascii="宋体" w:hAnsi="宋体"/>
          <w:sz w:val="30"/>
        </w:rPr>
      </w:pPr>
    </w:p>
    <w:p w14:paraId="637EC5DA">
      <w:pPr>
        <w:spacing w:line="360" w:lineRule="auto"/>
        <w:rPr>
          <w:rFonts w:hint="eastAsia" w:ascii="宋体" w:hAnsi="宋体"/>
          <w:sz w:val="30"/>
        </w:rPr>
      </w:pPr>
    </w:p>
    <w:p w14:paraId="6B6850A4">
      <w:pPr>
        <w:spacing w:line="360" w:lineRule="auto"/>
        <w:rPr>
          <w:rFonts w:hint="eastAsia" w:ascii="宋体" w:hAnsi="宋体"/>
          <w:sz w:val="30"/>
        </w:rPr>
      </w:pPr>
    </w:p>
    <w:p w14:paraId="4AFF6FAD">
      <w:pPr>
        <w:spacing w:line="360" w:lineRule="auto"/>
        <w:rPr>
          <w:rFonts w:hint="eastAsia" w:ascii="宋体" w:hAnsi="宋体"/>
          <w:sz w:val="30"/>
        </w:rPr>
      </w:pPr>
    </w:p>
    <w:p w14:paraId="3BBD945B">
      <w:pPr>
        <w:pStyle w:val="9"/>
        <w:rPr>
          <w:rFonts w:hint="eastAsia" w:ascii="宋体" w:hAnsi="宋体"/>
          <w:sz w:val="30"/>
        </w:rPr>
      </w:pPr>
    </w:p>
    <w:p w14:paraId="0D6B5397">
      <w:pPr>
        <w:pStyle w:val="9"/>
        <w:rPr>
          <w:rFonts w:hint="eastAsia" w:ascii="宋体" w:hAnsi="宋体"/>
          <w:sz w:val="30"/>
        </w:rPr>
      </w:pPr>
    </w:p>
    <w:p w14:paraId="094BC666">
      <w:pPr>
        <w:spacing w:line="360" w:lineRule="auto"/>
        <w:rPr>
          <w:rFonts w:hint="eastAsia" w:ascii="宋体" w:hAnsi="宋体"/>
          <w:sz w:val="30"/>
        </w:rPr>
      </w:pPr>
    </w:p>
    <w:p w14:paraId="30C90D0A">
      <w:pPr>
        <w:pStyle w:val="16"/>
        <w:ind w:firstLine="560"/>
        <w:rPr>
          <w:rFonts w:hint="eastAsia"/>
        </w:rPr>
      </w:pPr>
    </w:p>
    <w:p w14:paraId="2845716F">
      <w:pPr>
        <w:pStyle w:val="16"/>
        <w:ind w:firstLine="560"/>
        <w:rPr>
          <w:rFonts w:hint="eastAsia"/>
        </w:rPr>
      </w:pPr>
    </w:p>
    <w:p w14:paraId="38D60498">
      <w:pPr>
        <w:spacing w:line="360" w:lineRule="auto"/>
        <w:rPr>
          <w:rFonts w:hint="eastAsia" w:ascii="宋体" w:hAnsi="宋体"/>
          <w:sz w:val="30"/>
        </w:rPr>
      </w:pPr>
    </w:p>
    <w:p w14:paraId="6C2EA314">
      <w:pPr>
        <w:pStyle w:val="9"/>
        <w:rPr>
          <w:rFonts w:hint="eastAsia" w:ascii="宋体" w:hAnsi="宋体"/>
          <w:sz w:val="30"/>
        </w:rPr>
      </w:pPr>
    </w:p>
    <w:p w14:paraId="168C928A">
      <w:pPr>
        <w:pStyle w:val="9"/>
        <w:rPr>
          <w:rFonts w:hint="eastAsia" w:ascii="宋体" w:hAnsi="宋体"/>
          <w:sz w:val="30"/>
        </w:rPr>
      </w:pPr>
    </w:p>
    <w:p w14:paraId="283F1257">
      <w:pPr>
        <w:pStyle w:val="9"/>
        <w:rPr>
          <w:rFonts w:hint="eastAsia" w:ascii="宋体" w:hAnsi="宋体"/>
          <w:sz w:val="30"/>
        </w:rPr>
      </w:pPr>
    </w:p>
    <w:p w14:paraId="106B9573">
      <w:pPr>
        <w:pStyle w:val="9"/>
        <w:rPr>
          <w:rFonts w:hint="eastAsia" w:ascii="宋体" w:hAnsi="宋体"/>
          <w:sz w:val="30"/>
        </w:rPr>
      </w:pPr>
    </w:p>
    <w:p w14:paraId="4FB5011D">
      <w:pPr>
        <w:pStyle w:val="9"/>
        <w:rPr>
          <w:rFonts w:hint="eastAsia" w:ascii="宋体" w:hAnsi="宋体"/>
          <w:sz w:val="30"/>
        </w:rPr>
      </w:pPr>
    </w:p>
    <w:p w14:paraId="401BC10F">
      <w:pPr>
        <w:pStyle w:val="9"/>
        <w:rPr>
          <w:rFonts w:hint="eastAsia" w:ascii="宋体" w:hAnsi="宋体"/>
          <w:sz w:val="30"/>
        </w:rPr>
      </w:pPr>
    </w:p>
    <w:p w14:paraId="1F9F4BC0">
      <w:pPr>
        <w:pStyle w:val="9"/>
        <w:rPr>
          <w:rFonts w:hint="eastAsia" w:ascii="宋体" w:hAnsi="宋体"/>
          <w:sz w:val="30"/>
        </w:rPr>
      </w:pPr>
    </w:p>
    <w:p w14:paraId="67854511">
      <w:pPr>
        <w:pStyle w:val="9"/>
        <w:rPr>
          <w:rFonts w:hint="eastAsia" w:ascii="宋体" w:hAnsi="宋体"/>
          <w:sz w:val="30"/>
        </w:rPr>
      </w:pPr>
    </w:p>
    <w:p w14:paraId="3F09A11D">
      <w:pPr>
        <w:spacing w:line="360" w:lineRule="auto"/>
        <w:ind w:left="2102" w:leftChars="284" w:hanging="1506" w:hangingChars="500"/>
        <w:jc w:val="center"/>
        <w:rPr>
          <w:rFonts w:hint="eastAsia" w:ascii="宋体" w:hAnsi="宋体" w:eastAsia="宋体"/>
          <w:b/>
          <w:bCs/>
          <w:sz w:val="30"/>
          <w:szCs w:val="36"/>
          <w:lang w:eastAsia="zh-CN"/>
        </w:rPr>
      </w:pPr>
      <w:r>
        <w:rPr>
          <w:rFonts w:hint="eastAsia" w:ascii="宋体" w:hAnsi="宋体"/>
          <w:b/>
          <w:bCs/>
          <w:sz w:val="30"/>
          <w:szCs w:val="36"/>
        </w:rPr>
        <w:t>项目名称：</w:t>
      </w:r>
      <w:r>
        <w:rPr>
          <w:rFonts w:hint="eastAsia" w:ascii="宋体" w:hAnsi="宋体" w:eastAsia="宋体" w:cs="Times New Roman"/>
          <w:b/>
          <w:bCs/>
          <w:sz w:val="30"/>
          <w:szCs w:val="36"/>
          <w:lang w:val="en-US" w:eastAsia="zh-CN"/>
        </w:rPr>
        <w:t>炼铁厂脱硫灰及瓦斯灰密闭输送项目</w:t>
      </w:r>
    </w:p>
    <w:p w14:paraId="6DD62C2A">
      <w:pPr>
        <w:pStyle w:val="16"/>
        <w:ind w:firstLine="560"/>
        <w:rPr>
          <w:rFonts w:hint="eastAsia"/>
        </w:rPr>
      </w:pPr>
    </w:p>
    <w:p w14:paraId="1E66B157">
      <w:pPr>
        <w:spacing w:line="360" w:lineRule="auto"/>
        <w:ind w:firstLine="602" w:firstLineChars="200"/>
        <w:rPr>
          <w:rFonts w:hint="eastAsia" w:ascii="宋体" w:hAnsi="宋体"/>
          <w:b/>
          <w:bCs/>
          <w:sz w:val="30"/>
          <w:szCs w:val="36"/>
        </w:rPr>
      </w:pPr>
    </w:p>
    <w:p w14:paraId="49345620">
      <w:pPr>
        <w:pStyle w:val="9"/>
        <w:rPr>
          <w:rFonts w:hint="eastAsia" w:ascii="宋体" w:hAnsi="宋体"/>
          <w:b/>
          <w:bCs/>
          <w:sz w:val="30"/>
          <w:szCs w:val="36"/>
        </w:rPr>
      </w:pPr>
    </w:p>
    <w:p w14:paraId="5A031D46">
      <w:pPr>
        <w:pStyle w:val="9"/>
        <w:rPr>
          <w:rFonts w:hint="eastAsia" w:ascii="宋体" w:hAnsi="宋体"/>
          <w:b/>
          <w:bCs/>
          <w:sz w:val="30"/>
          <w:szCs w:val="36"/>
        </w:rPr>
      </w:pPr>
    </w:p>
    <w:p w14:paraId="13A26792">
      <w:pPr>
        <w:numPr>
          <w:ilvl w:val="0"/>
          <w:numId w:val="0"/>
        </w:numPr>
        <w:adjustRightInd w:val="0"/>
        <w:snapToGrid w:val="0"/>
        <w:spacing w:line="360" w:lineRule="auto"/>
        <w:rPr>
          <w:rFonts w:hint="eastAsia" w:ascii="仿宋_GB2312" w:hAnsi="仿宋_GB2312" w:eastAsia="仿宋_GB2312" w:cs="仿宋_GB2312"/>
          <w:b/>
          <w:bCs/>
          <w:sz w:val="28"/>
          <w:szCs w:val="28"/>
        </w:rPr>
      </w:pPr>
    </w:p>
    <w:p w14:paraId="2F9E6DB3">
      <w:pPr>
        <w:pageBreakBefore w:val="0"/>
        <w:kinsoku/>
        <w:wordWrap/>
        <w:overflowPunct/>
        <w:topLinePunct w:val="0"/>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rPr>
        <w:t>内容及范围：</w:t>
      </w:r>
    </w:p>
    <w:p w14:paraId="58C297A3">
      <w:pPr>
        <w:pageBreakBefore w:val="0"/>
        <w:widowControl/>
        <w:kinsoku/>
        <w:wordWrap/>
        <w:overflowPunct/>
        <w:topLinePunct w:val="0"/>
        <w:bidi w:val="0"/>
        <w:spacing w:line="560" w:lineRule="exact"/>
        <w:ind w:firstLine="560" w:firstLineChars="200"/>
        <w:jc w:val="left"/>
        <w:textAlignment w:val="auto"/>
        <w:rPr>
          <w:rFonts w:hint="eastAsia" w:ascii="仿宋_GB2312" w:hAnsi="宋体" w:eastAsia="仿宋_GB2312" w:cs="Times New Roman"/>
          <w:kern w:val="28"/>
          <w:sz w:val="28"/>
          <w:szCs w:val="28"/>
          <w:lang w:val="en-US" w:eastAsia="zh-CN" w:bidi="ar-SA"/>
        </w:rPr>
      </w:pPr>
      <w:r>
        <w:rPr>
          <w:rFonts w:hint="eastAsia" w:ascii="宋体" w:hAnsi="宋体" w:eastAsia="仿宋_GB2312" w:cs="宋体"/>
          <w:color w:val="000000"/>
          <w:kern w:val="0"/>
          <w:sz w:val="28"/>
          <w:szCs w:val="21"/>
          <w:lang w:eastAsia="zh-CN"/>
        </w:rPr>
        <w:t>项目</w:t>
      </w:r>
      <w:r>
        <w:rPr>
          <w:rFonts w:hint="eastAsia" w:ascii="仿宋_GB2312" w:hAnsi="宋体" w:eastAsia="仿宋_GB2312" w:cs="Times New Roman"/>
          <w:kern w:val="28"/>
          <w:sz w:val="28"/>
          <w:szCs w:val="28"/>
          <w:lang w:val="en-US" w:eastAsia="zh-CN" w:bidi="ar-SA"/>
        </w:rPr>
        <w:t>内容：炼铁厂脱硫灰及瓦斯灰密闭输送项目的安全验收评价报告编制。</w:t>
      </w:r>
    </w:p>
    <w:p w14:paraId="72A87A69">
      <w:pPr>
        <w:pageBreakBefore w:val="0"/>
        <w:widowControl/>
        <w:kinsoku/>
        <w:wordWrap/>
        <w:overflowPunct/>
        <w:topLinePunct w:val="0"/>
        <w:bidi w:val="0"/>
        <w:spacing w:line="560" w:lineRule="exact"/>
        <w:ind w:firstLine="560" w:firstLineChars="200"/>
        <w:jc w:val="left"/>
        <w:textAlignment w:val="auto"/>
        <w:rPr>
          <w:rFonts w:hint="eastAsia" w:ascii="仿宋_GB2312" w:hAnsi="宋体" w:eastAsia="仿宋_GB2312" w:cs="Times New Roman"/>
          <w:kern w:val="28"/>
          <w:sz w:val="28"/>
          <w:szCs w:val="28"/>
          <w:lang w:val="en-US" w:eastAsia="zh-CN" w:bidi="ar-SA"/>
        </w:rPr>
      </w:pPr>
      <w:r>
        <w:rPr>
          <w:rFonts w:hint="eastAsia" w:ascii="仿宋_GB2312" w:hAnsi="宋体" w:eastAsia="仿宋_GB2312" w:cs="Times New Roman"/>
          <w:kern w:val="28"/>
          <w:sz w:val="28"/>
          <w:szCs w:val="28"/>
          <w:lang w:val="en-US" w:eastAsia="zh-CN" w:bidi="ar-SA"/>
        </w:rPr>
        <w:t>范围：</w:t>
      </w:r>
    </w:p>
    <w:p w14:paraId="43F11FE1">
      <w:pPr>
        <w:pageBreakBefore w:val="0"/>
        <w:widowControl/>
        <w:kinsoku/>
        <w:wordWrap/>
        <w:overflowPunct/>
        <w:topLinePunct w:val="0"/>
        <w:bidi w:val="0"/>
        <w:spacing w:line="560" w:lineRule="exact"/>
        <w:ind w:firstLine="560" w:firstLineChars="200"/>
        <w:jc w:val="left"/>
        <w:textAlignment w:val="auto"/>
        <w:rPr>
          <w:rFonts w:hint="eastAsia" w:ascii="宋体" w:hAnsi="宋体" w:eastAsia="仿宋_GB2312" w:cs="宋体"/>
          <w:color w:val="000000"/>
          <w:kern w:val="0"/>
          <w:sz w:val="28"/>
          <w:szCs w:val="21"/>
          <w:lang w:eastAsia="zh-CN"/>
        </w:rPr>
      </w:pPr>
      <w:r>
        <w:rPr>
          <w:rFonts w:hint="eastAsia" w:ascii="仿宋_GB2312" w:hAnsi="宋体" w:eastAsia="仿宋_GB2312" w:cs="Times New Roman"/>
          <w:kern w:val="28"/>
          <w:sz w:val="28"/>
          <w:szCs w:val="28"/>
          <w:lang w:val="en-US" w:eastAsia="zh-CN" w:bidi="ar-SA"/>
        </w:rPr>
        <w:t>1.核实炼铁厂脱硫灰及瓦斯灰密闭输送项目及其公用辅</w:t>
      </w:r>
      <w:r>
        <w:rPr>
          <w:rFonts w:hint="eastAsia" w:ascii="宋体" w:hAnsi="宋体" w:eastAsia="仿宋_GB2312" w:cs="宋体"/>
          <w:color w:val="000000"/>
          <w:kern w:val="0"/>
          <w:sz w:val="28"/>
          <w:szCs w:val="21"/>
          <w:lang w:eastAsia="zh-CN"/>
        </w:rPr>
        <w:t>助设施的安全性。</w:t>
      </w:r>
    </w:p>
    <w:p w14:paraId="288B4691">
      <w:pPr>
        <w:pageBreakBefore w:val="0"/>
        <w:kinsoku/>
        <w:wordWrap/>
        <w:overflowPunct/>
        <w:topLinePunct w:val="0"/>
        <w:autoSpaceDE w:val="0"/>
        <w:autoSpaceDN w:val="0"/>
        <w:bidi w:val="0"/>
        <w:adjustRightInd w:val="0"/>
        <w:spacing w:line="560" w:lineRule="exact"/>
        <w:ind w:firstLine="548" w:firstLineChars="196"/>
        <w:jc w:val="left"/>
        <w:textAlignment w:val="auto"/>
        <w:rPr>
          <w:rFonts w:hint="eastAsia" w:ascii="仿宋_GB2312" w:hAnsi="宋体" w:eastAsia="仿宋_GB2312" w:cs="Times New Roman"/>
          <w:kern w:val="28"/>
          <w:sz w:val="28"/>
          <w:szCs w:val="28"/>
          <w:lang w:val="en-US" w:eastAsia="zh-CN" w:bidi="ar-SA"/>
        </w:rPr>
      </w:pPr>
      <w:r>
        <w:rPr>
          <w:rFonts w:hint="eastAsia" w:ascii="仿宋_GB2312" w:hAnsi="宋体" w:eastAsia="仿宋_GB2312" w:cs="Times New Roman"/>
          <w:kern w:val="28"/>
          <w:sz w:val="28"/>
          <w:szCs w:val="28"/>
          <w:lang w:val="en-US" w:eastAsia="zh-CN" w:bidi="ar-SA"/>
        </w:rPr>
        <w:t>2.项目主体完工后，检查安全设施“三同时”执行情况，审查确定项目满足安全生产法律法规、标准、规范要求的符合性，并出具验收报告。</w:t>
      </w:r>
    </w:p>
    <w:p w14:paraId="0B26DE6C">
      <w:pPr>
        <w:pageBreakBefore w:val="0"/>
        <w:kinsoku/>
        <w:wordWrap/>
        <w:overflowPunct/>
        <w:topLinePunct w:val="0"/>
        <w:autoSpaceDE w:val="0"/>
        <w:autoSpaceDN w:val="0"/>
        <w:bidi w:val="0"/>
        <w:adjustRightInd w:val="0"/>
        <w:spacing w:line="560" w:lineRule="exact"/>
        <w:ind w:firstLine="548" w:firstLineChars="196"/>
        <w:jc w:val="left"/>
        <w:textAlignment w:val="auto"/>
        <w:rPr>
          <w:rFonts w:hint="default" w:ascii="仿宋_GB2312" w:hAnsi="宋体" w:eastAsia="仿宋_GB2312" w:cs="Times New Roman"/>
          <w:kern w:val="28"/>
          <w:sz w:val="28"/>
          <w:szCs w:val="28"/>
          <w:lang w:val="en-US" w:eastAsia="zh-CN" w:bidi="ar-SA"/>
        </w:rPr>
      </w:pPr>
      <w:r>
        <w:rPr>
          <w:rFonts w:hint="eastAsia" w:ascii="仿宋_GB2312" w:hAnsi="宋体" w:eastAsia="仿宋_GB2312" w:cs="Times New Roman"/>
          <w:kern w:val="28"/>
          <w:sz w:val="28"/>
          <w:szCs w:val="28"/>
          <w:lang w:val="en-US" w:eastAsia="zh-CN" w:bidi="ar-SA"/>
        </w:rPr>
        <w:t>3.配合主管部门开展安全验收评价报告技术审查并进行现场验收。</w:t>
      </w:r>
    </w:p>
    <w:p w14:paraId="5C0BC855">
      <w:pPr>
        <w:pageBreakBefore w:val="0"/>
        <w:kinsoku/>
        <w:wordWrap/>
        <w:overflowPunct/>
        <w:topLinePunct w:val="0"/>
        <w:bidi w:val="0"/>
        <w:spacing w:line="560" w:lineRule="exact"/>
        <w:ind w:firstLine="560" w:firstLineChars="200"/>
        <w:textAlignment w:val="auto"/>
        <w:rPr>
          <w:rFonts w:hint="eastAsia" w:ascii="宋体" w:hAnsi="宋体" w:eastAsia="仿宋_GB2312" w:cs="宋体"/>
          <w:color w:val="000000"/>
          <w:kern w:val="0"/>
          <w:sz w:val="28"/>
          <w:szCs w:val="21"/>
        </w:rPr>
      </w:pPr>
      <w:r>
        <w:rPr>
          <w:rFonts w:hint="eastAsia" w:ascii="仿宋_GB2312" w:hAnsi="仿宋_GB2312" w:eastAsia="仿宋_GB2312" w:cs="仿宋_GB2312"/>
          <w:color w:val="000000"/>
          <w:kern w:val="0"/>
          <w:sz w:val="28"/>
          <w:szCs w:val="21"/>
          <w:lang w:val="en-US" w:eastAsia="zh-CN"/>
        </w:rPr>
        <w:t>4</w:t>
      </w:r>
      <w:r>
        <w:rPr>
          <w:rFonts w:hint="eastAsia" w:ascii="仿宋_GB2312" w:hAnsi="仿宋_GB2312" w:eastAsia="仿宋_GB2312" w:cs="仿宋_GB2312"/>
          <w:color w:val="000000"/>
          <w:kern w:val="0"/>
          <w:sz w:val="28"/>
          <w:szCs w:val="21"/>
        </w:rPr>
        <w:t>.</w:t>
      </w:r>
      <w:r>
        <w:rPr>
          <w:rFonts w:hint="eastAsia" w:ascii="仿宋_GB2312" w:hAnsi="仿宋_GB2312" w:eastAsia="仿宋_GB2312" w:cs="仿宋_GB2312"/>
          <w:color w:val="000000"/>
          <w:kern w:val="0"/>
          <w:sz w:val="28"/>
          <w:szCs w:val="21"/>
          <w:lang w:eastAsia="zh-CN"/>
        </w:rPr>
        <w:t>乙方所</w:t>
      </w:r>
      <w:r>
        <w:rPr>
          <w:rFonts w:hint="eastAsia" w:ascii="仿宋_GB2312" w:hAnsi="仿宋_GB2312" w:eastAsia="仿宋_GB2312" w:cs="仿宋_GB2312"/>
          <w:color w:val="000000"/>
          <w:kern w:val="0"/>
          <w:sz w:val="28"/>
          <w:szCs w:val="21"/>
        </w:rPr>
        <w:t>编制的</w:t>
      </w:r>
      <w:r>
        <w:rPr>
          <w:rFonts w:hint="eastAsia" w:ascii="仿宋_GB2312" w:hAnsi="仿宋_GB2312" w:eastAsia="仿宋_GB2312" w:cs="仿宋_GB2312"/>
          <w:color w:val="000000"/>
          <w:kern w:val="0"/>
          <w:sz w:val="28"/>
          <w:szCs w:val="21"/>
          <w:lang w:eastAsia="zh-CN"/>
        </w:rPr>
        <w:t>《</w:t>
      </w:r>
      <w:r>
        <w:rPr>
          <w:rFonts w:hint="eastAsia" w:ascii="仿宋_GB2312" w:hAnsi="仿宋_GB2312" w:eastAsia="仿宋_GB2312" w:cs="仿宋_GB2312"/>
          <w:sz w:val="28"/>
          <w:szCs w:val="21"/>
          <w:lang w:val="en-US" w:eastAsia="zh-CN"/>
        </w:rPr>
        <w:t>安全验收评价</w:t>
      </w:r>
      <w:r>
        <w:rPr>
          <w:rFonts w:hint="eastAsia" w:ascii="仿宋_GB2312" w:hAnsi="仿宋_GB2312" w:eastAsia="仿宋_GB2312" w:cs="仿宋_GB2312"/>
          <w:color w:val="000000"/>
          <w:kern w:val="0"/>
          <w:sz w:val="28"/>
          <w:szCs w:val="21"/>
        </w:rPr>
        <w:t>报告</w:t>
      </w:r>
      <w:r>
        <w:rPr>
          <w:rFonts w:hint="eastAsia" w:ascii="仿宋_GB2312" w:hAnsi="仿宋_GB2312" w:eastAsia="仿宋_GB2312" w:cs="仿宋_GB2312"/>
          <w:color w:val="000000"/>
          <w:kern w:val="0"/>
          <w:sz w:val="28"/>
          <w:szCs w:val="21"/>
          <w:lang w:eastAsia="zh-CN"/>
        </w:rPr>
        <w:t>》</w:t>
      </w:r>
      <w:r>
        <w:rPr>
          <w:rFonts w:hint="eastAsia" w:ascii="仿宋_GB2312" w:hAnsi="仿宋_GB2312" w:eastAsia="仿宋_GB2312" w:cs="仿宋_GB2312"/>
          <w:color w:val="000000"/>
          <w:kern w:val="0"/>
          <w:sz w:val="28"/>
          <w:szCs w:val="21"/>
          <w:lang w:val="en-US" w:eastAsia="zh-CN"/>
        </w:rPr>
        <w:t>需</w:t>
      </w:r>
      <w:r>
        <w:rPr>
          <w:rFonts w:hint="eastAsia" w:ascii="仿宋_GB2312" w:hAnsi="仿宋_GB2312" w:eastAsia="仿宋_GB2312" w:cs="仿宋_GB2312"/>
          <w:color w:val="000000"/>
          <w:kern w:val="0"/>
          <w:sz w:val="28"/>
          <w:szCs w:val="21"/>
        </w:rPr>
        <w:t>符合建设项目</w:t>
      </w:r>
      <w:r>
        <w:rPr>
          <w:rFonts w:hint="eastAsia" w:ascii="仿宋_GB2312" w:hAnsi="仿宋_GB2312" w:eastAsia="仿宋_GB2312" w:cs="仿宋_GB2312"/>
          <w:sz w:val="28"/>
          <w:szCs w:val="21"/>
          <w:lang w:val="en-US" w:eastAsia="zh-CN"/>
        </w:rPr>
        <w:t>安全验收评价报告</w:t>
      </w:r>
      <w:r>
        <w:rPr>
          <w:rFonts w:hint="eastAsia" w:ascii="仿宋_GB2312" w:hAnsi="仿宋_GB2312" w:eastAsia="仿宋_GB2312" w:cs="仿宋_GB2312"/>
          <w:color w:val="000000"/>
          <w:kern w:val="0"/>
          <w:sz w:val="28"/>
          <w:szCs w:val="21"/>
        </w:rPr>
        <w:t>的编制规范，满足国家及行业现行相关法律、法规、条例、规章、标准和规范的要求，确保成果资料完整、真实准确、清晰有据</w:t>
      </w:r>
      <w:r>
        <w:rPr>
          <w:rFonts w:hint="eastAsia" w:ascii="仿宋_GB2312" w:hAnsi="仿宋_GB2312" w:eastAsia="仿宋_GB2312" w:cs="仿宋_GB2312"/>
          <w:color w:val="000000"/>
          <w:kern w:val="0"/>
          <w:sz w:val="28"/>
          <w:szCs w:val="21"/>
          <w:lang w:eastAsia="zh-CN"/>
        </w:rPr>
        <w:t>，《</w:t>
      </w:r>
      <w:r>
        <w:rPr>
          <w:rFonts w:hint="eastAsia" w:ascii="仿宋_GB2312" w:hAnsi="仿宋_GB2312" w:eastAsia="仿宋_GB2312" w:cs="仿宋_GB2312"/>
          <w:sz w:val="28"/>
          <w:szCs w:val="21"/>
          <w:lang w:val="en-US" w:eastAsia="zh-CN"/>
        </w:rPr>
        <w:t>安全验收评价</w:t>
      </w:r>
      <w:r>
        <w:rPr>
          <w:rFonts w:hint="eastAsia" w:ascii="仿宋_GB2312" w:hAnsi="仿宋_GB2312" w:eastAsia="仿宋_GB2312" w:cs="仿宋_GB2312"/>
          <w:color w:val="000000"/>
          <w:kern w:val="0"/>
          <w:sz w:val="28"/>
          <w:szCs w:val="21"/>
        </w:rPr>
        <w:t>报告</w:t>
      </w:r>
      <w:r>
        <w:rPr>
          <w:rFonts w:hint="eastAsia" w:ascii="仿宋_GB2312" w:hAnsi="仿宋_GB2312" w:eastAsia="仿宋_GB2312" w:cs="仿宋_GB2312"/>
          <w:color w:val="000000"/>
          <w:kern w:val="0"/>
          <w:sz w:val="28"/>
          <w:szCs w:val="21"/>
          <w:lang w:eastAsia="zh-CN"/>
        </w:rPr>
        <w:t>》</w:t>
      </w:r>
      <w:r>
        <w:rPr>
          <w:rFonts w:hint="eastAsia" w:ascii="仿宋_GB2312" w:hAnsi="仿宋_GB2312" w:eastAsia="仿宋_GB2312" w:cs="仿宋_GB2312"/>
          <w:color w:val="000000"/>
          <w:kern w:val="0"/>
          <w:sz w:val="28"/>
          <w:szCs w:val="21"/>
          <w:lang w:val="en-US" w:eastAsia="zh-CN"/>
        </w:rPr>
        <w:t>需在2026年7月25日前</w:t>
      </w:r>
      <w:r>
        <w:rPr>
          <w:rFonts w:hint="eastAsia" w:ascii="仿宋_GB2312" w:hAnsi="仿宋_GB2312" w:eastAsia="仿宋_GB2312" w:cs="仿宋_GB2312"/>
          <w:color w:val="000000"/>
          <w:kern w:val="0"/>
          <w:sz w:val="28"/>
          <w:szCs w:val="21"/>
          <w:lang w:eastAsia="zh-CN"/>
        </w:rPr>
        <w:t>通过</w:t>
      </w:r>
      <w:r>
        <w:rPr>
          <w:rFonts w:hint="eastAsia" w:ascii="仿宋_GB2312" w:hAnsi="仿宋_GB2312" w:eastAsia="仿宋_GB2312" w:cs="仿宋_GB2312"/>
          <w:color w:val="000000"/>
          <w:kern w:val="0"/>
          <w:sz w:val="28"/>
          <w:szCs w:val="21"/>
          <w:lang w:val="en-US" w:eastAsia="zh-CN"/>
        </w:rPr>
        <w:t>专家评审及政府主管部门的审查批复</w:t>
      </w:r>
      <w:r>
        <w:rPr>
          <w:rFonts w:hint="eastAsia" w:ascii="仿宋_GB2312" w:hAnsi="仿宋_GB2312" w:eastAsia="仿宋_GB2312" w:cs="仿宋_GB2312"/>
          <w:color w:val="000000"/>
          <w:kern w:val="0"/>
          <w:sz w:val="28"/>
          <w:szCs w:val="21"/>
          <w:lang w:eastAsia="zh-CN"/>
        </w:rPr>
        <w:t>。</w:t>
      </w:r>
    </w:p>
    <w:p w14:paraId="597D9878">
      <w:pPr>
        <w:pageBreakBefore w:val="0"/>
        <w:kinsoku/>
        <w:wordWrap/>
        <w:overflowPunct/>
        <w:topLinePunct w:val="0"/>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、质量标准或验收标准</w:t>
      </w:r>
    </w:p>
    <w:p w14:paraId="5EB7BF9D">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（一）标准规范</w:t>
      </w:r>
    </w:p>
    <w:p w14:paraId="1CF33BAB">
      <w:pPr>
        <w:pStyle w:val="3"/>
        <w:pageBreakBefore w:val="0"/>
        <w:tabs>
          <w:tab w:val="left" w:pos="5237"/>
        </w:tabs>
        <w:kinsoku/>
        <w:wordWrap/>
        <w:overflowPunct/>
        <w:topLinePunct w:val="0"/>
        <w:bidi w:val="0"/>
        <w:spacing w:before="120" w:beforeLines="50" w:after="120" w:afterLines="50" w:line="560" w:lineRule="exact"/>
        <w:ind w:firstLine="482"/>
        <w:textAlignment w:val="auto"/>
        <w:rPr>
          <w:rFonts w:hint="eastAsia" w:eastAsia="仿宋_GB2312"/>
          <w:sz w:val="28"/>
          <w:szCs w:val="24"/>
          <w:lang w:val="en-US"/>
        </w:rPr>
      </w:pPr>
      <w:bookmarkStart w:id="0" w:name="_Toc14562_WPSOffice_Level2"/>
      <w:bookmarkStart w:id="1" w:name="_Toc7639_WPSOffice_Level2"/>
      <w:r>
        <w:rPr>
          <w:rFonts w:hint="eastAsia" w:eastAsia="仿宋_GB2312"/>
          <w:sz w:val="28"/>
          <w:szCs w:val="24"/>
          <w:lang w:val="en-US"/>
        </w:rPr>
        <w:t>至少符合但不限于以下最新版的国家标准:</w:t>
      </w:r>
      <w:bookmarkEnd w:id="0"/>
      <w:bookmarkEnd w:id="1"/>
    </w:p>
    <w:p w14:paraId="030ED9BC">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bookmarkStart w:id="2" w:name="_Toc22320"/>
      <w:r>
        <w:rPr>
          <w:rFonts w:hint="eastAsia" w:ascii="仿宋_GB2312" w:hAnsi="仿宋_GB2312" w:eastAsia="仿宋_GB2312" w:cs="仿宋_GB2312"/>
          <w:sz w:val="28"/>
          <w:szCs w:val="28"/>
        </w:rPr>
        <w:t>1.国家法律法规</w:t>
      </w:r>
      <w:bookmarkEnd w:id="2"/>
    </w:p>
    <w:p w14:paraId="54B12265">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1）《中华人民共和国安全生产法》（国家主席令[2014]第13号）；</w:t>
      </w:r>
    </w:p>
    <w:p w14:paraId="4D34C6BE">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2）《中华人民共和国消防法》（国家主席令[2008]第6号，2019年修订）；</w:t>
      </w:r>
    </w:p>
    <w:p w14:paraId="2DF599F3">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3）《中华人民共和国劳动法》（国家主席令[1994]第28号，2018年修订）；</w:t>
      </w:r>
    </w:p>
    <w:p w14:paraId="5301B890">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4）《中华人民共和国防洪法》（国家主席令[1997]第88号，2016年修订）；</w:t>
      </w:r>
    </w:p>
    <w:p w14:paraId="110DC019">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5）《中华人民共和国突发事件应对法》（国家主席令[2007]第69号）；</w:t>
      </w:r>
    </w:p>
    <w:p w14:paraId="7F3DA3C9">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6）《中华人民共和国防震减灾法》（国家主席令[2008]第7号）；</w:t>
      </w:r>
    </w:p>
    <w:p w14:paraId="234E1E33">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7）《中华人民共和国职业病防治法》（国家主席令[2011]第52号，2018年修订）；</w:t>
      </w:r>
    </w:p>
    <w:p w14:paraId="7F927D61">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8）《中华人民共和国特种设备安全法》（国家主席令[2013]第4号）；</w:t>
      </w:r>
    </w:p>
    <w:p w14:paraId="0316E8E3">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9）《中华人民共和国环境保护法》（国家主席令[1989]第22号，2014年修订）；</w:t>
      </w:r>
    </w:p>
    <w:p w14:paraId="0553BD8A">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10）《中华人民共和国气象法》（国家主席令[2000]第23号，2016年修订）。</w:t>
      </w:r>
    </w:p>
    <w:p w14:paraId="4B0A9DC8">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2.地方性法规、文件</w:t>
      </w:r>
    </w:p>
    <w:p w14:paraId="3859A829">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1）《甘肃省安全生产条例》（甘肃省人民代表大会常务委员会公告第39号）；</w:t>
      </w:r>
    </w:p>
    <w:p w14:paraId="2DB65E70">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2）《甘肃省防震减灾条例》（甘肃省人民代表大会常务委员会公告第46号）；</w:t>
      </w:r>
    </w:p>
    <w:p w14:paraId="3F6014F4">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3）《甘肃省消防条例》（甘肃省人民代表大会常务委员会公告第27号）；</w:t>
      </w:r>
    </w:p>
    <w:p w14:paraId="5A46D11B">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4）《甘肃省气象灾害防御条例》（甘肃省人民代表大会常务委员会公告第3号）；</w:t>
      </w:r>
    </w:p>
    <w:p w14:paraId="718856BF">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5）《甘肃省生产经营单位安全生产主体责任规定》（甘肃省人民政府令第133号）；</w:t>
      </w:r>
    </w:p>
    <w:p w14:paraId="71BBCF95">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6）《甘肃省生产安全事故隐患排查治理办法》（甘肃省人民政府令第127号）。</w:t>
      </w:r>
    </w:p>
    <w:p w14:paraId="3A53977A">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bookmarkStart w:id="3" w:name="_Toc419"/>
      <w:r>
        <w:rPr>
          <w:rFonts w:hint="eastAsia" w:ascii="仿宋_GB2312" w:hAnsi="仿宋_GB2312" w:eastAsia="仿宋_GB2312" w:cs="仿宋_GB2312"/>
          <w:sz w:val="28"/>
          <w:szCs w:val="28"/>
        </w:rPr>
        <w:t>3.评价技术规范和标准</w:t>
      </w:r>
      <w:bookmarkEnd w:id="3"/>
    </w:p>
    <w:p w14:paraId="27FC31C6">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1）《生产安全事故应急演练指南》（AQ/T9007-2011）；</w:t>
      </w:r>
    </w:p>
    <w:p w14:paraId="777599AB">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《生产安全事故信息报告和处置办法》（国家安全生产监督总局令【2009】第21号）；</w:t>
      </w:r>
    </w:p>
    <w:p w14:paraId="510A3FEA">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《建设项目安全设施“三同时”监督管理办法》（国家安全生产监督总局令【2010】第36号，国家安全生产监督总局令【2015】第77号修改）；</w:t>
      </w:r>
    </w:p>
    <w:p w14:paraId="236FDF3C">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《安全</w:t>
      </w:r>
      <w:r>
        <w:rPr>
          <w:rFonts w:hint="eastAsia" w:ascii="仿宋_GB2312" w:hAnsi="仿宋_GB2312" w:eastAsia="仿宋_GB2312" w:cs="仿宋_GB2312"/>
          <w:sz w:val="28"/>
          <w:szCs w:val="28"/>
          <w:lang w:val="en-US" w:eastAsia="zh-CN"/>
        </w:rPr>
        <w:t>预评价</w:t>
      </w:r>
      <w:r>
        <w:rPr>
          <w:rFonts w:hint="eastAsia" w:ascii="仿宋_GB2312" w:hAnsi="仿宋_GB2312" w:eastAsia="仿宋_GB2312" w:cs="仿宋_GB2312"/>
          <w:sz w:val="28"/>
          <w:szCs w:val="28"/>
        </w:rPr>
        <w:t>导则》（AQ8002-2007）；</w:t>
      </w:r>
    </w:p>
    <w:p w14:paraId="5805B659">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《安全验收评价导则》（AQ8003-2007）</w:t>
      </w:r>
    </w:p>
    <w:p w14:paraId="21FE8F02">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安全验收评价</w:t>
      </w:r>
      <w:r>
        <w:rPr>
          <w:rFonts w:hint="eastAsia" w:ascii="仿宋_GB2312" w:hAnsi="仿宋_GB2312" w:eastAsia="仿宋_GB2312" w:cs="仿宋_GB2312"/>
          <w:sz w:val="28"/>
          <w:szCs w:val="28"/>
        </w:rPr>
        <w:t>通则》（AQ8001-2007）；</w:t>
      </w:r>
    </w:p>
    <w:p w14:paraId="3EDD94C8">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（二）其他技术要求</w:t>
      </w:r>
    </w:p>
    <w:p w14:paraId="44E54901">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本技术协议与合同具有同等法律效力。合同执行期间双方再协商形成的补充协议和追加条款也具有同等法律效力。</w:t>
      </w:r>
    </w:p>
    <w:p w14:paraId="4834D1D2">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1.本技术协议所提出的是最低标准的技术要求，并未对一切技术细节做出规定，也未充分引述有关标准和规范的条文，乙方应保证提供符合有关标准和技术文件的成果。</w:t>
      </w:r>
    </w:p>
    <w:p w14:paraId="1956D681">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.乙方完成编制初稿后应按甲方提出的审查意见和修改意见无偿进行修改。对编制成果出现的遗漏或错误负责无偿修改或补充。</w:t>
      </w:r>
    </w:p>
    <w:p w14:paraId="30DE635F">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.交付编制成果后，按规定参与专家审查，并根据审查结论做必要的解释说明和调整补充，由于乙方提供的成果资料质量不合格，乙方应负责无偿给予补充完善使其达到质量合格。</w:t>
      </w:r>
    </w:p>
    <w:p w14:paraId="2E021BE4">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依据</w:t>
      </w:r>
      <w:r>
        <w:rPr>
          <w:rFonts w:hint="eastAsia" w:ascii="仿宋_GB2312" w:hAnsi="仿宋_GB2312" w:eastAsia="仿宋_GB2312" w:cs="仿宋_GB2312"/>
          <w:sz w:val="28"/>
        </w:rPr>
        <w:t>国家有关</w:t>
      </w:r>
      <w:r>
        <w:rPr>
          <w:rFonts w:hint="eastAsia" w:ascii="仿宋_GB2312" w:hAnsi="仿宋_GB2312" w:eastAsia="仿宋_GB2312" w:cs="仿宋_GB2312"/>
          <w:sz w:val="28"/>
          <w:lang w:eastAsia="zh-CN"/>
        </w:rPr>
        <w:t>安全验收评价</w:t>
      </w:r>
      <w:r>
        <w:rPr>
          <w:rFonts w:hint="eastAsia" w:ascii="仿宋_GB2312" w:hAnsi="仿宋_GB2312" w:eastAsia="仿宋_GB2312" w:cs="仿宋_GB2312"/>
          <w:sz w:val="28"/>
        </w:rPr>
        <w:t>的法律法规</w:t>
      </w:r>
      <w:r>
        <w:rPr>
          <w:rFonts w:hint="eastAsia" w:ascii="仿宋_GB2312" w:hAnsi="仿宋_GB2312" w:eastAsia="仿宋_GB2312" w:cs="仿宋_GB2312"/>
          <w:sz w:val="28"/>
          <w:lang w:eastAsia="zh-CN"/>
        </w:rPr>
        <w:t>，及</w:t>
      </w:r>
      <w:r>
        <w:rPr>
          <w:rFonts w:hint="eastAsia" w:ascii="仿宋_GB2312" w:hAnsi="仿宋_GB2312" w:eastAsia="仿宋_GB2312" w:cs="仿宋_GB2312"/>
          <w:bCs/>
          <w:sz w:val="28"/>
          <w:szCs w:val="28"/>
        </w:rPr>
        <w:t>合同</w:t>
      </w:r>
      <w:r>
        <w:rPr>
          <w:rFonts w:hint="eastAsia" w:ascii="仿宋_GB2312" w:hAnsi="仿宋_GB2312" w:eastAsia="仿宋_GB2312" w:cs="仿宋_GB2312"/>
          <w:bCs/>
          <w:sz w:val="28"/>
          <w:szCs w:val="28"/>
          <w:lang w:eastAsia="zh-CN"/>
        </w:rPr>
        <w:t>约定</w:t>
      </w:r>
      <w:r>
        <w:rPr>
          <w:rFonts w:hint="eastAsia" w:ascii="仿宋_GB2312" w:hAnsi="仿宋_GB2312" w:eastAsia="仿宋_GB2312" w:cs="仿宋_GB2312"/>
          <w:bCs/>
          <w:sz w:val="28"/>
          <w:szCs w:val="28"/>
        </w:rPr>
        <w:t>的期限完成</w:t>
      </w:r>
      <w:r>
        <w:rPr>
          <w:rFonts w:hint="eastAsia" w:ascii="宋体" w:hAnsi="宋体" w:eastAsia="仿宋_GB2312" w:cs="Arial"/>
          <w:sz w:val="28"/>
          <w:szCs w:val="21"/>
          <w:lang w:val="en-US" w:eastAsia="zh-CN"/>
        </w:rPr>
        <w:t>安全验收评价的全部工作。</w:t>
      </w:r>
    </w:p>
    <w:p w14:paraId="4C6DCB1B">
      <w:pPr>
        <w:pageBreakBefore w:val="0"/>
        <w:kinsoku/>
        <w:wordWrap/>
        <w:overflowPunct/>
        <w:topLinePunct w:val="0"/>
        <w:bidi w:val="0"/>
        <w:adjustRightInd w:val="0"/>
        <w:snapToGrid w:val="0"/>
        <w:spacing w:line="560" w:lineRule="exact"/>
        <w:ind w:right="-82" w:rightChars="-39"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三</w:t>
      </w:r>
      <w:bookmarkStart w:id="4" w:name="_GoBack"/>
      <w:bookmarkEnd w:id="4"/>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eastAsia="zh-CN"/>
        </w:rPr>
        <w:t>双方</w:t>
      </w:r>
      <w:r>
        <w:rPr>
          <w:rFonts w:hint="eastAsia" w:ascii="仿宋_GB2312" w:hAnsi="仿宋_GB2312" w:eastAsia="仿宋_GB2312" w:cs="仿宋_GB2312"/>
          <w:b/>
          <w:bCs/>
          <w:sz w:val="28"/>
          <w:szCs w:val="28"/>
        </w:rPr>
        <w:t>责任</w:t>
      </w:r>
    </w:p>
    <w:p w14:paraId="4D005D6F">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(一)</w:t>
      </w:r>
      <w:r>
        <w:rPr>
          <w:rFonts w:hint="eastAsia" w:ascii="仿宋_GB2312" w:hAnsi="仿宋_GB2312" w:eastAsia="仿宋_GB2312" w:cs="仿宋_GB2312"/>
          <w:color w:val="000000"/>
          <w:sz w:val="28"/>
          <w:szCs w:val="28"/>
        </w:rPr>
        <w:t>甲方责任</w:t>
      </w:r>
    </w:p>
    <w:p w14:paraId="45644331">
      <w:pPr>
        <w:pageBreakBefore w:val="0"/>
        <w:kinsoku/>
        <w:wordWrap/>
        <w:overflowPunct/>
        <w:topLinePunct w:val="0"/>
        <w:bidi w:val="0"/>
        <w:spacing w:line="560" w:lineRule="exact"/>
        <w:ind w:firstLine="480"/>
        <w:textAlignment w:val="auto"/>
        <w:rPr>
          <w:rFonts w:hint="eastAsia" w:ascii="仿宋_GB2312" w:hAnsi="仿宋_GB2312" w:eastAsia="仿宋_GB2312" w:cs="仿宋_GB2312"/>
          <w:b w:val="0"/>
          <w:bCs/>
          <w:color w:val="000000"/>
          <w:sz w:val="28"/>
          <w:szCs w:val="28"/>
          <w:u w:val="none"/>
        </w:rPr>
      </w:pPr>
      <w:r>
        <w:rPr>
          <w:rFonts w:hint="eastAsia" w:ascii="仿宋_GB2312" w:hAnsi="仿宋_GB2312" w:eastAsia="仿宋_GB2312" w:cs="仿宋_GB2312"/>
          <w:color w:val="000000"/>
          <w:sz w:val="28"/>
          <w:szCs w:val="28"/>
        </w:rPr>
        <w:t>1.甲方应提交</w:t>
      </w:r>
      <w:r>
        <w:rPr>
          <w:rFonts w:hint="eastAsia" w:ascii="仿宋_GB2312" w:hAnsi="仿宋_GB2312" w:eastAsia="仿宋_GB2312" w:cs="仿宋_GB2312"/>
          <w:color w:val="000000"/>
          <w:sz w:val="28"/>
          <w:szCs w:val="28"/>
          <w:lang w:eastAsia="zh-CN"/>
        </w:rPr>
        <w:t>的</w:t>
      </w:r>
      <w:r>
        <w:rPr>
          <w:rFonts w:hint="eastAsia" w:ascii="仿宋_GB2312" w:hAnsi="仿宋_GB2312" w:eastAsia="仿宋_GB2312" w:cs="仿宋_GB2312"/>
          <w:color w:val="000000"/>
          <w:sz w:val="28"/>
          <w:szCs w:val="28"/>
        </w:rPr>
        <w:t>基础资料：</w:t>
      </w:r>
      <w:r>
        <w:rPr>
          <w:rFonts w:hint="eastAsia" w:ascii="仿宋_GB2312" w:hAnsi="仿宋_GB2312" w:eastAsia="仿宋_GB2312" w:cs="仿宋_GB2312"/>
          <w:b w:val="0"/>
          <w:bCs/>
          <w:color w:val="000000"/>
          <w:sz w:val="28"/>
          <w:szCs w:val="28"/>
          <w:u w:val="none"/>
        </w:rPr>
        <w:t>项目可研报告、基础图纸、立项批复文件等政府支持性文件。</w:t>
      </w:r>
    </w:p>
    <w:p w14:paraId="6605A6C7">
      <w:pPr>
        <w:pageBreakBefore w:val="0"/>
        <w:kinsoku/>
        <w:wordWrap/>
        <w:overflowPunct/>
        <w:topLinePunct w:val="0"/>
        <w:bidi w:val="0"/>
        <w:spacing w:line="560" w:lineRule="exact"/>
        <w:ind w:firstLine="48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2.甲方应根据项目进度安排，及时向乙方提供所需</w:t>
      </w:r>
      <w:r>
        <w:rPr>
          <w:rFonts w:hint="eastAsia" w:ascii="仿宋_GB2312" w:hAnsi="仿宋_GB2312" w:eastAsia="仿宋_GB2312" w:cs="仿宋_GB2312"/>
          <w:color w:val="000000"/>
          <w:sz w:val="28"/>
          <w:szCs w:val="28"/>
          <w:lang w:eastAsia="zh-CN"/>
        </w:rPr>
        <w:t>的</w:t>
      </w:r>
      <w:r>
        <w:rPr>
          <w:rFonts w:hint="eastAsia" w:ascii="仿宋_GB2312" w:hAnsi="仿宋_GB2312" w:eastAsia="仿宋_GB2312" w:cs="仿宋_GB2312"/>
          <w:color w:val="000000"/>
          <w:sz w:val="28"/>
          <w:szCs w:val="28"/>
        </w:rPr>
        <w:t>文件资料，并对其准确性、可靠性负责。</w:t>
      </w:r>
    </w:p>
    <w:p w14:paraId="3FD8AE05">
      <w:pPr>
        <w:pageBreakBefore w:val="0"/>
        <w:kinsoku/>
        <w:wordWrap/>
        <w:overflowPunct/>
        <w:topLinePunct w:val="0"/>
        <w:bidi w:val="0"/>
        <w:spacing w:line="560" w:lineRule="exact"/>
        <w:ind w:firstLine="488"/>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3.甲方应按本合同规定的金额和</w:t>
      </w:r>
      <w:r>
        <w:rPr>
          <w:rFonts w:hint="eastAsia" w:ascii="仿宋_GB2312" w:hAnsi="仿宋_GB2312" w:eastAsia="仿宋_GB2312" w:cs="仿宋_GB2312"/>
          <w:sz w:val="28"/>
          <w:szCs w:val="28"/>
          <w:lang w:eastAsia="zh-CN"/>
        </w:rPr>
        <w:t>付款阶段</w:t>
      </w:r>
      <w:r>
        <w:rPr>
          <w:rFonts w:hint="eastAsia" w:ascii="仿宋_GB2312" w:hAnsi="仿宋_GB2312" w:eastAsia="仿宋_GB2312" w:cs="仿宋_GB2312"/>
          <w:sz w:val="28"/>
          <w:szCs w:val="28"/>
        </w:rPr>
        <w:t>向乙方支付相关费用。</w:t>
      </w:r>
    </w:p>
    <w:p w14:paraId="018991BA">
      <w:pPr>
        <w:pageBreakBefore w:val="0"/>
        <w:kinsoku/>
        <w:wordWrap/>
        <w:overflowPunct/>
        <w:topLinePunct w:val="0"/>
        <w:bidi w:val="0"/>
        <w:spacing w:line="560" w:lineRule="exact"/>
        <w:ind w:firstLine="488"/>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4.甲方要求乙方提前于合同约定时间提供文件资料时，须征得乙方同意。</w:t>
      </w:r>
    </w:p>
    <w:p w14:paraId="75E90119">
      <w:pPr>
        <w:pageBreakBefore w:val="0"/>
        <w:kinsoku/>
        <w:wordWrap/>
        <w:overflowPunct/>
        <w:topLinePunct w:val="0"/>
        <w:bidi w:val="0"/>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乙方责任</w:t>
      </w:r>
    </w:p>
    <w:p w14:paraId="70100A5B">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lang w:eastAsia="zh-CN"/>
        </w:rPr>
      </w:pPr>
      <w:r>
        <w:rPr>
          <w:rFonts w:hint="eastAsia" w:ascii="仿宋_GB2312" w:hAnsi="仿宋_GB2312" w:eastAsia="仿宋_GB2312" w:cs="仿宋_GB2312"/>
          <w:sz w:val="28"/>
        </w:rPr>
        <w:t>1</w:t>
      </w:r>
      <w:r>
        <w:rPr>
          <w:rFonts w:hint="eastAsia" w:ascii="仿宋_GB2312" w:hAnsi="仿宋_GB2312" w:eastAsia="仿宋_GB2312" w:cs="仿宋_GB2312"/>
          <w:sz w:val="28"/>
          <w:lang w:val="en-US" w:eastAsia="zh-CN"/>
        </w:rPr>
        <w:t>.</w:t>
      </w:r>
      <w:r>
        <w:rPr>
          <w:rFonts w:hint="eastAsia" w:ascii="仿宋_GB2312" w:hAnsi="仿宋_GB2312" w:eastAsia="仿宋_GB2312" w:cs="仿宋_GB2312"/>
          <w:sz w:val="28"/>
        </w:rPr>
        <w:t>依据合同约定的工作范围及要求，提供符合</w:t>
      </w:r>
      <w:r>
        <w:rPr>
          <w:rFonts w:hint="eastAsia" w:ascii="仿宋_GB2312" w:hAnsi="仿宋_GB2312" w:eastAsia="仿宋_GB2312" w:cs="仿宋_GB2312"/>
          <w:sz w:val="28"/>
          <w:lang w:eastAsia="zh-CN"/>
        </w:rPr>
        <w:t>安全验收评价</w:t>
      </w:r>
      <w:r>
        <w:rPr>
          <w:rFonts w:hint="eastAsia" w:ascii="仿宋_GB2312" w:hAnsi="仿宋_GB2312" w:eastAsia="仿宋_GB2312" w:cs="仿宋_GB2312"/>
          <w:sz w:val="28"/>
        </w:rPr>
        <w:t>法律法规</w:t>
      </w:r>
      <w:r>
        <w:rPr>
          <w:rFonts w:hint="eastAsia" w:ascii="仿宋_GB2312" w:hAnsi="仿宋_GB2312" w:eastAsia="仿宋_GB2312" w:cs="仿宋_GB2312"/>
          <w:sz w:val="28"/>
          <w:lang w:eastAsia="zh-CN"/>
        </w:rPr>
        <w:t>要求</w:t>
      </w:r>
      <w:r>
        <w:rPr>
          <w:rFonts w:hint="eastAsia" w:ascii="仿宋_GB2312" w:hAnsi="仿宋_GB2312" w:eastAsia="仿宋_GB2312" w:cs="仿宋_GB2312"/>
          <w:sz w:val="28"/>
        </w:rPr>
        <w:t>的</w:t>
      </w:r>
      <w:r>
        <w:rPr>
          <w:rFonts w:hint="eastAsia" w:ascii="仿宋_GB2312" w:hAnsi="仿宋_GB2312" w:eastAsia="仿宋_GB2312" w:cs="仿宋_GB2312"/>
          <w:sz w:val="28"/>
          <w:lang w:eastAsia="zh-CN"/>
        </w:rPr>
        <w:t>安全验收评价文件。</w:t>
      </w:r>
    </w:p>
    <w:p w14:paraId="421337AA">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2</w:t>
      </w:r>
      <w:r>
        <w:rPr>
          <w:rFonts w:hint="eastAsia" w:ascii="仿宋_GB2312" w:hAnsi="仿宋_GB2312" w:eastAsia="仿宋_GB2312" w:cs="仿宋_GB2312"/>
          <w:sz w:val="28"/>
          <w:lang w:val="en-US" w:eastAsia="zh-CN"/>
        </w:rPr>
        <w:t>.</w:t>
      </w:r>
      <w:r>
        <w:rPr>
          <w:rFonts w:hint="eastAsia" w:ascii="仿宋_GB2312" w:hAnsi="仿宋_GB2312" w:eastAsia="仿宋_GB2312" w:cs="仿宋_GB2312"/>
          <w:sz w:val="28"/>
        </w:rPr>
        <w:t>对</w:t>
      </w:r>
      <w:r>
        <w:rPr>
          <w:rFonts w:hint="eastAsia" w:ascii="仿宋_GB2312" w:hAnsi="仿宋_GB2312" w:eastAsia="仿宋_GB2312" w:cs="仿宋_GB2312"/>
          <w:sz w:val="28"/>
          <w:lang w:eastAsia="zh-CN"/>
        </w:rPr>
        <w:t>安全验收评价文件</w:t>
      </w:r>
      <w:r>
        <w:rPr>
          <w:rFonts w:hint="eastAsia" w:ascii="仿宋_GB2312" w:hAnsi="仿宋_GB2312" w:eastAsia="仿宋_GB2312" w:cs="仿宋_GB2312"/>
          <w:sz w:val="28"/>
        </w:rPr>
        <w:t>的真实性负责；</w:t>
      </w:r>
    </w:p>
    <w:p w14:paraId="66228A78">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rPr>
        <w:t>3</w:t>
      </w:r>
      <w:r>
        <w:rPr>
          <w:rFonts w:hint="eastAsia" w:ascii="仿宋_GB2312" w:hAnsi="仿宋_GB2312" w:eastAsia="仿宋_GB2312" w:cs="仿宋_GB2312"/>
          <w:sz w:val="28"/>
          <w:lang w:val="en-US" w:eastAsia="zh-CN"/>
        </w:rPr>
        <w:t>.</w:t>
      </w:r>
      <w:r>
        <w:rPr>
          <w:rFonts w:hint="eastAsia" w:ascii="仿宋_GB2312" w:hAnsi="仿宋_GB2312" w:eastAsia="仿宋_GB2312" w:cs="仿宋_GB2312"/>
          <w:sz w:val="28"/>
          <w:szCs w:val="28"/>
        </w:rPr>
        <w:t>乙方负责</w:t>
      </w:r>
      <w:r>
        <w:rPr>
          <w:rFonts w:hint="eastAsia" w:ascii="仿宋_GB2312" w:hAnsi="仿宋_GB2312" w:eastAsia="仿宋_GB2312" w:cs="仿宋_GB2312"/>
          <w:sz w:val="28"/>
          <w:szCs w:val="28"/>
          <w:lang w:eastAsia="zh-CN"/>
        </w:rPr>
        <w:t>安全验收评价</w:t>
      </w:r>
      <w:r>
        <w:rPr>
          <w:rFonts w:hint="eastAsia" w:ascii="仿宋_GB2312" w:hAnsi="仿宋_GB2312" w:eastAsia="仿宋_GB2312" w:cs="仿宋_GB2312"/>
          <w:sz w:val="28"/>
          <w:szCs w:val="28"/>
        </w:rPr>
        <w:t>文件的编制、答辩、修改、完善</w:t>
      </w:r>
      <w:r>
        <w:rPr>
          <w:rFonts w:hint="eastAsia" w:ascii="仿宋_GB2312" w:hAnsi="仿宋_GB2312" w:eastAsia="仿宋_GB2312" w:cs="仿宋_GB2312"/>
          <w:sz w:val="28"/>
          <w:szCs w:val="28"/>
          <w:lang w:eastAsia="zh-CN"/>
        </w:rPr>
        <w:t>等</w:t>
      </w:r>
      <w:r>
        <w:rPr>
          <w:rFonts w:hint="eastAsia" w:ascii="仿宋_GB2312" w:hAnsi="仿宋_GB2312" w:eastAsia="仿宋_GB2312" w:cs="仿宋_GB2312"/>
          <w:sz w:val="28"/>
          <w:szCs w:val="28"/>
        </w:rPr>
        <w:t>工作，保证所编制的</w:t>
      </w:r>
      <w:r>
        <w:rPr>
          <w:rFonts w:hint="eastAsia" w:ascii="仿宋_GB2312" w:hAnsi="仿宋_GB2312" w:eastAsia="仿宋_GB2312" w:cs="仿宋_GB2312"/>
          <w:sz w:val="28"/>
          <w:szCs w:val="28"/>
          <w:lang w:eastAsia="zh-CN"/>
        </w:rPr>
        <w:t>安全验收评价</w:t>
      </w:r>
      <w:r>
        <w:rPr>
          <w:rFonts w:hint="eastAsia" w:ascii="仿宋_GB2312" w:hAnsi="仿宋_GB2312" w:eastAsia="仿宋_GB2312" w:cs="仿宋_GB2312"/>
          <w:sz w:val="28"/>
          <w:szCs w:val="28"/>
        </w:rPr>
        <w:t>文件最终通过专家评审</w:t>
      </w:r>
      <w:r>
        <w:rPr>
          <w:rFonts w:hint="eastAsia" w:ascii="仿宋_GB2312" w:hAnsi="仿宋_GB2312" w:eastAsia="仿宋_GB2312" w:cs="仿宋_GB2312"/>
          <w:sz w:val="28"/>
          <w:szCs w:val="28"/>
          <w:lang w:eastAsia="zh-CN"/>
        </w:rPr>
        <w:t>及政府主管</w:t>
      </w:r>
      <w:r>
        <w:rPr>
          <w:rFonts w:hint="eastAsia" w:ascii="仿宋_GB2312" w:hAnsi="仿宋_GB2312" w:eastAsia="仿宋_GB2312" w:cs="仿宋_GB2312"/>
          <w:sz w:val="28"/>
          <w:szCs w:val="28"/>
        </w:rPr>
        <w:t>部门</w:t>
      </w:r>
      <w:r>
        <w:rPr>
          <w:rFonts w:hint="eastAsia" w:ascii="仿宋_GB2312" w:hAnsi="仿宋_GB2312" w:eastAsia="仿宋_GB2312" w:cs="仿宋_GB2312"/>
          <w:sz w:val="28"/>
          <w:szCs w:val="28"/>
          <w:lang w:eastAsia="zh-CN"/>
        </w:rPr>
        <w:t>的审查批复</w:t>
      </w:r>
      <w:r>
        <w:rPr>
          <w:rFonts w:hint="eastAsia" w:ascii="仿宋_GB2312" w:hAnsi="仿宋_GB2312" w:eastAsia="仿宋_GB2312" w:cs="仿宋_GB2312"/>
          <w:sz w:val="28"/>
          <w:szCs w:val="28"/>
        </w:rPr>
        <w:t>。</w:t>
      </w:r>
    </w:p>
    <w:p w14:paraId="65A2DB3F">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lang w:val="en-US" w:eastAsia="zh-CN"/>
        </w:rPr>
        <w:t>4.</w:t>
      </w:r>
      <w:r>
        <w:rPr>
          <w:rFonts w:hint="eastAsia" w:ascii="仿宋_GB2312" w:hAnsi="仿宋_GB2312" w:eastAsia="仿宋_GB2312" w:cs="仿宋_GB2312"/>
          <w:sz w:val="28"/>
        </w:rPr>
        <w:t>发现甲方提供的技术资料、数据、材料或工作条件不符合评价要求时，应及时</w:t>
      </w:r>
      <w:r>
        <w:rPr>
          <w:rFonts w:hint="eastAsia" w:ascii="仿宋_GB2312" w:hAnsi="仿宋_GB2312" w:eastAsia="仿宋_GB2312" w:cs="仿宋_GB2312"/>
          <w:sz w:val="28"/>
          <w:lang w:eastAsia="zh-CN"/>
        </w:rPr>
        <w:t>书面</w:t>
      </w:r>
      <w:r>
        <w:rPr>
          <w:rFonts w:hint="eastAsia" w:ascii="仿宋_GB2312" w:hAnsi="仿宋_GB2312" w:eastAsia="仿宋_GB2312" w:cs="仿宋_GB2312"/>
          <w:sz w:val="28"/>
        </w:rPr>
        <w:t>通知甲方更改、更换；</w:t>
      </w:r>
    </w:p>
    <w:p w14:paraId="7B7E8B8D">
      <w:pPr>
        <w:pageBreakBefore w:val="0"/>
        <w:kinsoku/>
        <w:wordWrap/>
        <w:overflowPunct/>
        <w:topLinePunct w:val="0"/>
        <w:bidi w:val="0"/>
        <w:spacing w:line="560" w:lineRule="exact"/>
        <w:ind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lang w:val="en-US" w:eastAsia="zh-CN"/>
        </w:rPr>
        <w:t>5.</w:t>
      </w:r>
      <w:r>
        <w:rPr>
          <w:rFonts w:hint="eastAsia" w:ascii="仿宋_GB2312" w:hAnsi="仿宋_GB2312" w:eastAsia="仿宋_GB2312" w:cs="仿宋_GB2312"/>
          <w:sz w:val="28"/>
        </w:rPr>
        <w:t>在评价过程中发现的安全隐患，应以书面的形式通知甲方。</w:t>
      </w:r>
    </w:p>
    <w:p w14:paraId="557D2929">
      <w:pPr>
        <w:pStyle w:val="9"/>
        <w:pageBreakBefore w:val="0"/>
        <w:kinsoku/>
        <w:wordWrap/>
        <w:overflowPunct/>
        <w:topLinePunct w:val="0"/>
        <w:bidi w:val="0"/>
        <w:spacing w:line="560" w:lineRule="exact"/>
        <w:ind w:firstLine="560" w:firstLineChars="200"/>
        <w:textAlignment w:val="auto"/>
        <w:rPr>
          <w:rFonts w:hint="eastAsia"/>
        </w:rPr>
      </w:pPr>
      <w:r>
        <w:rPr>
          <w:rFonts w:hint="eastAsia" w:ascii="仿宋_GB2312" w:hAnsi="仿宋_GB2312" w:eastAsia="仿宋_GB2312" w:cs="仿宋_GB2312"/>
          <w:kern w:val="2"/>
          <w:sz w:val="28"/>
          <w:szCs w:val="28"/>
          <w:lang w:val="en-US" w:eastAsia="zh-CN" w:bidi="ar-SA"/>
        </w:rPr>
        <w:t>6.乙方确保项目竣工同时通过安全验收。</w:t>
      </w:r>
    </w:p>
    <w:p w14:paraId="2938E379">
      <w:pPr>
        <w:pageBreakBefore w:val="0"/>
        <w:kinsoku/>
        <w:wordWrap/>
        <w:overflowPunct/>
        <w:topLinePunct w:val="0"/>
        <w:bidi w:val="0"/>
        <w:adjustRightInd w:val="0"/>
        <w:snapToGrid w:val="0"/>
        <w:spacing w:line="560" w:lineRule="exact"/>
        <w:ind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7.乙方必须遵守甲方有关安全、疫情防控等相关管理规定。</w:t>
      </w:r>
    </w:p>
    <w:p w14:paraId="6F717540">
      <w:pPr>
        <w:pageBreakBefore w:val="0"/>
        <w:kinsoku/>
        <w:wordWrap/>
        <w:overflowPunct/>
        <w:topLinePunct w:val="0"/>
        <w:bidi w:val="0"/>
        <w:adjustRightInd w:val="0"/>
        <w:snapToGrid w:val="0"/>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五、本协议一式</w:t>
      </w:r>
      <w:r>
        <w:rPr>
          <w:rFonts w:hint="eastAsia" w:ascii="仿宋_GB2312" w:hAnsi="仿宋_GB2312" w:eastAsia="仿宋_GB2312" w:cs="仿宋_GB2312"/>
          <w:sz w:val="28"/>
          <w:szCs w:val="28"/>
          <w:lang w:val="en-US" w:eastAsia="zh-CN"/>
        </w:rPr>
        <w:t>贰</w:t>
      </w:r>
      <w:r>
        <w:rPr>
          <w:rFonts w:hint="eastAsia" w:ascii="仿宋_GB2312" w:hAnsi="仿宋_GB2312" w:eastAsia="仿宋_GB2312" w:cs="仿宋_GB2312"/>
          <w:sz w:val="28"/>
          <w:szCs w:val="28"/>
        </w:rPr>
        <w:t>份，具有同等效力，由发包人保存</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份、承包人保存一份。</w:t>
      </w:r>
    </w:p>
    <w:p w14:paraId="4A4BD9CB">
      <w:pPr>
        <w:autoSpaceDE w:val="0"/>
        <w:autoSpaceDN w:val="0"/>
        <w:adjustRightInd w:val="0"/>
        <w:spacing w:line="360" w:lineRule="auto"/>
        <w:jc w:val="left"/>
        <w:rPr>
          <w:rFonts w:hint="eastAsia" w:ascii="Times New Roman" w:hAnsi="Times New Roman" w:eastAsia="宋体" w:cs="Arial"/>
          <w:sz w:val="28"/>
          <w:szCs w:val="28"/>
          <w:u w:val="none"/>
          <w:lang w:val="en-US" w:eastAsia="zh-CN"/>
        </w:rPr>
      </w:pPr>
      <w:r>
        <w:rPr>
          <w:rFonts w:hint="eastAsia" w:cs="Arial"/>
          <w:sz w:val="28"/>
          <w:szCs w:val="28"/>
          <w:u w:val="none"/>
          <w:lang w:eastAsia="zh-CN"/>
        </w:rPr>
        <w:t>委托单位（甲方）</w:t>
      </w:r>
      <w:r>
        <w:rPr>
          <w:rFonts w:hint="eastAsia" w:ascii="Times New Roman" w:hAnsi="Times New Roman" w:cs="Arial"/>
          <w:sz w:val="28"/>
          <w:szCs w:val="28"/>
          <w:u w:val="none"/>
        </w:rPr>
        <w:t>：（签章）</w:t>
      </w:r>
      <w:r>
        <w:rPr>
          <w:rFonts w:hint="eastAsia" w:cs="Arial"/>
          <w:sz w:val="28"/>
          <w:szCs w:val="28"/>
          <w:u w:val="none"/>
          <w:lang w:val="en-US" w:eastAsia="zh-CN"/>
        </w:rPr>
        <w:t xml:space="preserve">           </w:t>
      </w:r>
      <w:r>
        <w:rPr>
          <w:rFonts w:hint="eastAsia" w:cs="Arial"/>
          <w:sz w:val="28"/>
          <w:szCs w:val="28"/>
          <w:u w:val="none"/>
          <w:lang w:eastAsia="zh-CN"/>
        </w:rPr>
        <w:t>服务单位（乙方）</w:t>
      </w:r>
      <w:r>
        <w:rPr>
          <w:rFonts w:hint="eastAsia" w:ascii="Times New Roman" w:hAnsi="Times New Roman" w:cs="Arial"/>
          <w:sz w:val="28"/>
          <w:szCs w:val="28"/>
          <w:u w:val="none"/>
        </w:rPr>
        <w:t>：（签章）</w:t>
      </w:r>
      <w:r>
        <w:rPr>
          <w:rFonts w:hint="eastAsia" w:ascii="Times New Roman" w:hAnsi="Times New Roman" w:cs="Arial"/>
          <w:sz w:val="28"/>
          <w:szCs w:val="28"/>
          <w:u w:val="none"/>
          <w:lang w:val="en-US" w:eastAsia="zh-CN"/>
        </w:rPr>
        <w:t xml:space="preserve">       </w:t>
      </w:r>
      <w:r>
        <w:rPr>
          <w:rFonts w:hint="eastAsia" w:cs="Arial"/>
          <w:sz w:val="28"/>
          <w:szCs w:val="28"/>
          <w:u w:val="none"/>
          <w:lang w:val="en-US" w:eastAsia="zh-CN"/>
        </w:rPr>
        <w:t xml:space="preserve">     </w:t>
      </w:r>
      <w:r>
        <w:rPr>
          <w:rFonts w:hint="eastAsia" w:cs="Arial"/>
          <w:sz w:val="28"/>
          <w:szCs w:val="28"/>
          <w:u w:val="single"/>
          <w:lang w:val="en-US" w:eastAsia="zh-CN"/>
        </w:rPr>
        <w:t xml:space="preserve">                            </w:t>
      </w:r>
    </w:p>
    <w:p w14:paraId="51F3131F">
      <w:pPr>
        <w:autoSpaceDE w:val="0"/>
        <w:autoSpaceDN w:val="0"/>
        <w:adjustRightInd w:val="0"/>
        <w:spacing w:line="360" w:lineRule="auto"/>
        <w:jc w:val="left"/>
        <w:rPr>
          <w:rFonts w:hint="eastAsia" w:ascii="Times New Roman" w:hAnsi="Times New Roman" w:cs="Arial"/>
          <w:sz w:val="28"/>
          <w:szCs w:val="28"/>
          <w:u w:val="single"/>
        </w:rPr>
      </w:pPr>
      <w:r>
        <w:rPr>
          <w:rFonts w:hint="eastAsia" w:ascii="Times New Roman" w:hAnsi="Times New Roman" w:cs="Arial"/>
          <w:sz w:val="28"/>
          <w:szCs w:val="28"/>
          <w:u w:val="none"/>
        </w:rPr>
        <w:t>法定代表人：</w:t>
      </w:r>
      <w:r>
        <w:rPr>
          <w:rFonts w:hint="eastAsia" w:ascii="Times New Roman" w:hAnsi="Times New Roman" w:cs="Arial"/>
          <w:sz w:val="28"/>
          <w:szCs w:val="28"/>
          <w:u w:val="single"/>
        </w:rPr>
        <w:t xml:space="preserve">                </w:t>
      </w:r>
      <w:r>
        <w:rPr>
          <w:rFonts w:hint="eastAsia" w:cs="Arial"/>
          <w:sz w:val="28"/>
          <w:szCs w:val="28"/>
          <w:u w:val="single"/>
          <w:lang w:val="en-US" w:eastAsia="zh-CN"/>
        </w:rPr>
        <w:t xml:space="preserve">  </w:t>
      </w:r>
      <w:r>
        <w:rPr>
          <w:rFonts w:hint="eastAsia" w:cs="Arial"/>
          <w:sz w:val="28"/>
          <w:szCs w:val="28"/>
          <w:u w:val="none"/>
          <w:lang w:val="en-US" w:eastAsia="zh-CN"/>
        </w:rPr>
        <w:t xml:space="preserve">   </w:t>
      </w:r>
      <w:r>
        <w:rPr>
          <w:rFonts w:hint="eastAsia" w:ascii="Times New Roman" w:hAnsi="Times New Roman" w:cs="Arial"/>
          <w:sz w:val="28"/>
          <w:szCs w:val="28"/>
          <w:u w:val="none"/>
        </w:rPr>
        <w:t>法定代表人：</w:t>
      </w:r>
      <w:r>
        <w:rPr>
          <w:rFonts w:hint="eastAsia" w:ascii="Times New Roman" w:hAnsi="Times New Roman" w:cs="Arial"/>
          <w:sz w:val="28"/>
          <w:szCs w:val="28"/>
          <w:u w:val="single"/>
        </w:rPr>
        <w:t xml:space="preserve">                            </w:t>
      </w:r>
    </w:p>
    <w:p w14:paraId="4C267CD8">
      <w:pPr>
        <w:autoSpaceDE w:val="0"/>
        <w:autoSpaceDN w:val="0"/>
        <w:adjustRightInd w:val="0"/>
        <w:spacing w:line="360" w:lineRule="auto"/>
        <w:jc w:val="left"/>
        <w:rPr>
          <w:rFonts w:hint="eastAsia" w:ascii="Times New Roman" w:hAnsi="Times New Roman" w:cs="Arial"/>
          <w:sz w:val="28"/>
          <w:szCs w:val="28"/>
          <w:u w:val="single"/>
        </w:rPr>
      </w:pPr>
      <w:r>
        <w:rPr>
          <w:rFonts w:hint="eastAsia" w:ascii="Times New Roman" w:hAnsi="Times New Roman" w:cs="Arial"/>
          <w:sz w:val="28"/>
          <w:szCs w:val="28"/>
          <w:u w:val="none"/>
        </w:rPr>
        <w:t>委托代表人</w:t>
      </w:r>
      <w:r>
        <w:rPr>
          <w:rFonts w:hint="eastAsia" w:ascii="Times New Roman" w:hAnsi="Times New Roman" w:cs="Arial"/>
          <w:sz w:val="28"/>
          <w:szCs w:val="28"/>
          <w:u w:val="single"/>
        </w:rPr>
        <w:t xml:space="preserve">：                  </w:t>
      </w:r>
      <w:r>
        <w:rPr>
          <w:rFonts w:hint="eastAsia" w:cs="Arial"/>
          <w:sz w:val="28"/>
          <w:szCs w:val="28"/>
          <w:u w:val="none"/>
          <w:lang w:val="en-US" w:eastAsia="zh-CN"/>
        </w:rPr>
        <w:t xml:space="preserve">   </w:t>
      </w:r>
      <w:r>
        <w:rPr>
          <w:rFonts w:hint="eastAsia" w:ascii="Times New Roman" w:hAnsi="Times New Roman" w:cs="Arial"/>
          <w:sz w:val="28"/>
          <w:szCs w:val="28"/>
          <w:u w:val="none"/>
        </w:rPr>
        <w:t>委托代表人：</w:t>
      </w:r>
      <w:r>
        <w:rPr>
          <w:rFonts w:hint="eastAsia" w:ascii="Times New Roman" w:hAnsi="Times New Roman" w:cs="Arial"/>
          <w:sz w:val="28"/>
          <w:szCs w:val="28"/>
          <w:u w:val="single"/>
        </w:rPr>
        <w:t xml:space="preserve">                              </w:t>
      </w:r>
    </w:p>
    <w:p w14:paraId="46BF61AD">
      <w:pPr>
        <w:pStyle w:val="9"/>
        <w:spacing w:line="360" w:lineRule="auto"/>
        <w:rPr>
          <w:rFonts w:hint="default"/>
          <w:lang w:val="en-US" w:eastAsia="zh-CN"/>
        </w:rPr>
      </w:pPr>
      <w:r>
        <w:rPr>
          <w:rFonts w:hint="eastAsia" w:ascii="Times New Roman" w:hAnsi="Times New Roman" w:cs="Arial"/>
          <w:sz w:val="28"/>
          <w:szCs w:val="28"/>
          <w:u w:val="none"/>
        </w:rPr>
        <w:t>电    话：</w:t>
      </w:r>
      <w:r>
        <w:rPr>
          <w:rFonts w:hint="eastAsia" w:ascii="Times New Roman" w:hAnsi="Times New Roman" w:cs="Arial"/>
          <w:sz w:val="28"/>
          <w:szCs w:val="28"/>
          <w:u w:val="single"/>
        </w:rPr>
        <w:t xml:space="preserve">      </w:t>
      </w:r>
      <w:r>
        <w:rPr>
          <w:rFonts w:hint="eastAsia" w:ascii="Times New Roman" w:hAnsi="Times New Roman" w:cs="Arial"/>
          <w:sz w:val="28"/>
          <w:szCs w:val="28"/>
          <w:u w:val="single"/>
          <w:lang w:val="en-US" w:eastAsia="zh-CN"/>
        </w:rPr>
        <w:t xml:space="preserve">       </w:t>
      </w:r>
      <w:r>
        <w:rPr>
          <w:rFonts w:hint="eastAsia" w:ascii="Times New Roman" w:hAnsi="Times New Roman" w:cs="Arial"/>
          <w:sz w:val="28"/>
          <w:szCs w:val="28"/>
          <w:u w:val="single"/>
        </w:rPr>
        <w:t xml:space="preserve">        </w:t>
      </w:r>
      <w:r>
        <w:rPr>
          <w:rFonts w:hint="eastAsia" w:cs="Arial"/>
          <w:sz w:val="28"/>
          <w:szCs w:val="28"/>
          <w:u w:val="none"/>
          <w:lang w:val="en-US" w:eastAsia="zh-CN"/>
        </w:rPr>
        <w:t xml:space="preserve">   </w:t>
      </w:r>
      <w:r>
        <w:rPr>
          <w:rFonts w:hint="eastAsia" w:ascii="Times New Roman" w:hAnsi="Times New Roman" w:cs="Arial"/>
          <w:sz w:val="28"/>
          <w:szCs w:val="28"/>
          <w:u w:val="none"/>
        </w:rPr>
        <w:t>电    话：</w:t>
      </w:r>
      <w:r>
        <w:rPr>
          <w:rFonts w:hint="eastAsia" w:ascii="Times New Roman" w:hAnsi="Times New Roman" w:cs="Arial"/>
          <w:sz w:val="28"/>
          <w:szCs w:val="28"/>
          <w:u w:val="single"/>
        </w:rPr>
        <w:t xml:space="preserve">        </w:t>
      </w:r>
      <w:r>
        <w:rPr>
          <w:rFonts w:hint="eastAsia" w:ascii="Times New Roman" w:hAnsi="Times New Roman" w:cs="Arial"/>
          <w:sz w:val="28"/>
          <w:szCs w:val="28"/>
          <w:u w:val="single"/>
          <w:lang w:val="en-US" w:eastAsia="zh-CN"/>
        </w:rPr>
        <w:t xml:space="preserve">   </w:t>
      </w:r>
      <w:r>
        <w:rPr>
          <w:rFonts w:hint="eastAsia" w:ascii="Times New Roman" w:hAnsi="Times New Roman" w:cs="Arial"/>
          <w:sz w:val="28"/>
          <w:szCs w:val="28"/>
          <w:u w:val="single"/>
        </w:rPr>
        <w:t xml:space="preserve"> </w:t>
      </w:r>
      <w:r>
        <w:rPr>
          <w:rFonts w:hint="eastAsia" w:ascii="Times New Roman" w:hAnsi="Times New Roman" w:cs="Arial"/>
          <w:sz w:val="28"/>
          <w:szCs w:val="28"/>
          <w:u w:val="single"/>
          <w:lang w:val="en-US" w:eastAsia="zh-CN"/>
        </w:rPr>
        <w:t xml:space="preserve">          </w:t>
      </w:r>
    </w:p>
    <w:sectPr>
      <w:footerReference r:id="rId4" w:type="first"/>
      <w:footerReference r:id="rId3" w:type="default"/>
      <w:pgSz w:w="11906" w:h="16838"/>
      <w:pgMar w:top="1134" w:right="1247" w:bottom="1134" w:left="1531" w:header="851" w:footer="992" w:gutter="0"/>
      <w:pgNumType w:fmt="decimalFullWidth" w:start="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1CA99F-58C1-4934-BE22-7C4DB897262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60101010101"/>
    <w:charset w:val="86"/>
    <w:family w:val="modern"/>
    <w:pitch w:val="default"/>
    <w:sig w:usb0="800002BF" w:usb1="38CF7CFA" w:usb2="00000016" w:usb3="00000000" w:csb0="00040001" w:csb1="00000000"/>
    <w:embedRegular r:id="rId2" w:fontKey="{7BBFD1E6-30D1-4D66-93A1-930662F06D55}"/>
  </w:font>
  <w:font w:name="华文中宋">
    <w:panose1 w:val="02010600040101010101"/>
    <w:charset w:val="86"/>
    <w:family w:val="auto"/>
    <w:pitch w:val="default"/>
    <w:sig w:usb0="00000287" w:usb1="080F0000" w:usb2="00000000" w:usb3="00000000" w:csb0="0004009F" w:csb1="DFD70000"/>
    <w:embedRegular r:id="rId3" w:fontKey="{C2F77E68-AD2C-4376-9674-97FE9483CA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13A3F">
    <w:pPr>
      <w:pStyle w:val="12"/>
      <w:framePr w:wrap="around" w:vAnchor="text" w:hAnchor="margin" w:xAlign="right" w:y="1"/>
      <w:rPr>
        <w:rStyle w:val="20"/>
      </w:rPr>
    </w:pPr>
    <w:r>
      <w:fldChar w:fldCharType="begin"/>
    </w:r>
    <w:r>
      <w:rPr>
        <w:rStyle w:val="20"/>
      </w:rPr>
      <w:instrText xml:space="preserve">PAGE  </w:instrText>
    </w:r>
    <w:r>
      <w:fldChar w:fldCharType="separate"/>
    </w:r>
    <w:r>
      <w:rPr>
        <w:rStyle w:val="20"/>
        <w:rFonts w:hint="eastAsia"/>
      </w:rPr>
      <w:t>３</w:t>
    </w:r>
    <w:r>
      <w:fldChar w:fldCharType="end"/>
    </w:r>
  </w:p>
  <w:p w14:paraId="353FDA5F">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084A2">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5AD"/>
    <w:rsid w:val="00017063"/>
    <w:rsid w:val="000415EF"/>
    <w:rsid w:val="000436A4"/>
    <w:rsid w:val="00051513"/>
    <w:rsid w:val="00054B90"/>
    <w:rsid w:val="00056DA0"/>
    <w:rsid w:val="000579F1"/>
    <w:rsid w:val="00070978"/>
    <w:rsid w:val="000928C7"/>
    <w:rsid w:val="00095094"/>
    <w:rsid w:val="000B3159"/>
    <w:rsid w:val="000C4823"/>
    <w:rsid w:val="000D47A5"/>
    <w:rsid w:val="000D6DFB"/>
    <w:rsid w:val="000E3AD5"/>
    <w:rsid w:val="000E6D43"/>
    <w:rsid w:val="000F16B4"/>
    <w:rsid w:val="0011735D"/>
    <w:rsid w:val="00150629"/>
    <w:rsid w:val="00152F06"/>
    <w:rsid w:val="0015467C"/>
    <w:rsid w:val="0015506A"/>
    <w:rsid w:val="001619AC"/>
    <w:rsid w:val="001637EB"/>
    <w:rsid w:val="0018165E"/>
    <w:rsid w:val="00184E20"/>
    <w:rsid w:val="0018556D"/>
    <w:rsid w:val="00194D29"/>
    <w:rsid w:val="001953CB"/>
    <w:rsid w:val="00196AC1"/>
    <w:rsid w:val="001A4541"/>
    <w:rsid w:val="001A7469"/>
    <w:rsid w:val="001B1CF6"/>
    <w:rsid w:val="001B4B77"/>
    <w:rsid w:val="001B6030"/>
    <w:rsid w:val="001C31E8"/>
    <w:rsid w:val="001C3942"/>
    <w:rsid w:val="001C61F4"/>
    <w:rsid w:val="001D1FF7"/>
    <w:rsid w:val="001E4E3A"/>
    <w:rsid w:val="001E7681"/>
    <w:rsid w:val="001F25C9"/>
    <w:rsid w:val="00205A86"/>
    <w:rsid w:val="002178F6"/>
    <w:rsid w:val="002222F7"/>
    <w:rsid w:val="002441C4"/>
    <w:rsid w:val="002551CD"/>
    <w:rsid w:val="00257A08"/>
    <w:rsid w:val="00261B11"/>
    <w:rsid w:val="00270D6C"/>
    <w:rsid w:val="00274235"/>
    <w:rsid w:val="00274B0B"/>
    <w:rsid w:val="00275B42"/>
    <w:rsid w:val="00277782"/>
    <w:rsid w:val="0028670E"/>
    <w:rsid w:val="00293066"/>
    <w:rsid w:val="002A602F"/>
    <w:rsid w:val="002A60E9"/>
    <w:rsid w:val="002D5F2A"/>
    <w:rsid w:val="002E709B"/>
    <w:rsid w:val="002E7167"/>
    <w:rsid w:val="003062ED"/>
    <w:rsid w:val="00326D93"/>
    <w:rsid w:val="00332840"/>
    <w:rsid w:val="00342C02"/>
    <w:rsid w:val="00353CA2"/>
    <w:rsid w:val="0036652A"/>
    <w:rsid w:val="003911DD"/>
    <w:rsid w:val="00392AAA"/>
    <w:rsid w:val="0039549B"/>
    <w:rsid w:val="003A19E9"/>
    <w:rsid w:val="003A30D4"/>
    <w:rsid w:val="003C58E1"/>
    <w:rsid w:val="003D0267"/>
    <w:rsid w:val="003D2260"/>
    <w:rsid w:val="003D44A6"/>
    <w:rsid w:val="003E381D"/>
    <w:rsid w:val="00442C76"/>
    <w:rsid w:val="00454E93"/>
    <w:rsid w:val="004622D1"/>
    <w:rsid w:val="00464911"/>
    <w:rsid w:val="004774E4"/>
    <w:rsid w:val="00484FF6"/>
    <w:rsid w:val="004C759C"/>
    <w:rsid w:val="004D0308"/>
    <w:rsid w:val="004E1F28"/>
    <w:rsid w:val="004F3568"/>
    <w:rsid w:val="00502D0C"/>
    <w:rsid w:val="00520869"/>
    <w:rsid w:val="005325EA"/>
    <w:rsid w:val="00533EA0"/>
    <w:rsid w:val="005415A5"/>
    <w:rsid w:val="0054330C"/>
    <w:rsid w:val="00547844"/>
    <w:rsid w:val="0055465D"/>
    <w:rsid w:val="00562CEA"/>
    <w:rsid w:val="00564405"/>
    <w:rsid w:val="005A53C1"/>
    <w:rsid w:val="005A60E7"/>
    <w:rsid w:val="005B43F9"/>
    <w:rsid w:val="005C1D3F"/>
    <w:rsid w:val="005C1D4B"/>
    <w:rsid w:val="005D68CD"/>
    <w:rsid w:val="005D700B"/>
    <w:rsid w:val="005D715D"/>
    <w:rsid w:val="005E0290"/>
    <w:rsid w:val="005F0D51"/>
    <w:rsid w:val="006064BF"/>
    <w:rsid w:val="00617EE0"/>
    <w:rsid w:val="006212BE"/>
    <w:rsid w:val="0062759F"/>
    <w:rsid w:val="00637BA3"/>
    <w:rsid w:val="00645A1B"/>
    <w:rsid w:val="00673808"/>
    <w:rsid w:val="00680A0F"/>
    <w:rsid w:val="00684C07"/>
    <w:rsid w:val="00691661"/>
    <w:rsid w:val="00692598"/>
    <w:rsid w:val="006C0FD8"/>
    <w:rsid w:val="006D386A"/>
    <w:rsid w:val="006D4430"/>
    <w:rsid w:val="00707BBC"/>
    <w:rsid w:val="00717C42"/>
    <w:rsid w:val="00723A79"/>
    <w:rsid w:val="00747B91"/>
    <w:rsid w:val="00752113"/>
    <w:rsid w:val="007527A4"/>
    <w:rsid w:val="0075486A"/>
    <w:rsid w:val="00781B0A"/>
    <w:rsid w:val="00796C33"/>
    <w:rsid w:val="007C5B19"/>
    <w:rsid w:val="007E7359"/>
    <w:rsid w:val="007F1118"/>
    <w:rsid w:val="007F2ECD"/>
    <w:rsid w:val="007F5F7B"/>
    <w:rsid w:val="00817BF0"/>
    <w:rsid w:val="00823321"/>
    <w:rsid w:val="0083242A"/>
    <w:rsid w:val="00843867"/>
    <w:rsid w:val="00847C29"/>
    <w:rsid w:val="00855482"/>
    <w:rsid w:val="00856464"/>
    <w:rsid w:val="008619D9"/>
    <w:rsid w:val="00867113"/>
    <w:rsid w:val="00877A8D"/>
    <w:rsid w:val="00891203"/>
    <w:rsid w:val="0089642C"/>
    <w:rsid w:val="008D04E6"/>
    <w:rsid w:val="008D096A"/>
    <w:rsid w:val="008D12E1"/>
    <w:rsid w:val="008E59D5"/>
    <w:rsid w:val="008E608A"/>
    <w:rsid w:val="008F2552"/>
    <w:rsid w:val="00914278"/>
    <w:rsid w:val="009154C5"/>
    <w:rsid w:val="009161FE"/>
    <w:rsid w:val="00927AF8"/>
    <w:rsid w:val="00934494"/>
    <w:rsid w:val="00941379"/>
    <w:rsid w:val="00955474"/>
    <w:rsid w:val="00962013"/>
    <w:rsid w:val="00973AF2"/>
    <w:rsid w:val="00975D66"/>
    <w:rsid w:val="009A049A"/>
    <w:rsid w:val="009A184D"/>
    <w:rsid w:val="009A5127"/>
    <w:rsid w:val="009A70C5"/>
    <w:rsid w:val="009B45AD"/>
    <w:rsid w:val="009C17AF"/>
    <w:rsid w:val="009C313D"/>
    <w:rsid w:val="009D218D"/>
    <w:rsid w:val="009D3A34"/>
    <w:rsid w:val="009E1DBE"/>
    <w:rsid w:val="009E7C18"/>
    <w:rsid w:val="009F6536"/>
    <w:rsid w:val="00A661FA"/>
    <w:rsid w:val="00A70C89"/>
    <w:rsid w:val="00A77B94"/>
    <w:rsid w:val="00A86B05"/>
    <w:rsid w:val="00A915CB"/>
    <w:rsid w:val="00AA07AD"/>
    <w:rsid w:val="00AB3254"/>
    <w:rsid w:val="00AD5E8E"/>
    <w:rsid w:val="00AF1CE4"/>
    <w:rsid w:val="00AF375B"/>
    <w:rsid w:val="00AF3F72"/>
    <w:rsid w:val="00B01AEC"/>
    <w:rsid w:val="00B131DA"/>
    <w:rsid w:val="00B2086F"/>
    <w:rsid w:val="00B22F4E"/>
    <w:rsid w:val="00B25541"/>
    <w:rsid w:val="00B26E5F"/>
    <w:rsid w:val="00B3796B"/>
    <w:rsid w:val="00B5011A"/>
    <w:rsid w:val="00B535B7"/>
    <w:rsid w:val="00B96E69"/>
    <w:rsid w:val="00B977BF"/>
    <w:rsid w:val="00BA0FFB"/>
    <w:rsid w:val="00BB6B0A"/>
    <w:rsid w:val="00BC1ABF"/>
    <w:rsid w:val="00BC36DD"/>
    <w:rsid w:val="00BC783C"/>
    <w:rsid w:val="00BD1A1D"/>
    <w:rsid w:val="00BD311E"/>
    <w:rsid w:val="00BD4827"/>
    <w:rsid w:val="00BF2105"/>
    <w:rsid w:val="00C04944"/>
    <w:rsid w:val="00C120E8"/>
    <w:rsid w:val="00C46CF9"/>
    <w:rsid w:val="00C53069"/>
    <w:rsid w:val="00C57AC6"/>
    <w:rsid w:val="00C652A2"/>
    <w:rsid w:val="00C70EB5"/>
    <w:rsid w:val="00C80600"/>
    <w:rsid w:val="00C84D4F"/>
    <w:rsid w:val="00C91099"/>
    <w:rsid w:val="00C93CFB"/>
    <w:rsid w:val="00C95B8F"/>
    <w:rsid w:val="00C9761E"/>
    <w:rsid w:val="00CA1DD3"/>
    <w:rsid w:val="00CA7427"/>
    <w:rsid w:val="00CC4F0B"/>
    <w:rsid w:val="00CD4EE3"/>
    <w:rsid w:val="00CD79E1"/>
    <w:rsid w:val="00CF362C"/>
    <w:rsid w:val="00D05A2A"/>
    <w:rsid w:val="00D364A0"/>
    <w:rsid w:val="00D45644"/>
    <w:rsid w:val="00D64215"/>
    <w:rsid w:val="00D65650"/>
    <w:rsid w:val="00D83915"/>
    <w:rsid w:val="00D873AF"/>
    <w:rsid w:val="00D92226"/>
    <w:rsid w:val="00DB1289"/>
    <w:rsid w:val="00DC335D"/>
    <w:rsid w:val="00DC4896"/>
    <w:rsid w:val="00DE66D8"/>
    <w:rsid w:val="00DF7C9C"/>
    <w:rsid w:val="00E04AD2"/>
    <w:rsid w:val="00E13379"/>
    <w:rsid w:val="00E21600"/>
    <w:rsid w:val="00E22DE9"/>
    <w:rsid w:val="00E60955"/>
    <w:rsid w:val="00E6559C"/>
    <w:rsid w:val="00E7414C"/>
    <w:rsid w:val="00E76F17"/>
    <w:rsid w:val="00E822FF"/>
    <w:rsid w:val="00E94861"/>
    <w:rsid w:val="00EA1DB2"/>
    <w:rsid w:val="00EB01A9"/>
    <w:rsid w:val="00EC1E48"/>
    <w:rsid w:val="00ED08EC"/>
    <w:rsid w:val="00ED20F8"/>
    <w:rsid w:val="00EE1580"/>
    <w:rsid w:val="00EE45ED"/>
    <w:rsid w:val="00EF3281"/>
    <w:rsid w:val="00F14134"/>
    <w:rsid w:val="00F20ABB"/>
    <w:rsid w:val="00F33684"/>
    <w:rsid w:val="00F412BC"/>
    <w:rsid w:val="00F46248"/>
    <w:rsid w:val="00F5037C"/>
    <w:rsid w:val="00F5053E"/>
    <w:rsid w:val="00F62ADE"/>
    <w:rsid w:val="00F73C3B"/>
    <w:rsid w:val="00F8265A"/>
    <w:rsid w:val="00F84A5B"/>
    <w:rsid w:val="00F84E28"/>
    <w:rsid w:val="00FB363B"/>
    <w:rsid w:val="00FB48FB"/>
    <w:rsid w:val="00FF6AB0"/>
    <w:rsid w:val="00FF7921"/>
    <w:rsid w:val="015722E7"/>
    <w:rsid w:val="042C4949"/>
    <w:rsid w:val="05233135"/>
    <w:rsid w:val="05F14C5B"/>
    <w:rsid w:val="05FE0F94"/>
    <w:rsid w:val="06143409"/>
    <w:rsid w:val="064B5498"/>
    <w:rsid w:val="09B55989"/>
    <w:rsid w:val="0A426D43"/>
    <w:rsid w:val="0BB7792C"/>
    <w:rsid w:val="0DE400AD"/>
    <w:rsid w:val="103D70EB"/>
    <w:rsid w:val="11967974"/>
    <w:rsid w:val="12FF0A00"/>
    <w:rsid w:val="13CC5169"/>
    <w:rsid w:val="158D5559"/>
    <w:rsid w:val="18657C39"/>
    <w:rsid w:val="18A60224"/>
    <w:rsid w:val="19106F11"/>
    <w:rsid w:val="192D002D"/>
    <w:rsid w:val="1A0E0A30"/>
    <w:rsid w:val="1A19311C"/>
    <w:rsid w:val="1AD559B1"/>
    <w:rsid w:val="1AFE522C"/>
    <w:rsid w:val="1B741D0F"/>
    <w:rsid w:val="1BE9304F"/>
    <w:rsid w:val="1D67039F"/>
    <w:rsid w:val="1D6D2616"/>
    <w:rsid w:val="1F7F4075"/>
    <w:rsid w:val="20A44F0A"/>
    <w:rsid w:val="20AC0F62"/>
    <w:rsid w:val="20DB7B02"/>
    <w:rsid w:val="221E043A"/>
    <w:rsid w:val="225F58EE"/>
    <w:rsid w:val="229737F8"/>
    <w:rsid w:val="24EE3238"/>
    <w:rsid w:val="26BD42CE"/>
    <w:rsid w:val="29932FC5"/>
    <w:rsid w:val="29D07A70"/>
    <w:rsid w:val="2C167BD8"/>
    <w:rsid w:val="2CF747E7"/>
    <w:rsid w:val="2D1144DD"/>
    <w:rsid w:val="2E74450A"/>
    <w:rsid w:val="2F827C01"/>
    <w:rsid w:val="317A4765"/>
    <w:rsid w:val="3402164E"/>
    <w:rsid w:val="340D37CF"/>
    <w:rsid w:val="34405CC9"/>
    <w:rsid w:val="349706DD"/>
    <w:rsid w:val="35264BB7"/>
    <w:rsid w:val="363A1664"/>
    <w:rsid w:val="37425D25"/>
    <w:rsid w:val="375A001D"/>
    <w:rsid w:val="379A0651"/>
    <w:rsid w:val="379E08FE"/>
    <w:rsid w:val="37DA6F70"/>
    <w:rsid w:val="384B2F97"/>
    <w:rsid w:val="388D1F0E"/>
    <w:rsid w:val="3A0E0D35"/>
    <w:rsid w:val="3AEB7782"/>
    <w:rsid w:val="3B98602A"/>
    <w:rsid w:val="3C006BA2"/>
    <w:rsid w:val="3C153A08"/>
    <w:rsid w:val="3C4B0489"/>
    <w:rsid w:val="40041B6A"/>
    <w:rsid w:val="40EB14F0"/>
    <w:rsid w:val="41235525"/>
    <w:rsid w:val="44786CA3"/>
    <w:rsid w:val="44FE1E1F"/>
    <w:rsid w:val="46CA3547"/>
    <w:rsid w:val="46CC5DC8"/>
    <w:rsid w:val="472969D9"/>
    <w:rsid w:val="480212E4"/>
    <w:rsid w:val="48242783"/>
    <w:rsid w:val="49094652"/>
    <w:rsid w:val="4A0A1FE5"/>
    <w:rsid w:val="4A9331E9"/>
    <w:rsid w:val="4B660121"/>
    <w:rsid w:val="4DDA4F28"/>
    <w:rsid w:val="4E3F30F6"/>
    <w:rsid w:val="4EF36854"/>
    <w:rsid w:val="4F3F69DC"/>
    <w:rsid w:val="4FAC0CFF"/>
    <w:rsid w:val="4FE221E8"/>
    <w:rsid w:val="50304200"/>
    <w:rsid w:val="50CB552C"/>
    <w:rsid w:val="51363DAD"/>
    <w:rsid w:val="513D0621"/>
    <w:rsid w:val="51602CCD"/>
    <w:rsid w:val="53076567"/>
    <w:rsid w:val="535369D9"/>
    <w:rsid w:val="53764934"/>
    <w:rsid w:val="54335CC4"/>
    <w:rsid w:val="547804A2"/>
    <w:rsid w:val="551D19C4"/>
    <w:rsid w:val="56081ADC"/>
    <w:rsid w:val="561170E7"/>
    <w:rsid w:val="56195EB9"/>
    <w:rsid w:val="57A04676"/>
    <w:rsid w:val="58DC348C"/>
    <w:rsid w:val="5933128D"/>
    <w:rsid w:val="59C31235"/>
    <w:rsid w:val="59EA2FBA"/>
    <w:rsid w:val="5B516FFD"/>
    <w:rsid w:val="5C033D2E"/>
    <w:rsid w:val="5CC44962"/>
    <w:rsid w:val="5D415FB3"/>
    <w:rsid w:val="5D521671"/>
    <w:rsid w:val="5D8977CB"/>
    <w:rsid w:val="5DE449C2"/>
    <w:rsid w:val="5E1D766B"/>
    <w:rsid w:val="5EE44442"/>
    <w:rsid w:val="616641CD"/>
    <w:rsid w:val="624373E4"/>
    <w:rsid w:val="63196123"/>
    <w:rsid w:val="652941B2"/>
    <w:rsid w:val="66EC7FA8"/>
    <w:rsid w:val="673322E7"/>
    <w:rsid w:val="67F02AB0"/>
    <w:rsid w:val="691F407C"/>
    <w:rsid w:val="6A2F6165"/>
    <w:rsid w:val="6A962CC3"/>
    <w:rsid w:val="6B983D35"/>
    <w:rsid w:val="6E59211A"/>
    <w:rsid w:val="6E5F2939"/>
    <w:rsid w:val="6E987F5B"/>
    <w:rsid w:val="6E9E29D1"/>
    <w:rsid w:val="6F602D05"/>
    <w:rsid w:val="6F6C2E08"/>
    <w:rsid w:val="6F7F5473"/>
    <w:rsid w:val="6FDA5AD5"/>
    <w:rsid w:val="70A56D3F"/>
    <w:rsid w:val="76A33EFC"/>
    <w:rsid w:val="79585343"/>
    <w:rsid w:val="7B2E0BFB"/>
    <w:rsid w:val="7BB53F57"/>
    <w:rsid w:val="7D1526B3"/>
    <w:rsid w:val="7DA36B39"/>
    <w:rsid w:val="7E5F6360"/>
    <w:rsid w:val="7EB51F05"/>
    <w:rsid w:val="7FBD38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8"/>
    <w:qFormat/>
    <w:uiPriority w:val="0"/>
    <w:pPr>
      <w:tabs>
        <w:tab w:val="left" w:pos="567"/>
      </w:tabs>
      <w:autoSpaceDE w:val="0"/>
      <w:autoSpaceDN w:val="0"/>
      <w:adjustRightInd w:val="0"/>
      <w:spacing w:before="156" w:beforeLines="50" w:after="156" w:afterLines="50" w:line="360" w:lineRule="auto"/>
      <w:jc w:val="left"/>
      <w:outlineLvl w:val="0"/>
    </w:pPr>
    <w:rPr>
      <w:rFonts w:ascii="宋体" w:hAnsi="宋体"/>
      <w:b/>
      <w:kern w:val="0"/>
      <w:szCs w:val="21"/>
    </w:rPr>
  </w:style>
  <w:style w:type="paragraph" w:styleId="3">
    <w:name w:val="heading 3"/>
    <w:basedOn w:val="1"/>
    <w:next w:val="1"/>
    <w:qFormat/>
    <w:uiPriority w:val="99"/>
    <w:pPr>
      <w:keepNext/>
      <w:keepLines/>
      <w:spacing w:before="260" w:after="260" w:line="415" w:lineRule="auto"/>
      <w:outlineLvl w:val="2"/>
    </w:pPr>
    <w:rPr>
      <w:b/>
      <w:bCs/>
      <w:kern w:val="0"/>
      <w:sz w:val="32"/>
      <w:szCs w:val="32"/>
      <w:lang w:val="zh-CN"/>
    </w:rPr>
  </w:style>
  <w:style w:type="character" w:default="1" w:styleId="19">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caption"/>
    <w:basedOn w:val="1"/>
    <w:next w:val="1"/>
    <w:qFormat/>
    <w:uiPriority w:val="99"/>
    <w:pPr>
      <w:widowControl/>
      <w:spacing w:line="360" w:lineRule="auto"/>
      <w:ind w:firstLine="200" w:firstLineChars="200"/>
    </w:pPr>
    <w:rPr>
      <w:rFonts w:ascii="Cambria" w:hAnsi="Cambria" w:eastAsia="黑体"/>
      <w:sz w:val="20"/>
      <w:szCs w:val="20"/>
    </w:rPr>
  </w:style>
  <w:style w:type="paragraph" w:styleId="5">
    <w:name w:val="annotation text"/>
    <w:basedOn w:val="1"/>
    <w:semiHidden/>
    <w:qFormat/>
    <w:uiPriority w:val="0"/>
    <w:pPr>
      <w:jc w:val="left"/>
    </w:pPr>
  </w:style>
  <w:style w:type="paragraph" w:styleId="6">
    <w:name w:val="Body Text"/>
    <w:basedOn w:val="1"/>
    <w:qFormat/>
    <w:uiPriority w:val="0"/>
    <w:rPr>
      <w:u w:val="single"/>
    </w:rPr>
  </w:style>
  <w:style w:type="paragraph" w:styleId="7">
    <w:name w:val="Body Text Indent"/>
    <w:basedOn w:val="1"/>
    <w:qFormat/>
    <w:uiPriority w:val="0"/>
    <w:pPr>
      <w:ind w:left="279" w:leftChars="133" w:firstLine="465" w:firstLineChars="166"/>
    </w:pPr>
    <w:rPr>
      <w:rFonts w:ascii="仿宋_GB2312" w:eastAsia="仿宋_GB2312"/>
      <w:sz w:val="28"/>
    </w:rPr>
  </w:style>
  <w:style w:type="paragraph" w:styleId="8">
    <w:name w:val="toc 3"/>
    <w:basedOn w:val="1"/>
    <w:next w:val="1"/>
    <w:semiHidden/>
    <w:qFormat/>
    <w:uiPriority w:val="0"/>
    <w:pPr>
      <w:adjustRightInd w:val="0"/>
      <w:spacing w:line="360" w:lineRule="auto"/>
      <w:ind w:right="57"/>
      <w:jc w:val="center"/>
      <w:textAlignment w:val="baseline"/>
    </w:pPr>
    <w:rPr>
      <w:rFonts w:ascii="仿宋_GB2312" w:eastAsia="仿宋_GB2312"/>
      <w:kern w:val="0"/>
      <w:sz w:val="28"/>
      <w:szCs w:val="28"/>
    </w:rPr>
  </w:style>
  <w:style w:type="paragraph" w:styleId="9">
    <w:name w:val="Plain Text"/>
    <w:basedOn w:val="1"/>
    <w:qFormat/>
    <w:uiPriority w:val="0"/>
    <w:pPr>
      <w:adjustRightInd w:val="0"/>
    </w:pPr>
    <w:rPr>
      <w:rFonts w:ascii="宋体" w:hAnsi="Courier New"/>
      <w:szCs w:val="20"/>
    </w:rPr>
  </w:style>
  <w:style w:type="paragraph" w:styleId="10">
    <w:name w:val="Body Text Indent 2"/>
    <w:basedOn w:val="1"/>
    <w:qFormat/>
    <w:uiPriority w:val="0"/>
    <w:pPr>
      <w:ind w:left="279" w:leftChars="133" w:firstLine="692" w:firstLineChars="247"/>
    </w:pPr>
    <w:rPr>
      <w:rFonts w:ascii="仿宋_GB2312" w:eastAsia="仿宋_GB2312"/>
      <w:sz w:val="2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15">
    <w:name w:val="annotation subject"/>
    <w:basedOn w:val="5"/>
    <w:next w:val="5"/>
    <w:semiHidden/>
    <w:qFormat/>
    <w:uiPriority w:val="0"/>
    <w:rPr>
      <w:b/>
      <w:bCs/>
    </w:rPr>
  </w:style>
  <w:style w:type="paragraph" w:styleId="16">
    <w:name w:val="Body Text First Indent 2"/>
    <w:basedOn w:val="7"/>
    <w:qFormat/>
    <w:uiPriority w:val="0"/>
    <w:pPr>
      <w:ind w:firstLine="420" w:firstLineChars="200"/>
    </w:pPr>
    <w:rPr>
      <w:rFonts w:ascii="Calibri"/>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unhideWhenUsed/>
    <w:qFormat/>
    <w:uiPriority w:val="99"/>
    <w:rPr>
      <w:color w:val="800080"/>
      <w:u w:val="single"/>
    </w:rPr>
  </w:style>
  <w:style w:type="character" w:styleId="22">
    <w:name w:val="Hyperlink"/>
    <w:unhideWhenUsed/>
    <w:qFormat/>
    <w:uiPriority w:val="99"/>
    <w:rPr>
      <w:color w:val="0000FF"/>
      <w:u w:val="single"/>
    </w:rPr>
  </w:style>
  <w:style w:type="character" w:styleId="23">
    <w:name w:val="annotation reference"/>
    <w:semiHidden/>
    <w:qFormat/>
    <w:uiPriority w:val="0"/>
    <w:rPr>
      <w:sz w:val="21"/>
      <w:szCs w:val="21"/>
    </w:rPr>
  </w:style>
  <w:style w:type="paragraph" w:customStyle="1" w:styleId="24">
    <w:name w:val="xl9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5">
    <w:name w:val="xl10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7">
    <w:name w:val="xl100"/>
    <w:basedOn w:val="1"/>
    <w:qFormat/>
    <w:uiPriority w:val="0"/>
    <w:pPr>
      <w:widowControl/>
      <w:pBdr>
        <w:top w:val="single" w:color="auto" w:sz="4" w:space="0"/>
        <w:left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28">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29">
    <w:name w:val="xl76"/>
    <w:basedOn w:val="1"/>
    <w:qFormat/>
    <w:uiPriority w:val="0"/>
    <w:pPr>
      <w:widowControl/>
      <w:pBdr>
        <w:top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kern w:val="0"/>
      <w:sz w:val="20"/>
      <w:szCs w:val="20"/>
    </w:rPr>
  </w:style>
  <w:style w:type="paragraph" w:customStyle="1" w:styleId="30">
    <w:name w:val="xl7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31">
    <w:name w:val=" Char Char"/>
    <w:basedOn w:val="1"/>
    <w:qFormat/>
    <w:uiPriority w:val="0"/>
    <w:rPr>
      <w:szCs w:val="21"/>
    </w:rPr>
  </w:style>
  <w:style w:type="paragraph" w:customStyle="1" w:styleId="32">
    <w:name w:val="xl108"/>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3">
    <w:name w:val="xl68"/>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宋体" w:hAnsi="宋体" w:cs="宋体"/>
      <w:b/>
      <w:bCs/>
      <w:color w:val="000000"/>
      <w:kern w:val="0"/>
      <w:sz w:val="28"/>
      <w:szCs w:val="28"/>
    </w:rPr>
  </w:style>
  <w:style w:type="paragraph" w:customStyle="1" w:styleId="3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5">
    <w:name w:val="xl98"/>
    <w:basedOn w:val="1"/>
    <w:qFormat/>
    <w:uiPriority w:val="0"/>
    <w:pPr>
      <w:widowControl/>
      <w:pBdr>
        <w:left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36">
    <w:name w:val="默认段落字体 Para Char Char Char Char"/>
    <w:basedOn w:val="1"/>
    <w:qFormat/>
    <w:uiPriority w:val="0"/>
  </w:style>
  <w:style w:type="paragraph" w:customStyle="1" w:styleId="37">
    <w:name w:val="xl8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9">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41">
    <w:name w:val="xl94"/>
    <w:basedOn w:val="1"/>
    <w:qFormat/>
    <w:uiPriority w:val="0"/>
    <w:pPr>
      <w:widowControl/>
      <w:pBdr>
        <w:top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42">
    <w:name w:val="xl8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43">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44">
    <w:name w:val="xl112"/>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5">
    <w:name w:val="大纲三级标题 Char Char Char1"/>
    <w:basedOn w:val="1"/>
    <w:qFormat/>
    <w:uiPriority w:val="0"/>
    <w:pPr>
      <w:tabs>
        <w:tab w:val="left" w:pos="4665"/>
        <w:tab w:val="left" w:pos="8970"/>
      </w:tabs>
      <w:spacing w:before="156" w:beforeLines="50" w:after="156" w:afterLines="50"/>
      <w:ind w:firstLine="403"/>
      <w:jc w:val="center"/>
    </w:pPr>
    <w:rPr>
      <w:szCs w:val="20"/>
    </w:rPr>
  </w:style>
  <w:style w:type="paragraph" w:customStyle="1" w:styleId="46">
    <w:name w:val="xl9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7">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8">
    <w:name w:val="xl77"/>
    <w:basedOn w:val="1"/>
    <w:qFormat/>
    <w:uiPriority w:val="0"/>
    <w:pPr>
      <w:widowControl/>
      <w:pBdr>
        <w:top w:val="single" w:color="auto" w:sz="4" w:space="0"/>
        <w:bottom w:val="single" w:color="auto" w:sz="4" w:space="0"/>
        <w:right w:val="single" w:color="auto" w:sz="4" w:space="0"/>
      </w:pBdr>
      <w:shd w:val="clear" w:color="000000" w:fill="33CCCC"/>
      <w:spacing w:before="100" w:beforeAutospacing="1" w:after="100" w:afterAutospacing="1"/>
      <w:jc w:val="left"/>
      <w:textAlignment w:val="center"/>
    </w:pPr>
    <w:rPr>
      <w:rFonts w:ascii="宋体" w:hAnsi="宋体" w:cs="宋体"/>
      <w:b/>
      <w:bCs/>
      <w:kern w:val="0"/>
      <w:sz w:val="20"/>
      <w:szCs w:val="20"/>
    </w:rPr>
  </w:style>
  <w:style w:type="paragraph" w:customStyle="1" w:styleId="4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50">
    <w:name w:val="xl95"/>
    <w:basedOn w:val="1"/>
    <w:qFormat/>
    <w:uiPriority w:val="0"/>
    <w:pPr>
      <w:widowControl/>
      <w:pBdr>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5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2">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53">
    <w:name w:val="xl102"/>
    <w:basedOn w:val="1"/>
    <w:qFormat/>
    <w:uiPriority w:val="0"/>
    <w:pPr>
      <w:widowControl/>
      <w:pBdr>
        <w:top w:val="single" w:color="auto" w:sz="4" w:space="0"/>
        <w:bottom w:val="single" w:color="auto" w:sz="4" w:space="0"/>
        <w:right w:val="single" w:color="auto" w:sz="4" w:space="0"/>
      </w:pBdr>
      <w:shd w:val="clear" w:color="000000" w:fill="33CCCC"/>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54">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5">
    <w:name w:val="xl101"/>
    <w:basedOn w:val="1"/>
    <w:qFormat/>
    <w:uiPriority w:val="0"/>
    <w:pPr>
      <w:widowControl/>
      <w:pBdr>
        <w:top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56">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8">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5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1">
    <w:name w:val="xl9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2">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4">
    <w:name w:val="xl113"/>
    <w:basedOn w:val="1"/>
    <w:qFormat/>
    <w:uiPriority w:val="0"/>
    <w:pPr>
      <w:widowControl/>
      <w:shd w:val="clear" w:color="000000" w:fill="FFFF00"/>
      <w:spacing w:before="100" w:beforeAutospacing="1" w:after="100" w:afterAutospacing="1"/>
      <w:jc w:val="center"/>
    </w:pPr>
    <w:rPr>
      <w:rFonts w:ascii="宋体" w:hAnsi="宋体" w:cs="宋体"/>
      <w:kern w:val="0"/>
      <w:sz w:val="20"/>
      <w:szCs w:val="20"/>
    </w:rPr>
  </w:style>
  <w:style w:type="paragraph" w:customStyle="1" w:styleId="6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6">
    <w:name w:val="xl69"/>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8"/>
      <w:szCs w:val="28"/>
    </w:rPr>
  </w:style>
  <w:style w:type="paragraph" w:customStyle="1" w:styleId="67">
    <w:name w:val="xl67"/>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cs="宋体"/>
      <w:b/>
      <w:bCs/>
      <w:color w:val="000000"/>
      <w:kern w:val="0"/>
      <w:sz w:val="28"/>
      <w:szCs w:val="28"/>
    </w:rPr>
  </w:style>
  <w:style w:type="paragraph" w:customStyle="1" w:styleId="68">
    <w:name w:val="xl70"/>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69">
    <w:name w:val="xl75"/>
    <w:basedOn w:val="1"/>
    <w:qFormat/>
    <w:uiPriority w:val="0"/>
    <w:pPr>
      <w:widowControl/>
      <w:pBdr>
        <w:top w:val="single" w:color="auto" w:sz="4" w:space="0"/>
        <w:left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kern w:val="0"/>
      <w:sz w:val="20"/>
      <w:szCs w:val="20"/>
    </w:rPr>
  </w:style>
  <w:style w:type="paragraph" w:customStyle="1" w:styleId="70">
    <w:name w:val="xl7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71">
    <w:name w:val="xl7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74">
    <w:name w:val="xl9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75">
    <w:name w:val="xl7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76">
    <w:name w:val="xl11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77">
    <w:name w:val="xl10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character" w:customStyle="1" w:styleId="78">
    <w:name w:val="标题 1 Char"/>
    <w:link w:val="2"/>
    <w:qFormat/>
    <w:uiPriority w:val="0"/>
    <w:rPr>
      <w:rFonts w:ascii="宋体" w:hAnsi="宋体"/>
      <w:b/>
      <w:snapToGrid/>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icbc</Company>
  <Pages>5</Pages>
  <Words>2019</Words>
  <Characters>2182</Characters>
  <Lines>27</Lines>
  <Paragraphs>7</Paragraphs>
  <TotalTime>4</TotalTime>
  <ScaleCrop>false</ScaleCrop>
  <LinksUpToDate>false</LinksUpToDate>
  <CharactersWithSpaces>2390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2020-12-04T02:31:00Z</dcterms:created>
  <dc:creator>lenovo</dc:creator>
  <cp:lastModifiedBy>王伟</cp:lastModifiedBy>
  <cp:lastPrinted>2020-11-13T01:45:00Z</cp:lastPrinted>
  <dcterms:modified xsi:type="dcterms:W3CDTF">2026-06-29T01:42:46Z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eyJoZGlkIjoiYmRjOTI2NTI2ZTdlYzhjZjY1MDVjNmQ5MWRmYTIwYzkiLCJ1c2VySWQiOiIxNDg5MzAyMjgzIn0=</vt:lpwstr>
  </property>
  <property fmtid="{D5CDD505-2E9C-101B-9397-08002B2CF9AE}" pid="4" name="ICV">
    <vt:lpwstr>2C7E9A5EAF7B4E62BBC22F71C67CA17D_13</vt:lpwstr>
  </property>
</Properties>
</file>