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72AE00">
      <w:pPr>
        <w:spacing w:line="360" w:lineRule="auto"/>
        <w:jc w:val="center"/>
        <w:rPr>
          <w:rFonts w:ascii="宋体" w:hAnsi="宋体"/>
          <w:b/>
          <w:sz w:val="44"/>
          <w:szCs w:val="44"/>
        </w:rPr>
      </w:pPr>
    </w:p>
    <w:p w14:paraId="6635E7AD">
      <w:pPr>
        <w:spacing w:line="360" w:lineRule="auto"/>
        <w:jc w:val="center"/>
        <w:rPr>
          <w:rFonts w:ascii="宋体" w:hAnsi="宋体"/>
          <w:b/>
          <w:sz w:val="44"/>
          <w:szCs w:val="44"/>
        </w:rPr>
      </w:pPr>
    </w:p>
    <w:p w14:paraId="6030567C">
      <w:pPr>
        <w:spacing w:line="360" w:lineRule="auto"/>
        <w:jc w:val="center"/>
        <w:rPr>
          <w:rFonts w:ascii="宋体" w:hAnsi="宋体"/>
          <w:b/>
          <w:sz w:val="44"/>
          <w:szCs w:val="44"/>
        </w:rPr>
      </w:pPr>
    </w:p>
    <w:p w14:paraId="66224E0E">
      <w:pPr>
        <w:spacing w:line="360" w:lineRule="auto"/>
        <w:jc w:val="center"/>
        <w:rPr>
          <w:rFonts w:ascii="宋体" w:hAnsi="宋体"/>
          <w:b/>
          <w:sz w:val="44"/>
          <w:szCs w:val="44"/>
        </w:rPr>
      </w:pPr>
      <w:r>
        <w:rPr>
          <w:rFonts w:hint="eastAsia" w:ascii="宋体" w:hAnsi="宋体"/>
          <w:b/>
          <w:sz w:val="44"/>
          <w:szCs w:val="44"/>
        </w:rPr>
        <w:t>甘肃酒钢集团东兴铝业有限公司</w:t>
      </w:r>
    </w:p>
    <w:p w14:paraId="7175BD8D">
      <w:pPr>
        <w:spacing w:line="360" w:lineRule="auto"/>
        <w:jc w:val="center"/>
        <w:rPr>
          <w:rFonts w:ascii="宋体" w:hAnsi="宋体"/>
          <w:b/>
          <w:sz w:val="36"/>
          <w:szCs w:val="36"/>
        </w:rPr>
      </w:pPr>
    </w:p>
    <w:p w14:paraId="4F308497">
      <w:pPr>
        <w:spacing w:line="360" w:lineRule="auto"/>
        <w:jc w:val="center"/>
        <w:rPr>
          <w:rFonts w:ascii="宋体" w:hAnsi="宋体"/>
          <w:b/>
          <w:sz w:val="36"/>
          <w:szCs w:val="36"/>
        </w:rPr>
      </w:pPr>
    </w:p>
    <w:p w14:paraId="585A9457">
      <w:pPr>
        <w:spacing w:line="360" w:lineRule="auto"/>
        <w:jc w:val="both"/>
        <w:rPr>
          <w:rFonts w:ascii="宋体" w:hAnsi="宋体"/>
          <w:b/>
          <w:sz w:val="36"/>
          <w:szCs w:val="36"/>
        </w:rPr>
      </w:pPr>
    </w:p>
    <w:p w14:paraId="4C04E0CA">
      <w:pPr>
        <w:spacing w:line="360" w:lineRule="auto"/>
        <w:jc w:val="center"/>
        <w:rPr>
          <w:rFonts w:hint="eastAsia" w:ascii="宋体" w:hAnsi="宋体"/>
          <w:b/>
          <w:sz w:val="36"/>
          <w:szCs w:val="36"/>
          <w:lang w:eastAsia="zh-CN"/>
        </w:rPr>
      </w:pPr>
      <w:r>
        <w:rPr>
          <w:rFonts w:hint="eastAsia" w:ascii="宋体" w:hAnsi="宋体"/>
          <w:b/>
          <w:sz w:val="36"/>
          <w:szCs w:val="36"/>
        </w:rPr>
        <w:t>动力一作业区</w:t>
      </w:r>
      <w:r>
        <w:rPr>
          <w:rFonts w:hint="eastAsia" w:ascii="宋体" w:hAnsi="宋体"/>
          <w:b/>
          <w:sz w:val="36"/>
          <w:szCs w:val="36"/>
          <w:lang w:eastAsia="zh-CN"/>
        </w:rPr>
        <w:t>管道循环泵</w:t>
      </w:r>
    </w:p>
    <w:p w14:paraId="3A4DAEF2">
      <w:pPr>
        <w:spacing w:line="360" w:lineRule="auto"/>
        <w:jc w:val="center"/>
        <w:rPr>
          <w:rFonts w:ascii="宋体" w:hAnsi="宋体"/>
          <w:b/>
          <w:sz w:val="36"/>
          <w:szCs w:val="36"/>
        </w:rPr>
      </w:pPr>
      <w:r>
        <w:rPr>
          <w:rFonts w:hint="eastAsia" w:ascii="宋体" w:hAnsi="宋体"/>
          <w:b/>
          <w:sz w:val="36"/>
          <w:szCs w:val="36"/>
        </w:rPr>
        <w:t>供货技术规格书</w:t>
      </w:r>
    </w:p>
    <w:p w14:paraId="659F8F5C">
      <w:pPr>
        <w:widowControl/>
        <w:spacing w:line="360" w:lineRule="auto"/>
        <w:rPr>
          <w:rFonts w:ascii="宋体" w:hAnsi="宋体"/>
          <w:b/>
          <w:sz w:val="36"/>
          <w:szCs w:val="36"/>
        </w:rPr>
      </w:pPr>
    </w:p>
    <w:p w14:paraId="2774880D">
      <w:pPr>
        <w:widowControl/>
        <w:spacing w:line="360" w:lineRule="auto"/>
        <w:rPr>
          <w:rFonts w:ascii="宋体" w:hAnsi="宋体"/>
          <w:b/>
          <w:sz w:val="36"/>
          <w:szCs w:val="36"/>
        </w:rPr>
      </w:pPr>
    </w:p>
    <w:p w14:paraId="51C04AC5">
      <w:pPr>
        <w:widowControl/>
        <w:spacing w:line="360" w:lineRule="auto"/>
        <w:jc w:val="center"/>
        <w:rPr>
          <w:rFonts w:ascii="宋体" w:hAnsi="宋体"/>
          <w:b/>
          <w:sz w:val="36"/>
          <w:szCs w:val="36"/>
        </w:rPr>
      </w:pPr>
    </w:p>
    <w:p w14:paraId="58DCE7DB">
      <w:pPr>
        <w:widowControl/>
        <w:spacing w:line="360" w:lineRule="auto"/>
        <w:jc w:val="center"/>
        <w:rPr>
          <w:rFonts w:ascii="宋体" w:hAnsi="宋体"/>
          <w:b/>
          <w:sz w:val="36"/>
          <w:szCs w:val="36"/>
        </w:rPr>
      </w:pPr>
    </w:p>
    <w:p w14:paraId="64A46697">
      <w:pPr>
        <w:widowControl/>
        <w:spacing w:line="360" w:lineRule="auto"/>
        <w:jc w:val="center"/>
        <w:rPr>
          <w:rFonts w:ascii="宋体" w:hAnsi="宋体"/>
          <w:b/>
          <w:sz w:val="36"/>
          <w:szCs w:val="36"/>
        </w:rPr>
      </w:pPr>
    </w:p>
    <w:p w14:paraId="1A478A88">
      <w:pPr>
        <w:ind w:firstLine="1285" w:firstLineChars="400"/>
        <w:rPr>
          <w:rFonts w:ascii="宋体" w:hAnsi="宋体"/>
          <w:b/>
          <w:sz w:val="32"/>
          <w:szCs w:val="32"/>
        </w:rPr>
      </w:pPr>
    </w:p>
    <w:p w14:paraId="1FA4DCC4">
      <w:pPr>
        <w:ind w:firstLine="1285" w:firstLineChars="400"/>
        <w:rPr>
          <w:rFonts w:ascii="宋体" w:hAnsi="宋体"/>
          <w:b/>
          <w:sz w:val="32"/>
          <w:szCs w:val="32"/>
        </w:rPr>
      </w:pPr>
    </w:p>
    <w:p w14:paraId="1A10A1AF">
      <w:pPr>
        <w:ind w:firstLine="1285" w:firstLineChars="400"/>
        <w:rPr>
          <w:rFonts w:ascii="宋体" w:hAnsi="宋体"/>
          <w:b/>
          <w:sz w:val="32"/>
          <w:szCs w:val="32"/>
        </w:rPr>
      </w:pPr>
    </w:p>
    <w:p w14:paraId="557B0941">
      <w:pPr>
        <w:ind w:firstLine="1928" w:firstLineChars="600"/>
        <w:rPr>
          <w:rFonts w:ascii="宋体" w:eastAsia="仿宋_GB2312"/>
          <w:sz w:val="32"/>
          <w:szCs w:val="32"/>
        </w:rPr>
      </w:pPr>
      <w:r>
        <w:rPr>
          <w:rFonts w:hint="eastAsia" w:ascii="宋体" w:hAnsi="宋体"/>
          <w:b/>
          <w:sz w:val="32"/>
          <w:szCs w:val="32"/>
        </w:rPr>
        <w:t>甲方：</w:t>
      </w:r>
      <w:r>
        <w:rPr>
          <w:rFonts w:hint="eastAsia" w:ascii="仿宋_GB2312" w:hAnsi="仿宋_GB2312" w:eastAsia="仿宋_GB2312"/>
          <w:b/>
          <w:snapToGrid w:val="0"/>
          <w:kern w:val="28"/>
          <w:sz w:val="36"/>
          <w:szCs w:val="36"/>
        </w:rPr>
        <w:t>甘肃东兴铝业有限公司嘉峪关分公司</w:t>
      </w:r>
    </w:p>
    <w:p w14:paraId="32210676">
      <w:pPr>
        <w:widowControl/>
        <w:spacing w:line="360" w:lineRule="auto"/>
        <w:ind w:firstLine="1928" w:firstLineChars="600"/>
        <w:jc w:val="left"/>
        <w:rPr>
          <w:rFonts w:ascii="宋体" w:hAnsi="宋体"/>
          <w:b/>
          <w:sz w:val="36"/>
          <w:szCs w:val="36"/>
        </w:rPr>
      </w:pPr>
      <w:r>
        <w:rPr>
          <w:rFonts w:hint="eastAsia" w:ascii="宋体" w:hAnsi="宋体"/>
          <w:b/>
          <w:sz w:val="32"/>
          <w:szCs w:val="32"/>
        </w:rPr>
        <w:t>乙方：</w:t>
      </w:r>
    </w:p>
    <w:p w14:paraId="74C0064B">
      <w:pPr>
        <w:spacing w:line="360" w:lineRule="auto"/>
        <w:ind w:firstLine="3433" w:firstLineChars="950"/>
        <w:jc w:val="left"/>
        <w:rPr>
          <w:rFonts w:hint="eastAsia" w:ascii="宋体" w:hAnsi="宋体"/>
          <w:b/>
          <w:sz w:val="36"/>
          <w:szCs w:val="36"/>
        </w:rPr>
      </w:pPr>
    </w:p>
    <w:p w14:paraId="19C01519">
      <w:pPr>
        <w:spacing w:line="360" w:lineRule="auto"/>
        <w:ind w:firstLine="3433" w:firstLineChars="950"/>
        <w:jc w:val="left"/>
        <w:rPr>
          <w:rFonts w:hint="eastAsia" w:ascii="宋体" w:hAnsi="宋体"/>
          <w:b/>
          <w:sz w:val="36"/>
          <w:szCs w:val="36"/>
        </w:rPr>
      </w:pPr>
    </w:p>
    <w:p w14:paraId="00E7D70A">
      <w:pPr>
        <w:spacing w:line="360" w:lineRule="auto"/>
        <w:ind w:firstLine="3433" w:firstLineChars="950"/>
        <w:jc w:val="left"/>
        <w:rPr>
          <w:rFonts w:hint="eastAsia" w:ascii="宋体" w:hAnsi="宋体"/>
          <w:b/>
          <w:sz w:val="36"/>
          <w:szCs w:val="36"/>
        </w:rPr>
      </w:pPr>
    </w:p>
    <w:p w14:paraId="5D658998">
      <w:pPr>
        <w:spacing w:line="360" w:lineRule="auto"/>
        <w:ind w:firstLine="3433" w:firstLineChars="950"/>
        <w:jc w:val="left"/>
        <w:rPr>
          <w:rFonts w:hint="eastAsia" w:ascii="宋体" w:hAnsi="宋体"/>
          <w:b/>
          <w:sz w:val="36"/>
          <w:szCs w:val="36"/>
        </w:rPr>
      </w:pPr>
    </w:p>
    <w:p w14:paraId="36F8592C">
      <w:pPr>
        <w:spacing w:line="360" w:lineRule="auto"/>
        <w:jc w:val="center"/>
        <w:outlineLvl w:val="0"/>
        <w:rPr>
          <w:rFonts w:ascii="宋体"/>
          <w:b/>
          <w:sz w:val="44"/>
          <w:szCs w:val="44"/>
        </w:rPr>
      </w:pPr>
      <w:r>
        <w:rPr>
          <w:rFonts w:hint="eastAsia" w:ascii="宋体" w:hAnsi="宋体"/>
          <w:b/>
          <w:sz w:val="44"/>
          <w:szCs w:val="44"/>
        </w:rPr>
        <w:t>目</w:t>
      </w:r>
      <w:r>
        <w:rPr>
          <w:rFonts w:ascii="宋体" w:hAnsi="宋体"/>
          <w:b/>
          <w:sz w:val="44"/>
          <w:szCs w:val="44"/>
        </w:rPr>
        <w:t xml:space="preserve">    </w:t>
      </w:r>
      <w:r>
        <w:rPr>
          <w:rFonts w:hint="eastAsia" w:ascii="宋体" w:hAnsi="宋体"/>
          <w:b/>
          <w:sz w:val="44"/>
          <w:szCs w:val="44"/>
        </w:rPr>
        <w:t>录</w:t>
      </w:r>
    </w:p>
    <w:p w14:paraId="1FE51A3C">
      <w:pPr>
        <w:spacing w:line="360" w:lineRule="auto"/>
        <w:ind w:firstLine="3791" w:firstLineChars="1049"/>
        <w:rPr>
          <w:rFonts w:ascii="宋体"/>
          <w:b/>
          <w:sz w:val="36"/>
          <w:szCs w:val="36"/>
        </w:rPr>
      </w:pPr>
    </w:p>
    <w:p w14:paraId="51B0ABE7">
      <w:pPr>
        <w:spacing w:line="360" w:lineRule="auto"/>
        <w:ind w:firstLine="3791" w:firstLineChars="1049"/>
        <w:rPr>
          <w:rFonts w:ascii="宋体"/>
          <w:b/>
          <w:sz w:val="36"/>
          <w:szCs w:val="36"/>
        </w:rPr>
      </w:pPr>
    </w:p>
    <w:p w14:paraId="21BB2EDB">
      <w:pPr>
        <w:spacing w:before="100" w:beforeAutospacing="1" w:after="100" w:afterAutospacing="1" w:line="480" w:lineRule="auto"/>
        <w:ind w:firstLine="2530" w:firstLineChars="900"/>
        <w:jc w:val="both"/>
        <w:outlineLvl w:val="0"/>
        <w:rPr>
          <w:rFonts w:ascii="宋体"/>
          <w:b/>
          <w:sz w:val="28"/>
          <w:szCs w:val="28"/>
        </w:rPr>
      </w:pPr>
      <w:r>
        <w:rPr>
          <w:rFonts w:hint="eastAsia" w:ascii="宋体" w:hAnsi="宋体"/>
          <w:b/>
          <w:sz w:val="28"/>
          <w:szCs w:val="28"/>
        </w:rPr>
        <w:t>附件一</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总则</w:t>
      </w:r>
    </w:p>
    <w:p w14:paraId="25987A35">
      <w:pPr>
        <w:spacing w:before="100" w:beforeAutospacing="1" w:after="100" w:afterAutospacing="1" w:line="480" w:lineRule="auto"/>
        <w:ind w:firstLine="2530" w:firstLineChars="900"/>
        <w:jc w:val="both"/>
        <w:outlineLvl w:val="0"/>
        <w:rPr>
          <w:rFonts w:ascii="宋体"/>
          <w:b/>
          <w:sz w:val="28"/>
          <w:szCs w:val="28"/>
        </w:rPr>
      </w:pPr>
      <w:r>
        <w:rPr>
          <w:rFonts w:hint="eastAsia" w:ascii="宋体" w:hAnsi="宋体"/>
          <w:b/>
          <w:sz w:val="28"/>
          <w:szCs w:val="28"/>
        </w:rPr>
        <w:t>附件二</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制造要求</w:t>
      </w:r>
    </w:p>
    <w:p w14:paraId="1F667FF9">
      <w:pPr>
        <w:spacing w:before="100" w:beforeAutospacing="1" w:after="100" w:afterAutospacing="1" w:line="480" w:lineRule="auto"/>
        <w:ind w:firstLine="2530" w:firstLineChars="900"/>
        <w:jc w:val="both"/>
        <w:outlineLvl w:val="0"/>
        <w:rPr>
          <w:rFonts w:ascii="宋体"/>
          <w:b/>
          <w:spacing w:val="-4"/>
          <w:kern w:val="28"/>
          <w:sz w:val="28"/>
          <w:szCs w:val="28"/>
        </w:rPr>
      </w:pPr>
      <w:r>
        <w:rPr>
          <w:rFonts w:hint="eastAsia" w:ascii="宋体" w:hAnsi="宋体"/>
          <w:b/>
          <w:sz w:val="28"/>
          <w:szCs w:val="28"/>
        </w:rPr>
        <w:t xml:space="preserve">附件三   </w:t>
      </w:r>
      <w:r>
        <w:rPr>
          <w:rFonts w:ascii="宋体" w:hAnsi="宋体"/>
          <w:b/>
          <w:spacing w:val="-4"/>
          <w:kern w:val="28"/>
          <w:sz w:val="28"/>
          <w:szCs w:val="28"/>
        </w:rPr>
        <w:t xml:space="preserve"> </w:t>
      </w:r>
      <w:r>
        <w:rPr>
          <w:rFonts w:hint="eastAsia" w:ascii="宋体" w:hAnsi="宋体"/>
          <w:b/>
          <w:spacing w:val="-4"/>
          <w:kern w:val="28"/>
          <w:sz w:val="28"/>
          <w:szCs w:val="28"/>
        </w:rPr>
        <w:t xml:space="preserve"> 供货范围</w:t>
      </w:r>
    </w:p>
    <w:p w14:paraId="22D6E592">
      <w:pPr>
        <w:tabs>
          <w:tab w:val="left" w:pos="0"/>
          <w:tab w:val="left" w:pos="900"/>
          <w:tab w:val="left" w:pos="1080"/>
        </w:tabs>
        <w:spacing w:before="100" w:beforeAutospacing="1" w:after="100" w:afterAutospacing="1" w:line="480" w:lineRule="auto"/>
        <w:ind w:firstLine="2530" w:firstLineChars="900"/>
        <w:jc w:val="both"/>
        <w:outlineLvl w:val="0"/>
        <w:rPr>
          <w:rFonts w:hint="eastAsia" w:ascii="宋体"/>
          <w:b/>
          <w:sz w:val="28"/>
          <w:szCs w:val="28"/>
        </w:rPr>
      </w:pPr>
      <w:r>
        <w:rPr>
          <w:rFonts w:hint="eastAsia" w:ascii="宋体" w:hAnsi="宋体"/>
          <w:b/>
          <w:sz w:val="28"/>
          <w:szCs w:val="28"/>
        </w:rPr>
        <w:t>附件四</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具体要求</w:t>
      </w:r>
    </w:p>
    <w:p w14:paraId="114C8B1E">
      <w:pPr>
        <w:tabs>
          <w:tab w:val="left" w:pos="0"/>
          <w:tab w:val="left" w:pos="720"/>
          <w:tab w:val="left" w:pos="900"/>
          <w:tab w:val="left" w:pos="1080"/>
        </w:tabs>
        <w:spacing w:before="100" w:beforeAutospacing="1" w:after="100" w:afterAutospacing="1" w:line="480" w:lineRule="auto"/>
        <w:ind w:firstLine="2530" w:firstLineChars="900"/>
        <w:jc w:val="both"/>
        <w:outlineLvl w:val="0"/>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eastAsia="zh-CN"/>
        </w:rPr>
        <w:t>五</w:t>
      </w:r>
      <w:r>
        <w:rPr>
          <w:rFonts w:ascii="宋体" w:hAnsi="宋体"/>
          <w:b/>
          <w:sz w:val="28"/>
          <w:szCs w:val="28"/>
        </w:rPr>
        <w:t xml:space="preserve"> </w:t>
      </w:r>
      <w:r>
        <w:rPr>
          <w:rFonts w:hint="eastAsia" w:ascii="宋体" w:hAnsi="宋体"/>
          <w:b/>
          <w:sz w:val="28"/>
          <w:szCs w:val="28"/>
          <w:lang w:val="en-US" w:eastAsia="zh-CN"/>
        </w:rPr>
        <w:t xml:space="preserve"> </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提供资料</w:t>
      </w:r>
    </w:p>
    <w:p w14:paraId="41BA89AE">
      <w:pPr>
        <w:spacing w:before="100" w:beforeAutospacing="1" w:after="100" w:afterAutospacing="1" w:line="480" w:lineRule="auto"/>
        <w:ind w:firstLine="2530" w:firstLineChars="900"/>
        <w:jc w:val="both"/>
        <w:outlineLvl w:val="0"/>
        <w:rPr>
          <w:rFonts w:hint="eastAsia" w:ascii="宋体" w:hAnsi="宋体"/>
          <w:b/>
          <w:sz w:val="28"/>
          <w:szCs w:val="28"/>
        </w:rPr>
      </w:pPr>
      <w:r>
        <w:rPr>
          <w:rFonts w:hint="eastAsia" w:ascii="宋体" w:hAnsi="宋体"/>
          <w:b/>
          <w:sz w:val="28"/>
          <w:szCs w:val="28"/>
        </w:rPr>
        <w:t>附件</w:t>
      </w:r>
      <w:r>
        <w:rPr>
          <w:rFonts w:hint="eastAsia" w:ascii="宋体" w:hAnsi="宋体"/>
          <w:b/>
          <w:sz w:val="28"/>
          <w:szCs w:val="28"/>
          <w:lang w:eastAsia="zh-CN"/>
        </w:rPr>
        <w:t>六</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质量保证及售后服务</w:t>
      </w:r>
    </w:p>
    <w:p w14:paraId="5BFDE180">
      <w:pPr>
        <w:spacing w:before="100" w:beforeAutospacing="1" w:after="100" w:afterAutospacing="1" w:line="480" w:lineRule="auto"/>
        <w:ind w:firstLine="2530" w:firstLineChars="900"/>
        <w:jc w:val="both"/>
        <w:outlineLvl w:val="0"/>
        <w:rPr>
          <w:rFonts w:ascii="宋体"/>
          <w:b/>
          <w:sz w:val="28"/>
          <w:szCs w:val="28"/>
        </w:rPr>
      </w:pPr>
      <w:r>
        <w:rPr>
          <w:rFonts w:hint="eastAsia" w:ascii="宋体" w:hAnsi="宋体"/>
          <w:b/>
          <w:sz w:val="28"/>
          <w:szCs w:val="28"/>
        </w:rPr>
        <w:t>附件</w:t>
      </w:r>
      <w:r>
        <w:rPr>
          <w:rFonts w:hint="eastAsia" w:ascii="宋体" w:hAnsi="宋体"/>
          <w:b/>
          <w:sz w:val="28"/>
          <w:szCs w:val="28"/>
          <w:lang w:eastAsia="zh-CN"/>
        </w:rPr>
        <w:t>七</w:t>
      </w:r>
      <w:r>
        <w:rPr>
          <w:rFonts w:ascii="宋体" w:hAnsi="宋体"/>
          <w:b/>
          <w:sz w:val="28"/>
          <w:szCs w:val="28"/>
        </w:rPr>
        <w:t xml:space="preserve">   </w:t>
      </w:r>
      <w:r>
        <w:rPr>
          <w:rFonts w:hint="eastAsia" w:ascii="宋体" w:hAnsi="宋体"/>
          <w:b/>
          <w:sz w:val="28"/>
          <w:szCs w:val="28"/>
          <w:lang w:val="en-US" w:eastAsia="zh-CN"/>
        </w:rPr>
        <w:t xml:space="preserve">  </w:t>
      </w:r>
      <w:r>
        <w:rPr>
          <w:rFonts w:hint="eastAsia" w:ascii="宋体" w:hAnsi="宋体"/>
          <w:b/>
          <w:sz w:val="28"/>
          <w:szCs w:val="28"/>
        </w:rPr>
        <w:t>交货时间及地点</w:t>
      </w:r>
    </w:p>
    <w:p w14:paraId="134F7A29">
      <w:pPr>
        <w:spacing w:before="100" w:beforeAutospacing="1" w:after="100" w:afterAutospacing="1" w:line="480" w:lineRule="auto"/>
        <w:ind w:firstLine="2530" w:firstLineChars="900"/>
        <w:jc w:val="both"/>
        <w:outlineLvl w:val="0"/>
        <w:rPr>
          <w:rFonts w:hint="eastAsia" w:ascii="宋体"/>
          <w:b/>
          <w:sz w:val="28"/>
          <w:szCs w:val="28"/>
        </w:rPr>
      </w:pPr>
      <w:r>
        <w:rPr>
          <w:rFonts w:hint="eastAsia" w:ascii="宋体" w:hAnsi="宋体"/>
          <w:b/>
          <w:sz w:val="28"/>
          <w:szCs w:val="28"/>
        </w:rPr>
        <w:t>附件</w:t>
      </w:r>
      <w:r>
        <w:rPr>
          <w:rFonts w:hint="eastAsia" w:ascii="宋体" w:hAnsi="宋体"/>
          <w:b/>
          <w:sz w:val="28"/>
          <w:szCs w:val="28"/>
          <w:lang w:eastAsia="zh-CN"/>
        </w:rPr>
        <w:t>八</w:t>
      </w:r>
      <w:r>
        <w:rPr>
          <w:rFonts w:hint="eastAsia" w:ascii="宋体" w:hAnsi="宋体"/>
          <w:b/>
          <w:sz w:val="28"/>
          <w:szCs w:val="28"/>
          <w:lang w:val="en-US" w:eastAsia="zh-CN"/>
        </w:rPr>
        <w:t xml:space="preserve">     </w:t>
      </w:r>
      <w:r>
        <w:rPr>
          <w:rFonts w:hint="eastAsia" w:ascii="宋体" w:hAnsi="宋体"/>
          <w:b/>
          <w:sz w:val="28"/>
          <w:szCs w:val="28"/>
        </w:rPr>
        <w:t>其它</w:t>
      </w:r>
    </w:p>
    <w:p w14:paraId="5324E819">
      <w:pPr>
        <w:tabs>
          <w:tab w:val="left" w:pos="0"/>
          <w:tab w:val="left" w:pos="720"/>
          <w:tab w:val="left" w:pos="900"/>
          <w:tab w:val="left" w:pos="1080"/>
        </w:tabs>
        <w:spacing w:before="100" w:beforeAutospacing="1" w:after="100" w:afterAutospacing="1" w:line="480" w:lineRule="auto"/>
        <w:ind w:firstLine="2530" w:firstLineChars="900"/>
        <w:rPr>
          <w:rFonts w:hint="eastAsia" w:ascii="宋体" w:hAnsi="宋体"/>
          <w:b/>
          <w:sz w:val="28"/>
          <w:szCs w:val="28"/>
        </w:rPr>
      </w:pPr>
    </w:p>
    <w:p w14:paraId="298245F4">
      <w:pPr>
        <w:snapToGrid w:val="0"/>
        <w:spacing w:before="100" w:beforeAutospacing="1" w:after="100" w:afterAutospacing="1" w:line="360" w:lineRule="auto"/>
        <w:ind w:right="-447"/>
        <w:rPr>
          <w:rFonts w:ascii="宋体"/>
          <w:b/>
          <w:sz w:val="32"/>
          <w:szCs w:val="32"/>
        </w:rPr>
      </w:pPr>
    </w:p>
    <w:p w14:paraId="401D5F09">
      <w:pPr>
        <w:snapToGrid w:val="0"/>
        <w:spacing w:before="100" w:beforeAutospacing="1" w:after="100" w:afterAutospacing="1" w:line="360" w:lineRule="auto"/>
        <w:ind w:right="-447"/>
        <w:rPr>
          <w:rFonts w:ascii="宋体"/>
          <w:b/>
          <w:sz w:val="32"/>
          <w:szCs w:val="32"/>
        </w:rPr>
      </w:pPr>
    </w:p>
    <w:p w14:paraId="16BBBF81">
      <w:pPr>
        <w:spacing w:line="360" w:lineRule="auto"/>
        <w:jc w:val="left"/>
        <w:rPr>
          <w:rFonts w:hint="eastAsia" w:ascii="宋体" w:hAnsi="宋体"/>
          <w:b/>
          <w:sz w:val="36"/>
          <w:szCs w:val="36"/>
        </w:rPr>
      </w:pPr>
    </w:p>
    <w:p w14:paraId="772EC04B">
      <w:pPr>
        <w:pageBreakBefore/>
        <w:adjustRightInd w:val="0"/>
        <w:snapToGrid w:val="0"/>
        <w:spacing w:line="600" w:lineRule="atLeast"/>
        <w:ind w:firstLine="560" w:firstLineChars="200"/>
        <w:rPr>
          <w:rFonts w:ascii="宋体" w:hAnsi="宋体"/>
          <w:szCs w:val="21"/>
        </w:rPr>
      </w:pPr>
      <w:r>
        <w:rPr>
          <w:rFonts w:hint="eastAsia" w:ascii="仿宋_GB2312" w:hAnsi="仿宋_GB2312" w:eastAsia="仿宋_GB2312" w:cs="仿宋_GB2312"/>
          <w:sz w:val="28"/>
          <w:szCs w:val="28"/>
          <w:u w:val="single"/>
        </w:rPr>
        <w:t>甘肃东兴铝业有限公司嘉峪关分公司</w:t>
      </w:r>
      <w:r>
        <w:rPr>
          <w:rFonts w:hint="eastAsia" w:ascii="仿宋_GB2312" w:hAnsi="仿宋_GB2312" w:eastAsia="仿宋_GB2312" w:cs="仿宋_GB2312"/>
          <w:sz w:val="28"/>
          <w:szCs w:val="28"/>
        </w:rPr>
        <w:t>（以下简称甲方）与</w:t>
      </w:r>
      <w:r>
        <w:rPr>
          <w:rFonts w:hint="eastAsia" w:ascii="仿宋_GB2312" w:hAnsi="仿宋_GB2312" w:eastAsia="仿宋_GB2312" w:cs="仿宋_GB2312"/>
          <w:sz w:val="28"/>
          <w:szCs w:val="28"/>
          <w:u w:val="single"/>
        </w:rPr>
        <w:t xml:space="preserve">                  </w:t>
      </w:r>
      <w:r>
        <w:rPr>
          <w:rFonts w:hint="eastAsia" w:ascii="仿宋_GB2312" w:hAnsi="仿宋_GB2312" w:eastAsia="仿宋_GB2312" w:cs="仿宋_GB2312"/>
          <w:sz w:val="28"/>
          <w:szCs w:val="28"/>
        </w:rPr>
        <w:t>(以下简称乙方）就甲方</w:t>
      </w:r>
      <w:r>
        <w:rPr>
          <w:rFonts w:hint="eastAsia" w:ascii="仿宋_GB2312" w:hAnsi="仿宋_GB2312" w:eastAsia="仿宋_GB2312" w:cs="仿宋_GB2312"/>
          <w:sz w:val="28"/>
          <w:szCs w:val="28"/>
          <w:lang w:eastAsia="zh-CN"/>
        </w:rPr>
        <w:t>管道循环泵</w:t>
      </w:r>
      <w:r>
        <w:rPr>
          <w:rFonts w:hint="eastAsia" w:ascii="仿宋_GB2312" w:hAnsi="仿宋_GB2312" w:eastAsia="仿宋_GB2312" w:cs="仿宋_GB2312"/>
          <w:sz w:val="28"/>
          <w:szCs w:val="28"/>
        </w:rPr>
        <w:t>采购事宜，经双方协商一致达成如下有关技术规格书：</w:t>
      </w:r>
    </w:p>
    <w:p w14:paraId="0670DD8B">
      <w:pPr>
        <w:widowControl/>
        <w:spacing w:line="560" w:lineRule="exact"/>
        <w:ind w:firstLine="562" w:firstLineChars="200"/>
        <w:jc w:val="left"/>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附件一  总则</w:t>
      </w:r>
    </w:p>
    <w:p w14:paraId="6E35AB9F">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本技术规格书作为甲方设备订货合同的附件，与订货合同同时生效，具有同等法律效力。合同执行期间双方再协商形成的补充协议和追加条款也具有同等法律效力。</w:t>
      </w:r>
    </w:p>
    <w:p w14:paraId="447541D6">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1.1 本技术规格书所提出的是最低标准的技术要求，并未对一切技术细节做出规定，也未充分引述有关标准和规范的条文，乙方应保证提供符合有关标准和技术文件的优质产品。</w:t>
      </w:r>
    </w:p>
    <w:p w14:paraId="0903013B">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1.2 乙方提供的设备必须具有国内同行业近几年内的先进制造水平，采用先进工艺，合格材料，成熟的技术或专利技术。</w:t>
      </w:r>
    </w:p>
    <w:p w14:paraId="2553F293">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1.3 乙方提供的设备必须是全新、规范、先进的高质量可靠产品，能够确保连续稳定的工作。</w:t>
      </w:r>
    </w:p>
    <w:p w14:paraId="2C7AE92E">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1.4 乙方提供货物的制造，材料的选择，都应按照国内外通用的现行标准和相应的技术规范执行，而这些标准和技术规范应为合同签字日为止最新公布发问的标准和技术规范。</w:t>
      </w:r>
    </w:p>
    <w:p w14:paraId="47587517">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1.5 乙方须对本设备设计的完整性、合理性和设计质量承担全部责任。保证设备、线路、插件等设计满足现场工艺要求。</w:t>
      </w:r>
    </w:p>
    <w:p w14:paraId="5292512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 乙方在合同货物制造中，发生侵犯专利的行为时其侵权责任与甲方无关。</w:t>
      </w:r>
    </w:p>
    <w:p w14:paraId="707C9FB2">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lang w:val="en-US" w:eastAsia="zh-CN"/>
        </w:rPr>
        <w:t>7</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eastAsia="zh-CN"/>
        </w:rPr>
        <w:t>乙方负责对立式管道循环泵设备的现场安装、调试，</w:t>
      </w:r>
      <w:r>
        <w:rPr>
          <w:rFonts w:hint="eastAsia" w:ascii="仿宋_GB2312" w:hAnsi="仿宋_GB2312" w:eastAsia="仿宋_GB2312" w:cs="仿宋_GB2312"/>
          <w:sz w:val="28"/>
          <w:szCs w:val="28"/>
        </w:rPr>
        <w:t>由于安装不合质量要求，造成的责任及损失由乙方负责。</w:t>
      </w:r>
    </w:p>
    <w:p w14:paraId="00B7D26E">
      <w:pPr>
        <w:widowControl/>
        <w:spacing w:line="560" w:lineRule="exact"/>
        <w:ind w:firstLine="562" w:firstLineChars="200"/>
        <w:jc w:val="left"/>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附件二  制造要求</w:t>
      </w:r>
    </w:p>
    <w:p w14:paraId="63559D1A">
      <w:pPr>
        <w:widowControl/>
        <w:adjustRightInd w:val="0"/>
        <w:snapToGrid w:val="0"/>
        <w:spacing w:line="600" w:lineRule="atLeast"/>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2.1技术要求</w:t>
      </w:r>
    </w:p>
    <w:p w14:paraId="7EFDD029">
      <w:pPr>
        <w:widowControl/>
        <w:adjustRightInd w:val="0"/>
        <w:snapToGrid w:val="0"/>
        <w:spacing w:line="600" w:lineRule="atLeast"/>
        <w:ind w:firstLine="560" w:firstLineChars="200"/>
        <w:rPr>
          <w:rFonts w:ascii="仿宋_GB2312" w:hAnsi="仿宋_GB2312" w:eastAsia="仿宋_GB2312" w:cs="仿宋_GB2312"/>
          <w:sz w:val="28"/>
          <w:szCs w:val="28"/>
          <w:lang w:val="sq-AL"/>
        </w:rPr>
      </w:pPr>
      <w:r>
        <w:rPr>
          <w:rFonts w:hint="eastAsia" w:ascii="仿宋_GB2312" w:hAnsi="仿宋_GB2312" w:eastAsia="仿宋_GB2312" w:cs="仿宋_GB2312"/>
          <w:sz w:val="28"/>
          <w:szCs w:val="28"/>
          <w:lang w:eastAsia="zh-CN"/>
        </w:rPr>
        <w:t>供风系统空压机专用冷却系统管道循环泵</w:t>
      </w:r>
      <w:r>
        <w:rPr>
          <w:rFonts w:hint="eastAsia" w:ascii="仿宋_GB2312" w:hAnsi="仿宋_GB2312" w:eastAsia="仿宋_GB2312" w:cs="仿宋_GB2312"/>
          <w:sz w:val="28"/>
          <w:szCs w:val="28"/>
          <w:lang w:val="sq-AL"/>
        </w:rPr>
        <w:t>必须满足以下工艺提资的操作条件及技术指标相关要求。</w:t>
      </w:r>
    </w:p>
    <w:p w14:paraId="146CC1A6">
      <w:pPr>
        <w:widowControl/>
        <w:adjustRightInd w:val="0"/>
        <w:snapToGrid w:val="0"/>
        <w:spacing w:line="600" w:lineRule="atLeast"/>
        <w:ind w:firstLine="560" w:firstLineChars="200"/>
        <w:rPr>
          <w:rFonts w:hint="default" w:ascii="宋体" w:hAnsi="宋体" w:eastAsia="宋体"/>
          <w:szCs w:val="21"/>
          <w:lang w:val="en-US" w:eastAsia="zh-CN"/>
        </w:rPr>
      </w:pPr>
      <w:r>
        <w:rPr>
          <w:rFonts w:hint="eastAsia" w:ascii="仿宋_GB2312" w:hAnsi="仿宋_GB2312" w:eastAsia="仿宋_GB2312" w:cs="仿宋_GB2312"/>
          <w:sz w:val="28"/>
          <w:szCs w:val="28"/>
          <w:lang w:val="sq-AL"/>
        </w:rPr>
        <w:t>型 号：</w:t>
      </w:r>
      <w:r>
        <w:rPr>
          <w:rFonts w:hint="default" w:ascii="仿宋_GB2312" w:hAnsi="仿宋_GB2312" w:eastAsia="仿宋_GB2312" w:cs="仿宋_GB2312"/>
          <w:sz w:val="28"/>
          <w:szCs w:val="28"/>
          <w:lang w:val="en-US" w:eastAsia="zh-CN"/>
        </w:rPr>
        <w:t>200KQL390-32-45/4</w:t>
      </w:r>
    </w:p>
    <w:p w14:paraId="6C7391A9">
      <w:pPr>
        <w:widowControl/>
        <w:adjustRightInd w:val="0"/>
        <w:snapToGrid w:val="0"/>
        <w:spacing w:line="600" w:lineRule="atLeast"/>
        <w:ind w:firstLine="560" w:firstLineChars="200"/>
        <w:rPr>
          <w:rFonts w:hint="eastAsia" w:ascii="仿宋_GB2312" w:hAnsi="仿宋_GB2312" w:eastAsia="仿宋_GB2312" w:cs="仿宋_GB2312"/>
          <w:sz w:val="28"/>
          <w:szCs w:val="28"/>
          <w:lang w:val="sq-AL" w:eastAsia="zh-CN"/>
        </w:rPr>
      </w:pPr>
      <w:r>
        <w:rPr>
          <w:rFonts w:hint="eastAsia" w:ascii="仿宋_GB2312" w:hAnsi="仿宋_GB2312" w:eastAsia="仿宋_GB2312" w:cs="仿宋_GB2312"/>
          <w:sz w:val="28"/>
          <w:szCs w:val="28"/>
          <w:lang w:val="en-US" w:eastAsia="zh-CN"/>
        </w:rPr>
        <w:t>2.2</w:t>
      </w:r>
      <w:r>
        <w:rPr>
          <w:rFonts w:hint="eastAsia" w:ascii="仿宋_GB2312" w:hAnsi="仿宋_GB2312" w:eastAsia="仿宋_GB2312" w:cs="仿宋_GB2312"/>
          <w:sz w:val="28"/>
          <w:szCs w:val="28"/>
          <w:lang w:val="sq-AL" w:eastAsia="zh-CN"/>
        </w:rPr>
        <w:t>基本参数</w:t>
      </w:r>
    </w:p>
    <w:p w14:paraId="360775D1">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管道循环泵技术规范（4台水泵、4台电机）</w:t>
      </w:r>
    </w:p>
    <w:tbl>
      <w:tblPr>
        <w:tblStyle w:val="8"/>
        <w:tblW w:w="7479" w:type="dxa"/>
        <w:jc w:val="center"/>
        <w:tblLayout w:type="fixed"/>
        <w:tblCellMar>
          <w:top w:w="0" w:type="dxa"/>
          <w:left w:w="108" w:type="dxa"/>
          <w:bottom w:w="0" w:type="dxa"/>
          <w:right w:w="108" w:type="dxa"/>
        </w:tblCellMar>
      </w:tblPr>
      <w:tblGrid>
        <w:gridCol w:w="2093"/>
        <w:gridCol w:w="1559"/>
        <w:gridCol w:w="3827"/>
      </w:tblGrid>
      <w:tr w14:paraId="36B11C8C">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9C69B31">
            <w:pPr>
              <w:widowControl/>
              <w:wordWrap w:val="0"/>
              <w:snapToGrid w:val="0"/>
              <w:spacing w:line="460" w:lineRule="exact"/>
              <w:ind w:left="204" w:leftChars="97" w:firstLine="308" w:firstLineChars="154"/>
              <w:jc w:val="both"/>
              <w:rPr>
                <w:rFonts w:ascii="仿宋" w:hAnsi="仿宋" w:eastAsia="仿宋" w:cs="仿宋"/>
                <w:kern w:val="0"/>
                <w:sz w:val="20"/>
                <w:szCs w:val="20"/>
              </w:rPr>
            </w:pPr>
            <w:r>
              <w:rPr>
                <w:rFonts w:hint="eastAsia" w:ascii="仿宋" w:hAnsi="仿宋" w:eastAsia="仿宋" w:cs="仿宋"/>
                <w:kern w:val="0"/>
                <w:sz w:val="20"/>
                <w:szCs w:val="20"/>
              </w:rPr>
              <w:t>项目</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66C0800">
            <w:pPr>
              <w:widowControl/>
              <w:wordWrap w:val="0"/>
              <w:snapToGrid w:val="0"/>
              <w:spacing w:line="460" w:lineRule="exact"/>
              <w:ind w:left="15" w:firstLine="210"/>
              <w:jc w:val="center"/>
              <w:rPr>
                <w:rFonts w:ascii="仿宋" w:hAnsi="仿宋" w:eastAsia="仿宋" w:cs="仿宋"/>
                <w:kern w:val="0"/>
                <w:sz w:val="20"/>
                <w:szCs w:val="20"/>
              </w:rPr>
            </w:pPr>
            <w:r>
              <w:rPr>
                <w:rFonts w:hint="eastAsia" w:ascii="仿宋" w:hAnsi="仿宋" w:eastAsia="仿宋" w:cs="仿宋"/>
                <w:kern w:val="0"/>
                <w:sz w:val="20"/>
                <w:szCs w:val="20"/>
              </w:rPr>
              <w:t>单位</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D8E921">
            <w:pPr>
              <w:widowControl/>
              <w:wordWrap w:val="0"/>
              <w:snapToGrid w:val="0"/>
              <w:spacing w:line="460" w:lineRule="exact"/>
              <w:jc w:val="center"/>
              <w:rPr>
                <w:rFonts w:ascii="仿宋" w:hAnsi="仿宋" w:eastAsia="仿宋" w:cs="仿宋"/>
                <w:kern w:val="0"/>
                <w:sz w:val="20"/>
                <w:szCs w:val="20"/>
              </w:rPr>
            </w:pPr>
            <w:r>
              <w:rPr>
                <w:rFonts w:hint="eastAsia" w:ascii="仿宋" w:hAnsi="仿宋" w:eastAsia="仿宋" w:cs="仿宋"/>
                <w:kern w:val="0"/>
                <w:sz w:val="20"/>
                <w:szCs w:val="20"/>
              </w:rPr>
              <w:t>数据</w:t>
            </w:r>
          </w:p>
        </w:tc>
      </w:tr>
      <w:tr w14:paraId="13D47F65">
        <w:tblPrEx>
          <w:tblCellMar>
            <w:top w:w="0" w:type="dxa"/>
            <w:left w:w="108" w:type="dxa"/>
            <w:bottom w:w="0" w:type="dxa"/>
            <w:right w:w="108" w:type="dxa"/>
          </w:tblCellMar>
        </w:tblPrEx>
        <w:trPr>
          <w:trHeight w:val="41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5F05142">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名称</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843710A">
            <w:pPr>
              <w:widowControl/>
              <w:wordWrap w:val="0"/>
              <w:snapToGrid w:val="0"/>
              <w:spacing w:line="460" w:lineRule="exact"/>
              <w:ind w:left="94" w:hanging="94"/>
              <w:jc w:val="center"/>
              <w:rPr>
                <w:rFonts w:ascii="仿宋" w:hAnsi="仿宋" w:eastAsia="仿宋" w:cs="仿宋"/>
                <w:kern w:val="0"/>
                <w:sz w:val="20"/>
                <w:szCs w:val="20"/>
              </w:rPr>
            </w:pPr>
            <w:r>
              <w:rPr>
                <w:rFonts w:hint="eastAsia" w:ascii="仿宋" w:hAnsi="仿宋" w:eastAsia="仿宋" w:cs="仿宋"/>
                <w:kern w:val="0"/>
                <w:sz w:val="20"/>
                <w:szCs w:val="20"/>
                <w:lang w:eastAsia="zh-CN"/>
              </w:rPr>
              <w:t>管道循环泵</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5C9069">
            <w:pPr>
              <w:widowControl/>
              <w:wordWrap w:val="0"/>
              <w:snapToGrid w:val="0"/>
              <w:spacing w:line="460" w:lineRule="exact"/>
              <w:ind w:left="94" w:hanging="94"/>
              <w:jc w:val="center"/>
              <w:rPr>
                <w:rFonts w:hint="default" w:ascii="仿宋" w:hAnsi="仿宋" w:eastAsia="仿宋" w:cs="仿宋"/>
                <w:kern w:val="0"/>
                <w:sz w:val="20"/>
                <w:szCs w:val="20"/>
                <w:lang w:val="en-US" w:eastAsia="zh-CN"/>
              </w:rPr>
            </w:pPr>
            <w:r>
              <w:rPr>
                <w:rFonts w:hint="default" w:ascii="仿宋" w:hAnsi="仿宋" w:eastAsia="仿宋" w:cs="仿宋"/>
                <w:kern w:val="0"/>
                <w:sz w:val="20"/>
                <w:szCs w:val="20"/>
                <w:lang w:val="en-US" w:eastAsia="zh-CN"/>
              </w:rPr>
              <w:t>200KQL390-32-45/4</w:t>
            </w:r>
          </w:p>
          <w:p w14:paraId="253E51A8">
            <w:pPr>
              <w:widowControl/>
              <w:wordWrap w:val="0"/>
              <w:snapToGrid w:val="0"/>
              <w:spacing w:line="460" w:lineRule="exact"/>
              <w:ind w:left="94" w:hanging="94"/>
              <w:jc w:val="center"/>
              <w:rPr>
                <w:rFonts w:hint="eastAsia" w:ascii="仿宋" w:hAnsi="仿宋" w:eastAsia="仿宋" w:cs="仿宋"/>
                <w:kern w:val="0"/>
                <w:sz w:val="20"/>
                <w:szCs w:val="20"/>
                <w:lang w:eastAsia="zh-CN"/>
              </w:rPr>
            </w:pPr>
          </w:p>
        </w:tc>
      </w:tr>
      <w:tr w14:paraId="44BCCFD3">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296C45A">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数量</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63D1578">
            <w:pPr>
              <w:widowControl/>
              <w:wordWrap w:val="0"/>
              <w:snapToGrid w:val="0"/>
              <w:spacing w:line="460" w:lineRule="exact"/>
              <w:ind w:left="94" w:hanging="94"/>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套</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1C2E34F">
            <w:pPr>
              <w:widowControl/>
              <w:wordWrap w:val="0"/>
              <w:snapToGrid w:val="0"/>
              <w:spacing w:line="460" w:lineRule="exact"/>
              <w:jc w:val="center"/>
              <w:rPr>
                <w:rFonts w:hint="eastAsia" w:ascii="仿宋" w:hAnsi="仿宋" w:eastAsia="仿宋" w:cs="仿宋"/>
                <w:kern w:val="0"/>
                <w:sz w:val="20"/>
                <w:szCs w:val="20"/>
                <w:lang w:eastAsia="zh-CN"/>
              </w:rPr>
            </w:pPr>
            <w:r>
              <w:rPr>
                <w:rFonts w:hint="eastAsia" w:ascii="仿宋" w:hAnsi="仿宋" w:eastAsia="仿宋" w:cs="仿宋"/>
                <w:kern w:val="0"/>
                <w:sz w:val="20"/>
                <w:szCs w:val="20"/>
                <w:lang w:val="en-US" w:eastAsia="zh-CN"/>
              </w:rPr>
              <w:t>4</w:t>
            </w:r>
          </w:p>
        </w:tc>
      </w:tr>
      <w:tr w14:paraId="288259B7">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830768">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流量</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0930C1">
            <w:pPr>
              <w:widowControl/>
              <w:wordWrap w:val="0"/>
              <w:snapToGrid w:val="0"/>
              <w:spacing w:line="460" w:lineRule="exact"/>
              <w:ind w:left="94" w:hanging="94"/>
              <w:jc w:val="center"/>
              <w:rPr>
                <w:rFonts w:ascii="仿宋" w:hAnsi="仿宋" w:eastAsia="仿宋" w:cs="仿宋"/>
                <w:kern w:val="0"/>
                <w:sz w:val="20"/>
                <w:szCs w:val="20"/>
              </w:rPr>
            </w:pPr>
            <w:r>
              <w:rPr>
                <w:rFonts w:hint="eastAsia" w:ascii="仿宋" w:hAnsi="仿宋" w:eastAsia="仿宋" w:cs="仿宋"/>
                <w:kern w:val="0"/>
                <w:sz w:val="20"/>
                <w:szCs w:val="20"/>
              </w:rPr>
              <w:t>m</w:t>
            </w:r>
            <w:r>
              <w:rPr>
                <w:rFonts w:hint="eastAsia" w:ascii="仿宋" w:hAnsi="仿宋" w:eastAsia="仿宋" w:cs="仿宋"/>
                <w:kern w:val="0"/>
                <w:sz w:val="20"/>
                <w:szCs w:val="20"/>
                <w:vertAlign w:val="superscript"/>
              </w:rPr>
              <w:t>3</w:t>
            </w:r>
            <w:r>
              <w:rPr>
                <w:rFonts w:hint="eastAsia" w:ascii="仿宋" w:hAnsi="仿宋" w:eastAsia="仿宋" w:cs="仿宋"/>
                <w:kern w:val="0"/>
                <w:sz w:val="20"/>
                <w:szCs w:val="20"/>
              </w:rPr>
              <w:t>/h</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271086">
            <w:pPr>
              <w:widowControl/>
              <w:wordWrap w:val="0"/>
              <w:snapToGrid w:val="0"/>
              <w:spacing w:line="460" w:lineRule="exact"/>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390</w:t>
            </w:r>
          </w:p>
        </w:tc>
      </w:tr>
      <w:tr w14:paraId="006FFA47">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CD33D28">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扬程</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A835075">
            <w:pPr>
              <w:widowControl/>
              <w:wordWrap w:val="0"/>
              <w:snapToGrid w:val="0"/>
              <w:spacing w:line="460" w:lineRule="exact"/>
              <w:ind w:left="94" w:hanging="94"/>
              <w:jc w:val="center"/>
              <w:rPr>
                <w:rFonts w:ascii="仿宋" w:hAnsi="仿宋" w:eastAsia="仿宋" w:cs="仿宋"/>
                <w:kern w:val="0"/>
                <w:sz w:val="20"/>
                <w:szCs w:val="20"/>
              </w:rPr>
            </w:pPr>
            <w:r>
              <w:rPr>
                <w:rFonts w:hint="eastAsia" w:ascii="仿宋" w:hAnsi="仿宋" w:eastAsia="仿宋" w:cs="仿宋"/>
                <w:kern w:val="0"/>
                <w:sz w:val="20"/>
                <w:szCs w:val="20"/>
              </w:rPr>
              <w:t>m</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E3FC90C">
            <w:pPr>
              <w:widowControl/>
              <w:wordWrap w:val="0"/>
              <w:snapToGrid w:val="0"/>
              <w:spacing w:line="460" w:lineRule="exact"/>
              <w:jc w:val="center"/>
              <w:rPr>
                <w:rFonts w:hint="default" w:ascii="仿宋" w:hAnsi="仿宋" w:eastAsia="仿宋" w:cs="仿宋"/>
                <w:kern w:val="0"/>
                <w:sz w:val="20"/>
                <w:szCs w:val="20"/>
                <w:lang w:val="en-US"/>
              </w:rPr>
            </w:pPr>
            <w:r>
              <w:rPr>
                <w:rFonts w:hint="eastAsia" w:ascii="仿宋" w:hAnsi="仿宋" w:eastAsia="仿宋" w:cs="仿宋"/>
                <w:kern w:val="0"/>
                <w:sz w:val="20"/>
                <w:szCs w:val="20"/>
                <w:lang w:val="en-US" w:eastAsia="zh-CN"/>
              </w:rPr>
              <w:t>32</w:t>
            </w:r>
          </w:p>
          <w:p w14:paraId="395D25CB">
            <w:pPr>
              <w:widowControl/>
              <w:wordWrap w:val="0"/>
              <w:snapToGrid w:val="0"/>
              <w:spacing w:line="460" w:lineRule="exact"/>
              <w:jc w:val="center"/>
              <w:rPr>
                <w:rFonts w:ascii="仿宋" w:hAnsi="仿宋" w:eastAsia="仿宋" w:cs="仿宋"/>
                <w:kern w:val="0"/>
                <w:sz w:val="20"/>
                <w:szCs w:val="20"/>
              </w:rPr>
            </w:pPr>
          </w:p>
        </w:tc>
      </w:tr>
      <w:tr w14:paraId="3224214B">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C4FC69">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配套电机功率</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01A559F">
            <w:pPr>
              <w:widowControl/>
              <w:wordWrap w:val="0"/>
              <w:snapToGrid w:val="0"/>
              <w:spacing w:line="460" w:lineRule="exact"/>
              <w:ind w:left="94" w:hanging="94"/>
              <w:jc w:val="center"/>
              <w:rPr>
                <w:rFonts w:ascii="仿宋" w:hAnsi="仿宋" w:eastAsia="仿宋" w:cs="仿宋"/>
                <w:kern w:val="0"/>
                <w:sz w:val="20"/>
                <w:szCs w:val="20"/>
              </w:rPr>
            </w:pPr>
            <w:r>
              <w:rPr>
                <w:rFonts w:hint="eastAsia" w:ascii="仿宋" w:hAnsi="仿宋" w:eastAsia="仿宋" w:cs="仿宋"/>
                <w:kern w:val="0"/>
                <w:sz w:val="20"/>
                <w:szCs w:val="20"/>
              </w:rPr>
              <w:t>kW</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85630DC">
            <w:pPr>
              <w:widowControl/>
              <w:wordWrap w:val="0"/>
              <w:snapToGrid w:val="0"/>
              <w:spacing w:line="460" w:lineRule="exact"/>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45</w:t>
            </w:r>
          </w:p>
        </w:tc>
      </w:tr>
      <w:tr w14:paraId="7048A26F">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FF52AC">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电压</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714386">
            <w:pPr>
              <w:widowControl/>
              <w:wordWrap w:val="0"/>
              <w:snapToGrid w:val="0"/>
              <w:spacing w:line="460" w:lineRule="exact"/>
              <w:ind w:left="94" w:hanging="94"/>
              <w:jc w:val="center"/>
              <w:rPr>
                <w:rFonts w:ascii="仿宋" w:hAnsi="仿宋" w:eastAsia="仿宋" w:cs="仿宋"/>
                <w:kern w:val="0"/>
                <w:sz w:val="20"/>
                <w:szCs w:val="20"/>
              </w:rPr>
            </w:pPr>
            <w:r>
              <w:rPr>
                <w:rFonts w:hint="eastAsia" w:ascii="仿宋" w:hAnsi="仿宋" w:eastAsia="仿宋" w:cs="仿宋"/>
                <w:kern w:val="0"/>
                <w:sz w:val="20"/>
                <w:szCs w:val="20"/>
              </w:rPr>
              <w:t>V</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10041CF">
            <w:pPr>
              <w:widowControl/>
              <w:wordWrap w:val="0"/>
              <w:snapToGrid w:val="0"/>
              <w:spacing w:line="460" w:lineRule="exact"/>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380</w:t>
            </w:r>
          </w:p>
        </w:tc>
      </w:tr>
      <w:tr w14:paraId="34D49711">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D3F2B77">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转速</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E809A1A">
            <w:pPr>
              <w:widowControl/>
              <w:wordWrap w:val="0"/>
              <w:snapToGrid w:val="0"/>
              <w:spacing w:line="460" w:lineRule="exact"/>
              <w:ind w:left="94" w:hanging="94"/>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rPr>
              <w:t>r</w:t>
            </w:r>
            <w:r>
              <w:rPr>
                <w:rFonts w:hint="eastAsia" w:ascii="仿宋" w:hAnsi="仿宋" w:eastAsia="仿宋" w:cs="仿宋"/>
                <w:kern w:val="0"/>
                <w:sz w:val="20"/>
                <w:szCs w:val="20"/>
                <w:lang w:val="en-US" w:eastAsia="zh-CN"/>
              </w:rPr>
              <w:t>pm</w:t>
            </w: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AB0D83F">
            <w:pPr>
              <w:widowControl/>
              <w:wordWrap w:val="0"/>
              <w:snapToGrid w:val="0"/>
              <w:spacing w:line="460" w:lineRule="exact"/>
              <w:jc w:val="center"/>
              <w:rPr>
                <w:rFonts w:hint="default"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1480</w:t>
            </w:r>
          </w:p>
        </w:tc>
      </w:tr>
      <w:tr w14:paraId="61F89C46">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2FB446D">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泵体颜色</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EAF0F0E">
            <w:pPr>
              <w:widowControl/>
              <w:wordWrap w:val="0"/>
              <w:snapToGrid w:val="0"/>
              <w:spacing w:line="460" w:lineRule="exact"/>
              <w:ind w:left="94" w:hanging="94"/>
              <w:jc w:val="center"/>
              <w:rPr>
                <w:rFonts w:ascii="仿宋" w:hAnsi="仿宋" w:eastAsia="仿宋" w:cs="仿宋"/>
                <w:kern w:val="0"/>
                <w:sz w:val="20"/>
                <w:szCs w:val="20"/>
              </w:rPr>
            </w:pP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7D293D">
            <w:pPr>
              <w:widowControl/>
              <w:wordWrap w:val="0"/>
              <w:snapToGrid w:val="0"/>
              <w:spacing w:line="4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黑色</w:t>
            </w:r>
          </w:p>
        </w:tc>
      </w:tr>
      <w:tr w14:paraId="7134412E">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66956E8">
            <w:pPr>
              <w:widowControl/>
              <w:wordWrap w:val="0"/>
              <w:snapToGrid w:val="0"/>
              <w:spacing w:line="460" w:lineRule="exact"/>
              <w:ind w:left="15" w:firstLine="420"/>
              <w:jc w:val="both"/>
              <w:rPr>
                <w:rFonts w:ascii="仿宋" w:hAnsi="仿宋" w:eastAsia="仿宋" w:cs="仿宋"/>
                <w:kern w:val="0"/>
                <w:sz w:val="20"/>
                <w:szCs w:val="20"/>
              </w:rPr>
            </w:pPr>
            <w:r>
              <w:rPr>
                <w:rFonts w:hint="eastAsia" w:ascii="仿宋" w:hAnsi="仿宋" w:eastAsia="仿宋" w:cs="仿宋"/>
                <w:kern w:val="0"/>
                <w:sz w:val="20"/>
                <w:szCs w:val="20"/>
              </w:rPr>
              <w:t>电机颜色</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F0DFAFA">
            <w:pPr>
              <w:widowControl/>
              <w:wordWrap w:val="0"/>
              <w:snapToGrid w:val="0"/>
              <w:spacing w:line="460" w:lineRule="exact"/>
              <w:ind w:left="94" w:hanging="94"/>
              <w:jc w:val="center"/>
              <w:rPr>
                <w:rFonts w:ascii="仿宋" w:hAnsi="仿宋" w:eastAsia="仿宋" w:cs="仿宋"/>
                <w:kern w:val="0"/>
                <w:sz w:val="20"/>
                <w:szCs w:val="20"/>
              </w:rPr>
            </w:pP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FCAFEF">
            <w:pPr>
              <w:widowControl/>
              <w:wordWrap w:val="0"/>
              <w:snapToGrid w:val="0"/>
              <w:spacing w:line="460" w:lineRule="exact"/>
              <w:jc w:val="center"/>
              <w:rPr>
                <w:rFonts w:ascii="仿宋" w:hAnsi="仿宋" w:eastAsia="仿宋" w:cs="仿宋"/>
                <w:kern w:val="0"/>
                <w:sz w:val="20"/>
                <w:szCs w:val="20"/>
              </w:rPr>
            </w:pPr>
            <w:r>
              <w:rPr>
                <w:rFonts w:hint="eastAsia" w:ascii="仿宋" w:hAnsi="仿宋" w:eastAsia="仿宋" w:cs="仿宋"/>
                <w:kern w:val="0"/>
                <w:sz w:val="20"/>
                <w:szCs w:val="20"/>
                <w:lang w:val="en-US" w:eastAsia="zh-CN"/>
              </w:rPr>
              <w:t>黑色</w:t>
            </w:r>
          </w:p>
        </w:tc>
      </w:tr>
      <w:tr w14:paraId="775B5FBE">
        <w:tblPrEx>
          <w:tblCellMar>
            <w:top w:w="0" w:type="dxa"/>
            <w:left w:w="108" w:type="dxa"/>
            <w:bottom w:w="0" w:type="dxa"/>
            <w:right w:w="108" w:type="dxa"/>
          </w:tblCellMar>
        </w:tblPrEx>
        <w:trPr>
          <w:trHeight w:val="454" w:hRule="exact"/>
          <w:jc w:val="center"/>
        </w:trPr>
        <w:tc>
          <w:tcPr>
            <w:tcW w:w="2093"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429333B">
            <w:pPr>
              <w:widowControl/>
              <w:wordWrap w:val="0"/>
              <w:snapToGrid w:val="0"/>
              <w:spacing w:line="460" w:lineRule="exact"/>
              <w:ind w:left="15" w:firstLine="420"/>
              <w:jc w:val="both"/>
              <w:rPr>
                <w:rFonts w:hint="eastAsia" w:ascii="仿宋" w:hAnsi="仿宋" w:eastAsia="仿宋" w:cs="仿宋"/>
                <w:kern w:val="0"/>
                <w:sz w:val="20"/>
                <w:szCs w:val="20"/>
                <w:lang w:eastAsia="zh-CN"/>
              </w:rPr>
            </w:pPr>
            <w:r>
              <w:rPr>
                <w:rFonts w:hint="eastAsia" w:ascii="仿宋" w:hAnsi="仿宋" w:eastAsia="仿宋" w:cs="仿宋"/>
                <w:kern w:val="0"/>
                <w:sz w:val="20"/>
                <w:szCs w:val="20"/>
                <w:lang w:eastAsia="zh-CN"/>
              </w:rPr>
              <w:t>电机能效</w:t>
            </w:r>
          </w:p>
        </w:tc>
        <w:tc>
          <w:tcPr>
            <w:tcW w:w="155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154A110">
            <w:pPr>
              <w:widowControl/>
              <w:wordWrap w:val="0"/>
              <w:snapToGrid w:val="0"/>
              <w:spacing w:line="460" w:lineRule="exact"/>
              <w:ind w:left="94" w:hanging="94"/>
              <w:jc w:val="center"/>
              <w:rPr>
                <w:rFonts w:ascii="仿宋" w:hAnsi="仿宋" w:eastAsia="仿宋" w:cs="仿宋"/>
                <w:kern w:val="0"/>
                <w:sz w:val="20"/>
                <w:szCs w:val="20"/>
              </w:rPr>
            </w:pPr>
          </w:p>
        </w:tc>
        <w:tc>
          <w:tcPr>
            <w:tcW w:w="382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86E9D7A">
            <w:pPr>
              <w:widowControl/>
              <w:wordWrap w:val="0"/>
              <w:snapToGrid w:val="0"/>
              <w:spacing w:line="460" w:lineRule="exact"/>
              <w:jc w:val="center"/>
              <w:rPr>
                <w:rFonts w:hint="eastAsia" w:ascii="仿宋" w:hAnsi="仿宋" w:eastAsia="仿宋" w:cs="仿宋"/>
                <w:kern w:val="0"/>
                <w:sz w:val="20"/>
                <w:szCs w:val="20"/>
                <w:lang w:val="en-US" w:eastAsia="zh-CN"/>
              </w:rPr>
            </w:pPr>
            <w:r>
              <w:rPr>
                <w:rFonts w:hint="eastAsia" w:ascii="仿宋" w:hAnsi="仿宋" w:eastAsia="仿宋" w:cs="仿宋"/>
                <w:kern w:val="0"/>
                <w:sz w:val="20"/>
                <w:szCs w:val="20"/>
                <w:lang w:val="en-US" w:eastAsia="zh-CN"/>
              </w:rPr>
              <w:t>一级</w:t>
            </w:r>
          </w:p>
        </w:tc>
      </w:tr>
    </w:tbl>
    <w:p w14:paraId="5B1FDB94">
      <w:pPr>
        <w:ind w:firstLine="560" w:firstLineChars="200"/>
        <w:rPr>
          <w:rFonts w:ascii="仿宋" w:hAnsi="仿宋" w:eastAsia="仿宋" w:cs="仿宋"/>
          <w:sz w:val="28"/>
          <w:szCs w:val="28"/>
        </w:rPr>
      </w:pPr>
      <w:r>
        <w:rPr>
          <w:rFonts w:hint="eastAsia" w:ascii="仿宋" w:hAnsi="仿宋" w:eastAsia="仿宋" w:cs="仿宋"/>
          <w:sz w:val="28"/>
          <w:szCs w:val="28"/>
          <w:lang w:val="en-US" w:eastAsia="zh-CN"/>
        </w:rPr>
        <w:t>2.3</w:t>
      </w:r>
      <w:r>
        <w:rPr>
          <w:rFonts w:hint="eastAsia" w:ascii="仿宋" w:hAnsi="仿宋" w:eastAsia="仿宋" w:cs="仿宋"/>
          <w:sz w:val="28"/>
          <w:szCs w:val="28"/>
          <w:lang w:eastAsia="zh-CN"/>
        </w:rPr>
        <w:t>管道循环泵</w:t>
      </w:r>
      <w:r>
        <w:rPr>
          <w:rFonts w:hint="eastAsia" w:ascii="仿宋" w:hAnsi="仿宋" w:eastAsia="仿宋" w:cs="仿宋"/>
          <w:sz w:val="28"/>
          <w:szCs w:val="28"/>
        </w:rPr>
        <w:t>材质要求</w:t>
      </w:r>
    </w:p>
    <w:p w14:paraId="6894A429">
      <w:pPr>
        <w:ind w:firstLine="1120" w:firstLineChars="400"/>
        <w:rPr>
          <w:rFonts w:ascii="仿宋" w:hAnsi="仿宋" w:eastAsia="仿宋" w:cs="仿宋"/>
          <w:sz w:val="28"/>
          <w:szCs w:val="28"/>
        </w:rPr>
      </w:pPr>
      <w:r>
        <w:rPr>
          <w:rFonts w:hint="eastAsia" w:ascii="仿宋" w:hAnsi="仿宋" w:eastAsia="仿宋" w:cs="仿宋"/>
          <w:sz w:val="28"/>
          <w:szCs w:val="28"/>
          <w:lang w:eastAsia="zh-CN"/>
        </w:rPr>
        <w:t>管道循环泵</w:t>
      </w:r>
      <w:r>
        <w:rPr>
          <w:rFonts w:hint="eastAsia" w:ascii="仿宋" w:hAnsi="仿宋" w:eastAsia="仿宋" w:cs="仿宋"/>
          <w:sz w:val="28"/>
          <w:szCs w:val="28"/>
        </w:rPr>
        <w:t>材质应合理地选择泵体及附件的材料，主要零件的材料不低于下表的规定。</w:t>
      </w:r>
    </w:p>
    <w:tbl>
      <w:tblPr>
        <w:tblStyle w:val="8"/>
        <w:tblW w:w="7541" w:type="dxa"/>
        <w:jc w:val="center"/>
        <w:tblLayout w:type="fixed"/>
        <w:tblCellMar>
          <w:top w:w="0" w:type="dxa"/>
          <w:left w:w="108" w:type="dxa"/>
          <w:bottom w:w="0" w:type="dxa"/>
          <w:right w:w="108" w:type="dxa"/>
        </w:tblCellMar>
      </w:tblPr>
      <w:tblGrid>
        <w:gridCol w:w="2013"/>
        <w:gridCol w:w="2835"/>
        <w:gridCol w:w="2693"/>
      </w:tblGrid>
      <w:tr w14:paraId="0AA73213">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15C57FE0">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零件名称</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6C97932">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材料名称</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011D88E">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标准代号</w:t>
            </w:r>
          </w:p>
        </w:tc>
      </w:tr>
      <w:tr w14:paraId="32E49BD5">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EE67DCE">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泵体/泵盖</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7D62FCB">
            <w:pPr>
              <w:widowControl/>
              <w:wordWrap w:val="0"/>
              <w:snapToGrid w:val="0"/>
              <w:spacing w:line="460" w:lineRule="exact"/>
              <w:ind w:left="15" w:firstLine="420"/>
              <w:jc w:val="center"/>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铸铁</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748F3F8">
            <w:pPr>
              <w:widowControl/>
              <w:wordWrap w:val="0"/>
              <w:snapToGrid w:val="0"/>
              <w:spacing w:line="460" w:lineRule="exact"/>
              <w:ind w:firstLine="1400" w:firstLineChars="700"/>
              <w:jc w:val="both"/>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HT</w:t>
            </w:r>
          </w:p>
        </w:tc>
      </w:tr>
      <w:tr w14:paraId="621AC473">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32666B91">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叶轮</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tcPr>
          <w:p w14:paraId="1002189C">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不锈钢</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B245743">
            <w:pPr>
              <w:widowControl/>
              <w:wordWrap w:val="0"/>
              <w:snapToGrid w:val="0"/>
              <w:spacing w:line="460" w:lineRule="exact"/>
              <w:ind w:left="15" w:firstLine="420"/>
              <w:jc w:val="center"/>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rPr>
              <w:t>3</w:t>
            </w:r>
            <w:r>
              <w:rPr>
                <w:rFonts w:hint="eastAsia" w:ascii="仿宋" w:hAnsi="仿宋" w:eastAsia="仿宋" w:cs="仿宋"/>
                <w:color w:val="auto"/>
                <w:kern w:val="0"/>
                <w:sz w:val="20"/>
                <w:szCs w:val="20"/>
                <w:highlight w:val="none"/>
                <w:lang w:val="en-US" w:eastAsia="zh-CN"/>
              </w:rPr>
              <w:t>04</w:t>
            </w:r>
          </w:p>
        </w:tc>
      </w:tr>
      <w:tr w14:paraId="28AF095D">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FE27108">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轴</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tcPr>
          <w:p w14:paraId="6C58F7B2">
            <w:pPr>
              <w:widowControl/>
              <w:wordWrap w:val="0"/>
              <w:snapToGrid w:val="0"/>
              <w:spacing w:line="460" w:lineRule="exact"/>
              <w:ind w:left="15" w:firstLine="420"/>
              <w:jc w:val="center"/>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合金钢</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2DCCA02">
            <w:pPr>
              <w:widowControl/>
              <w:wordWrap w:val="0"/>
              <w:snapToGrid w:val="0"/>
              <w:spacing w:line="460" w:lineRule="exact"/>
              <w:ind w:left="15" w:firstLine="420"/>
              <w:jc w:val="center"/>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45#</w:t>
            </w:r>
          </w:p>
        </w:tc>
      </w:tr>
      <w:tr w14:paraId="7BF77BE0">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941E567">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轴套</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tcPr>
          <w:p w14:paraId="6DA93C21">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不锈钢</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62486D8F">
            <w:pPr>
              <w:widowControl/>
              <w:wordWrap w:val="0"/>
              <w:snapToGrid w:val="0"/>
              <w:spacing w:line="460" w:lineRule="exact"/>
              <w:ind w:left="15" w:firstLine="420"/>
              <w:jc w:val="center"/>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316</w:t>
            </w:r>
          </w:p>
        </w:tc>
      </w:tr>
      <w:tr w14:paraId="7ADEF8E8">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0B6382C4">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轴承</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788432EA">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76E9F96">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SKF</w:t>
            </w:r>
          </w:p>
        </w:tc>
      </w:tr>
      <w:tr w14:paraId="57CB977C">
        <w:tblPrEx>
          <w:tblCellMar>
            <w:top w:w="0" w:type="dxa"/>
            <w:left w:w="108" w:type="dxa"/>
            <w:bottom w:w="0" w:type="dxa"/>
            <w:right w:w="108" w:type="dxa"/>
          </w:tblCellMar>
        </w:tblPrEx>
        <w:trPr>
          <w:trHeight w:val="454" w:hRule="exact"/>
          <w:jc w:val="center"/>
        </w:trPr>
        <w:tc>
          <w:tcPr>
            <w:tcW w:w="201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25AD3059">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底座</w:t>
            </w:r>
          </w:p>
        </w:tc>
        <w:tc>
          <w:tcPr>
            <w:tcW w:w="2835"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435A4360">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不锈钢</w:t>
            </w:r>
          </w:p>
        </w:tc>
        <w:tc>
          <w:tcPr>
            <w:tcW w:w="2693" w:type="dxa"/>
            <w:tcBorders>
              <w:top w:val="single" w:color="000000" w:sz="6" w:space="0"/>
              <w:left w:val="single" w:color="000000" w:sz="6" w:space="0"/>
              <w:bottom w:val="single" w:color="000000" w:sz="6" w:space="0"/>
              <w:right w:val="single" w:color="000000" w:sz="6" w:space="0"/>
            </w:tcBorders>
            <w:tcMar>
              <w:top w:w="0" w:type="dxa"/>
              <w:left w:w="28" w:type="dxa"/>
              <w:bottom w:w="0" w:type="dxa"/>
              <w:right w:w="28" w:type="dxa"/>
            </w:tcMar>
            <w:vAlign w:val="center"/>
          </w:tcPr>
          <w:p w14:paraId="5BFD0D7B">
            <w:pPr>
              <w:widowControl/>
              <w:wordWrap w:val="0"/>
              <w:snapToGrid w:val="0"/>
              <w:spacing w:line="460" w:lineRule="exact"/>
              <w:ind w:left="15" w:firstLine="420"/>
              <w:jc w:val="center"/>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316</w:t>
            </w:r>
          </w:p>
        </w:tc>
      </w:tr>
    </w:tbl>
    <w:p w14:paraId="7A505649">
      <w:pPr>
        <w:widowControl/>
        <w:spacing w:line="560" w:lineRule="exact"/>
        <w:ind w:firstLine="422" w:firstLineChars="200"/>
        <w:jc w:val="left"/>
        <w:rPr>
          <w:rFonts w:ascii="仿宋_GB2312" w:hAnsi="仿宋_GB2312" w:eastAsia="仿宋_GB2312" w:cs="仿宋_GB2312"/>
          <w:b/>
          <w:kern w:val="0"/>
          <w:sz w:val="28"/>
          <w:szCs w:val="28"/>
        </w:rPr>
      </w:pPr>
      <w:r>
        <w:rPr>
          <w:rFonts w:hint="eastAsia" w:ascii="宋体" w:hAnsi="宋体"/>
          <w:b/>
          <w:szCs w:val="21"/>
          <w:lang w:eastAsia="zh-CN"/>
        </w:rPr>
        <w:t xml:space="preserve"> </w:t>
      </w:r>
      <w:r>
        <w:rPr>
          <w:rFonts w:hint="eastAsia" w:ascii="宋体" w:hAnsi="宋体"/>
          <w:b/>
          <w:szCs w:val="21"/>
          <w:lang w:val="en-US" w:eastAsia="zh-CN"/>
        </w:rPr>
        <w:t xml:space="preserve"> </w:t>
      </w:r>
      <w:r>
        <w:rPr>
          <w:rFonts w:hint="eastAsia" w:ascii="仿宋_GB2312" w:hAnsi="仿宋_GB2312" w:eastAsia="仿宋_GB2312" w:cs="仿宋_GB2312"/>
          <w:b/>
          <w:kern w:val="0"/>
          <w:sz w:val="28"/>
          <w:szCs w:val="28"/>
        </w:rPr>
        <w:t xml:space="preserve"> 附件</w:t>
      </w:r>
      <w:r>
        <w:rPr>
          <w:rFonts w:hint="eastAsia" w:ascii="仿宋_GB2312" w:hAnsi="仿宋_GB2312" w:eastAsia="仿宋_GB2312" w:cs="仿宋_GB2312"/>
          <w:b/>
          <w:kern w:val="0"/>
          <w:sz w:val="28"/>
          <w:szCs w:val="28"/>
          <w:lang w:eastAsia="zh-CN"/>
        </w:rPr>
        <w:t>三</w:t>
      </w:r>
      <w:r>
        <w:rPr>
          <w:rFonts w:hint="eastAsia" w:ascii="仿宋_GB2312" w:hAnsi="仿宋_GB2312" w:eastAsia="仿宋_GB2312" w:cs="仿宋_GB2312"/>
          <w:b/>
          <w:kern w:val="0"/>
          <w:sz w:val="28"/>
          <w:szCs w:val="28"/>
        </w:rPr>
        <w:t xml:space="preserve"> 供货范围</w:t>
      </w:r>
    </w:p>
    <w:tbl>
      <w:tblPr>
        <w:tblStyle w:val="8"/>
        <w:tblW w:w="7600" w:type="dxa"/>
        <w:jc w:val="center"/>
        <w:tblLayout w:type="fixed"/>
        <w:tblCellMar>
          <w:top w:w="0" w:type="dxa"/>
          <w:left w:w="108" w:type="dxa"/>
          <w:bottom w:w="0" w:type="dxa"/>
          <w:right w:w="108" w:type="dxa"/>
        </w:tblCellMar>
      </w:tblPr>
      <w:tblGrid>
        <w:gridCol w:w="616"/>
        <w:gridCol w:w="1333"/>
        <w:gridCol w:w="2504"/>
        <w:gridCol w:w="696"/>
        <w:gridCol w:w="960"/>
        <w:gridCol w:w="675"/>
        <w:gridCol w:w="816"/>
      </w:tblGrid>
      <w:tr w14:paraId="7F5CF77B">
        <w:tblPrEx>
          <w:tblCellMar>
            <w:top w:w="0" w:type="dxa"/>
            <w:left w:w="108" w:type="dxa"/>
            <w:bottom w:w="0" w:type="dxa"/>
            <w:right w:w="108" w:type="dxa"/>
          </w:tblCellMar>
        </w:tblPrEx>
        <w:trPr>
          <w:trHeight w:val="285" w:hRule="atLeast"/>
          <w:jc w:val="center"/>
        </w:trPr>
        <w:tc>
          <w:tcPr>
            <w:tcW w:w="616" w:type="dxa"/>
            <w:vMerge w:val="restart"/>
            <w:tcBorders>
              <w:top w:val="single" w:color="auto" w:sz="4" w:space="0"/>
              <w:left w:val="single" w:color="auto" w:sz="4" w:space="0"/>
              <w:bottom w:val="single" w:color="auto" w:sz="4" w:space="0"/>
              <w:right w:val="single" w:color="auto" w:sz="4" w:space="0"/>
            </w:tcBorders>
            <w:noWrap/>
            <w:vAlign w:val="center"/>
          </w:tcPr>
          <w:p w14:paraId="0EF6F7BD">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序号</w:t>
            </w:r>
          </w:p>
        </w:tc>
        <w:tc>
          <w:tcPr>
            <w:tcW w:w="1333" w:type="dxa"/>
            <w:vMerge w:val="restart"/>
            <w:tcBorders>
              <w:top w:val="single" w:color="auto" w:sz="4" w:space="0"/>
              <w:left w:val="single" w:color="auto" w:sz="4" w:space="0"/>
              <w:bottom w:val="single" w:color="auto" w:sz="4" w:space="0"/>
              <w:right w:val="single" w:color="auto" w:sz="4" w:space="0"/>
            </w:tcBorders>
            <w:noWrap/>
            <w:vAlign w:val="center"/>
          </w:tcPr>
          <w:p w14:paraId="54834CBA">
            <w:pPr>
              <w:spacing w:line="360" w:lineRule="auto"/>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物料编码</w:t>
            </w:r>
          </w:p>
        </w:tc>
        <w:tc>
          <w:tcPr>
            <w:tcW w:w="2504" w:type="dxa"/>
            <w:vMerge w:val="restart"/>
            <w:tcBorders>
              <w:top w:val="single" w:color="auto" w:sz="4" w:space="0"/>
              <w:left w:val="single" w:color="auto" w:sz="4" w:space="0"/>
              <w:bottom w:val="single" w:color="auto" w:sz="4" w:space="0"/>
              <w:right w:val="single" w:color="auto" w:sz="4" w:space="0"/>
            </w:tcBorders>
            <w:noWrap/>
            <w:vAlign w:val="center"/>
          </w:tcPr>
          <w:p w14:paraId="5A4678B0">
            <w:pPr>
              <w:spacing w:line="360" w:lineRule="auto"/>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物料描述</w:t>
            </w:r>
          </w:p>
        </w:tc>
        <w:tc>
          <w:tcPr>
            <w:tcW w:w="696" w:type="dxa"/>
            <w:vMerge w:val="restart"/>
            <w:tcBorders>
              <w:top w:val="single" w:color="auto" w:sz="4" w:space="0"/>
              <w:left w:val="single" w:color="auto" w:sz="4" w:space="0"/>
              <w:bottom w:val="single" w:color="auto" w:sz="4" w:space="0"/>
              <w:right w:val="single" w:color="auto" w:sz="4" w:space="0"/>
            </w:tcBorders>
            <w:noWrap/>
            <w:vAlign w:val="center"/>
          </w:tcPr>
          <w:p w14:paraId="243B11E6">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数量</w:t>
            </w:r>
          </w:p>
        </w:tc>
        <w:tc>
          <w:tcPr>
            <w:tcW w:w="960" w:type="dxa"/>
            <w:vMerge w:val="restart"/>
            <w:tcBorders>
              <w:top w:val="single" w:color="auto" w:sz="4" w:space="0"/>
              <w:left w:val="single" w:color="auto" w:sz="4" w:space="0"/>
              <w:bottom w:val="single" w:color="auto" w:sz="4" w:space="0"/>
              <w:right w:val="single" w:color="auto" w:sz="4" w:space="0"/>
            </w:tcBorders>
            <w:noWrap/>
            <w:vAlign w:val="center"/>
          </w:tcPr>
          <w:p w14:paraId="40DC8BEC">
            <w:pPr>
              <w:spacing w:line="360" w:lineRule="auto"/>
              <w:jc w:val="center"/>
              <w:rPr>
                <w:rFonts w:hint="eastAsia" w:ascii="宋体" w:hAnsi="宋体" w:eastAsia="宋体" w:cs="宋体"/>
                <w:b/>
                <w:bCs/>
                <w:sz w:val="20"/>
                <w:szCs w:val="20"/>
                <w:lang w:eastAsia="zh-CN"/>
              </w:rPr>
            </w:pPr>
            <w:r>
              <w:rPr>
                <w:rFonts w:hint="eastAsia" w:ascii="宋体" w:hAnsi="宋体" w:eastAsia="宋体" w:cs="宋体"/>
                <w:b/>
                <w:bCs/>
                <w:sz w:val="20"/>
                <w:szCs w:val="20"/>
                <w:lang w:eastAsia="zh-CN"/>
              </w:rPr>
              <w:t>单位</w:t>
            </w:r>
          </w:p>
        </w:tc>
        <w:tc>
          <w:tcPr>
            <w:tcW w:w="1491" w:type="dxa"/>
            <w:gridSpan w:val="2"/>
            <w:tcBorders>
              <w:top w:val="single" w:color="auto" w:sz="4" w:space="0"/>
              <w:left w:val="nil"/>
              <w:bottom w:val="single" w:color="auto" w:sz="4" w:space="0"/>
              <w:right w:val="single" w:color="auto" w:sz="4" w:space="0"/>
            </w:tcBorders>
            <w:noWrap/>
            <w:vAlign w:val="center"/>
          </w:tcPr>
          <w:p w14:paraId="1718DD20">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总质量（kg）</w:t>
            </w:r>
          </w:p>
        </w:tc>
      </w:tr>
      <w:tr w14:paraId="7E269D70">
        <w:tblPrEx>
          <w:tblCellMar>
            <w:top w:w="0" w:type="dxa"/>
            <w:left w:w="108" w:type="dxa"/>
            <w:bottom w:w="0" w:type="dxa"/>
            <w:right w:w="108" w:type="dxa"/>
          </w:tblCellMar>
        </w:tblPrEx>
        <w:trPr>
          <w:trHeight w:val="285" w:hRule="atLeast"/>
          <w:jc w:val="center"/>
        </w:trPr>
        <w:tc>
          <w:tcPr>
            <w:tcW w:w="616" w:type="dxa"/>
            <w:vMerge w:val="continue"/>
            <w:tcBorders>
              <w:top w:val="single" w:color="auto" w:sz="4" w:space="0"/>
              <w:left w:val="single" w:color="auto" w:sz="4" w:space="0"/>
              <w:bottom w:val="single" w:color="auto" w:sz="4" w:space="0"/>
              <w:right w:val="single" w:color="auto" w:sz="4" w:space="0"/>
            </w:tcBorders>
            <w:noWrap w:val="0"/>
            <w:vAlign w:val="center"/>
          </w:tcPr>
          <w:p w14:paraId="733E9755">
            <w:pPr>
              <w:spacing w:line="360" w:lineRule="auto"/>
              <w:rPr>
                <w:rFonts w:hint="eastAsia" w:ascii="宋体" w:hAnsi="宋体" w:eastAsia="宋体" w:cs="宋体"/>
                <w:b/>
                <w:bCs/>
                <w:sz w:val="20"/>
                <w:szCs w:val="20"/>
              </w:rPr>
            </w:pPr>
          </w:p>
        </w:tc>
        <w:tc>
          <w:tcPr>
            <w:tcW w:w="1333" w:type="dxa"/>
            <w:vMerge w:val="continue"/>
            <w:tcBorders>
              <w:top w:val="single" w:color="auto" w:sz="4" w:space="0"/>
              <w:left w:val="single" w:color="auto" w:sz="4" w:space="0"/>
              <w:bottom w:val="single" w:color="auto" w:sz="4" w:space="0"/>
              <w:right w:val="single" w:color="auto" w:sz="4" w:space="0"/>
            </w:tcBorders>
            <w:noWrap w:val="0"/>
            <w:vAlign w:val="center"/>
          </w:tcPr>
          <w:p w14:paraId="33D765C2">
            <w:pPr>
              <w:spacing w:line="360" w:lineRule="auto"/>
              <w:rPr>
                <w:rFonts w:hint="eastAsia" w:ascii="宋体" w:hAnsi="宋体" w:eastAsia="宋体" w:cs="宋体"/>
                <w:b/>
                <w:bCs/>
                <w:sz w:val="20"/>
                <w:szCs w:val="20"/>
              </w:rPr>
            </w:pPr>
          </w:p>
        </w:tc>
        <w:tc>
          <w:tcPr>
            <w:tcW w:w="2504" w:type="dxa"/>
            <w:vMerge w:val="continue"/>
            <w:tcBorders>
              <w:top w:val="single" w:color="auto" w:sz="4" w:space="0"/>
              <w:left w:val="single" w:color="auto" w:sz="4" w:space="0"/>
              <w:bottom w:val="single" w:color="auto" w:sz="4" w:space="0"/>
              <w:right w:val="single" w:color="auto" w:sz="4" w:space="0"/>
            </w:tcBorders>
            <w:noWrap w:val="0"/>
            <w:vAlign w:val="center"/>
          </w:tcPr>
          <w:p w14:paraId="241F4243">
            <w:pPr>
              <w:spacing w:line="360" w:lineRule="auto"/>
              <w:rPr>
                <w:rFonts w:hint="eastAsia" w:ascii="宋体" w:hAnsi="宋体" w:eastAsia="宋体" w:cs="宋体"/>
                <w:b/>
                <w:bCs/>
                <w:sz w:val="20"/>
                <w:szCs w:val="20"/>
              </w:rPr>
            </w:pPr>
          </w:p>
        </w:tc>
        <w:tc>
          <w:tcPr>
            <w:tcW w:w="696" w:type="dxa"/>
            <w:vMerge w:val="continue"/>
            <w:tcBorders>
              <w:top w:val="single" w:color="auto" w:sz="4" w:space="0"/>
              <w:left w:val="single" w:color="auto" w:sz="4" w:space="0"/>
              <w:bottom w:val="single" w:color="auto" w:sz="4" w:space="0"/>
              <w:right w:val="single" w:color="auto" w:sz="4" w:space="0"/>
            </w:tcBorders>
            <w:noWrap w:val="0"/>
            <w:vAlign w:val="center"/>
          </w:tcPr>
          <w:p w14:paraId="48F60841">
            <w:pPr>
              <w:spacing w:line="360" w:lineRule="auto"/>
              <w:rPr>
                <w:rFonts w:hint="eastAsia" w:ascii="宋体" w:hAnsi="宋体" w:eastAsia="宋体" w:cs="宋体"/>
                <w:b/>
                <w:bCs/>
                <w:sz w:val="20"/>
                <w:szCs w:val="20"/>
              </w:rPr>
            </w:pPr>
          </w:p>
        </w:tc>
        <w:tc>
          <w:tcPr>
            <w:tcW w:w="960" w:type="dxa"/>
            <w:vMerge w:val="continue"/>
            <w:tcBorders>
              <w:top w:val="single" w:color="auto" w:sz="4" w:space="0"/>
              <w:left w:val="single" w:color="auto" w:sz="4" w:space="0"/>
              <w:bottom w:val="single" w:color="auto" w:sz="4" w:space="0"/>
              <w:right w:val="single" w:color="auto" w:sz="4" w:space="0"/>
            </w:tcBorders>
            <w:noWrap w:val="0"/>
            <w:vAlign w:val="center"/>
          </w:tcPr>
          <w:p w14:paraId="1996496D">
            <w:pPr>
              <w:spacing w:line="360" w:lineRule="auto"/>
              <w:rPr>
                <w:rFonts w:hint="eastAsia" w:ascii="宋体" w:hAnsi="宋体" w:eastAsia="宋体" w:cs="宋体"/>
                <w:b/>
                <w:bCs/>
                <w:sz w:val="20"/>
                <w:szCs w:val="20"/>
              </w:rPr>
            </w:pPr>
          </w:p>
        </w:tc>
        <w:tc>
          <w:tcPr>
            <w:tcW w:w="675" w:type="dxa"/>
            <w:tcBorders>
              <w:top w:val="nil"/>
              <w:left w:val="nil"/>
              <w:bottom w:val="single" w:color="auto" w:sz="4" w:space="0"/>
              <w:right w:val="single" w:color="auto" w:sz="4" w:space="0"/>
            </w:tcBorders>
            <w:noWrap/>
            <w:vAlign w:val="center"/>
          </w:tcPr>
          <w:p w14:paraId="3DE1C896">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单重</w:t>
            </w:r>
          </w:p>
        </w:tc>
        <w:tc>
          <w:tcPr>
            <w:tcW w:w="816" w:type="dxa"/>
            <w:tcBorders>
              <w:top w:val="nil"/>
              <w:left w:val="nil"/>
              <w:bottom w:val="single" w:color="auto" w:sz="4" w:space="0"/>
              <w:right w:val="single" w:color="auto" w:sz="4" w:space="0"/>
            </w:tcBorders>
            <w:noWrap/>
            <w:vAlign w:val="center"/>
          </w:tcPr>
          <w:p w14:paraId="16A5B88D">
            <w:pPr>
              <w:spacing w:line="360" w:lineRule="auto"/>
              <w:jc w:val="center"/>
              <w:rPr>
                <w:rFonts w:hint="eastAsia" w:ascii="宋体" w:hAnsi="宋体" w:eastAsia="宋体" w:cs="宋体"/>
                <w:b/>
                <w:bCs/>
                <w:sz w:val="20"/>
                <w:szCs w:val="20"/>
              </w:rPr>
            </w:pPr>
            <w:r>
              <w:rPr>
                <w:rFonts w:hint="eastAsia" w:ascii="宋体" w:hAnsi="宋体" w:eastAsia="宋体" w:cs="宋体"/>
                <w:b/>
                <w:bCs/>
                <w:sz w:val="20"/>
                <w:szCs w:val="20"/>
              </w:rPr>
              <w:t>总重</w:t>
            </w:r>
          </w:p>
        </w:tc>
      </w:tr>
      <w:tr w14:paraId="41DAC2A3">
        <w:tblPrEx>
          <w:tblCellMar>
            <w:top w:w="0" w:type="dxa"/>
            <w:left w:w="108" w:type="dxa"/>
            <w:bottom w:w="0" w:type="dxa"/>
            <w:right w:w="108" w:type="dxa"/>
          </w:tblCellMar>
        </w:tblPrEx>
        <w:trPr>
          <w:trHeight w:val="1229" w:hRule="atLeast"/>
          <w:jc w:val="center"/>
        </w:trPr>
        <w:tc>
          <w:tcPr>
            <w:tcW w:w="616" w:type="dxa"/>
            <w:tcBorders>
              <w:top w:val="nil"/>
              <w:left w:val="single" w:color="auto" w:sz="4" w:space="0"/>
              <w:bottom w:val="single" w:color="auto" w:sz="4" w:space="0"/>
              <w:right w:val="single" w:color="auto" w:sz="4" w:space="0"/>
            </w:tcBorders>
            <w:noWrap/>
            <w:vAlign w:val="center"/>
          </w:tcPr>
          <w:p w14:paraId="6383D59C">
            <w:pPr>
              <w:spacing w:line="360" w:lineRule="auto"/>
              <w:jc w:val="center"/>
              <w:rPr>
                <w:rFonts w:ascii="宋体" w:hAnsi="宋体" w:cs="宋体"/>
                <w:sz w:val="21"/>
                <w:szCs w:val="21"/>
              </w:rPr>
            </w:pPr>
            <w:r>
              <w:rPr>
                <w:rFonts w:ascii="宋体" w:hAnsi="宋体" w:cs="宋体"/>
                <w:sz w:val="21"/>
                <w:szCs w:val="21"/>
              </w:rPr>
              <w:t>1</w:t>
            </w:r>
          </w:p>
        </w:tc>
        <w:tc>
          <w:tcPr>
            <w:tcW w:w="1333" w:type="dxa"/>
            <w:tcBorders>
              <w:top w:val="nil"/>
              <w:left w:val="nil"/>
              <w:bottom w:val="single" w:color="auto" w:sz="4" w:space="0"/>
              <w:right w:val="single" w:color="auto" w:sz="4" w:space="0"/>
            </w:tcBorders>
            <w:noWrap/>
            <w:vAlign w:val="center"/>
          </w:tcPr>
          <w:p w14:paraId="32E14738">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szCs w:val="21"/>
                <w:lang w:val="en-US" w:eastAsia="zh-CN"/>
              </w:rPr>
              <w:t>70431365</w:t>
            </w:r>
          </w:p>
        </w:tc>
        <w:tc>
          <w:tcPr>
            <w:tcW w:w="2504" w:type="dxa"/>
            <w:tcBorders>
              <w:top w:val="nil"/>
              <w:left w:val="nil"/>
              <w:bottom w:val="single" w:color="auto" w:sz="4" w:space="0"/>
              <w:right w:val="single" w:color="auto" w:sz="4" w:space="0"/>
            </w:tcBorders>
            <w:noWrap/>
            <w:vAlign w:val="center"/>
          </w:tcPr>
          <w:p w14:paraId="7269ECC9">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default" w:ascii="宋体" w:hAnsi="宋体" w:eastAsia="宋体"/>
                <w:szCs w:val="21"/>
                <w:lang w:val="en-US" w:eastAsia="zh-CN"/>
              </w:rPr>
              <w:t>390m3/h 32m 工业水 200KQL390-32-45/4带电机45</w:t>
            </w:r>
            <w:r>
              <w:rPr>
                <w:rFonts w:hint="eastAsia" w:ascii="宋体" w:hAnsi="宋体"/>
                <w:szCs w:val="21"/>
                <w:lang w:val="en-US" w:eastAsia="zh-CN"/>
              </w:rPr>
              <w:t>kW</w:t>
            </w:r>
            <w:r>
              <w:rPr>
                <w:rFonts w:hint="default" w:ascii="宋体" w:hAnsi="宋体" w:eastAsia="宋体"/>
                <w:szCs w:val="21"/>
                <w:lang w:val="en-US" w:eastAsia="zh-CN"/>
              </w:rPr>
              <w:t>一级能效</w:t>
            </w:r>
          </w:p>
        </w:tc>
        <w:tc>
          <w:tcPr>
            <w:tcW w:w="696" w:type="dxa"/>
            <w:tcBorders>
              <w:top w:val="nil"/>
              <w:left w:val="nil"/>
              <w:bottom w:val="single" w:color="auto" w:sz="4" w:space="0"/>
              <w:right w:val="single" w:color="auto" w:sz="4" w:space="0"/>
            </w:tcBorders>
            <w:noWrap/>
            <w:vAlign w:val="center"/>
          </w:tcPr>
          <w:p w14:paraId="41AAFE7D">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cs="宋体"/>
                <w:sz w:val="21"/>
                <w:szCs w:val="21"/>
                <w:lang w:val="en-US" w:eastAsia="zh-CN"/>
              </w:rPr>
              <w:t>4</w:t>
            </w:r>
          </w:p>
        </w:tc>
        <w:tc>
          <w:tcPr>
            <w:tcW w:w="960" w:type="dxa"/>
            <w:tcBorders>
              <w:top w:val="nil"/>
              <w:left w:val="nil"/>
              <w:bottom w:val="single" w:color="auto" w:sz="4" w:space="0"/>
              <w:right w:val="single" w:color="auto" w:sz="4" w:space="0"/>
            </w:tcBorders>
            <w:noWrap/>
            <w:vAlign w:val="center"/>
          </w:tcPr>
          <w:p w14:paraId="2E6CAB99">
            <w:pPr>
              <w:keepNext w:val="0"/>
              <w:keepLines w:val="0"/>
              <w:widowControl/>
              <w:suppressLineNumbers w:val="0"/>
              <w:jc w:val="center"/>
              <w:textAlignment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套</w:t>
            </w:r>
          </w:p>
        </w:tc>
        <w:tc>
          <w:tcPr>
            <w:tcW w:w="675" w:type="dxa"/>
            <w:tcBorders>
              <w:top w:val="nil"/>
              <w:left w:val="nil"/>
              <w:bottom w:val="single" w:color="auto" w:sz="4" w:space="0"/>
              <w:right w:val="single" w:color="auto" w:sz="4" w:space="0"/>
            </w:tcBorders>
            <w:noWrap/>
            <w:vAlign w:val="center"/>
          </w:tcPr>
          <w:p w14:paraId="042A4B01">
            <w:pPr>
              <w:spacing w:line="360" w:lineRule="auto"/>
              <w:jc w:val="center"/>
              <w:rPr>
                <w:rFonts w:hint="default"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w:t>
            </w:r>
          </w:p>
        </w:tc>
        <w:tc>
          <w:tcPr>
            <w:tcW w:w="816" w:type="dxa"/>
            <w:tcBorders>
              <w:top w:val="nil"/>
              <w:left w:val="nil"/>
              <w:bottom w:val="single" w:color="auto" w:sz="4" w:space="0"/>
              <w:right w:val="single" w:color="auto" w:sz="4" w:space="0"/>
            </w:tcBorders>
            <w:noWrap/>
            <w:vAlign w:val="center"/>
          </w:tcPr>
          <w:p w14:paraId="234776C3">
            <w:pPr>
              <w:spacing w:line="360" w:lineRule="auto"/>
              <w:jc w:val="center"/>
              <w:rPr>
                <w:rFonts w:hint="default" w:ascii="宋体" w:hAnsi="宋体" w:cs="宋体" w:eastAsiaTheme="minorEastAsia"/>
                <w:sz w:val="21"/>
                <w:szCs w:val="21"/>
                <w:lang w:val="en-US" w:eastAsia="zh-CN"/>
              </w:rPr>
            </w:pPr>
            <w:r>
              <w:rPr>
                <w:rFonts w:hint="eastAsia" w:ascii="宋体" w:hAnsi="宋体" w:cs="宋体" w:eastAsiaTheme="minorEastAsia"/>
                <w:sz w:val="21"/>
                <w:szCs w:val="21"/>
                <w:lang w:val="en-US" w:eastAsia="zh-CN"/>
              </w:rPr>
              <w:t>/</w:t>
            </w:r>
          </w:p>
        </w:tc>
      </w:tr>
    </w:tbl>
    <w:p w14:paraId="51540BE2">
      <w:pPr>
        <w:spacing w:line="360" w:lineRule="auto"/>
        <w:rPr>
          <w:rFonts w:hint="default" w:ascii="宋体" w:hAnsi="宋体" w:eastAsia="宋体"/>
          <w:b/>
          <w:szCs w:val="21"/>
          <w:lang w:val="en-US" w:eastAsia="zh-CN"/>
        </w:rPr>
      </w:pPr>
    </w:p>
    <w:p w14:paraId="1E33B685">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7" w:firstLineChars="200"/>
        <w:textAlignment w:val="auto"/>
        <w:outlineLvl w:val="0"/>
        <w:rPr>
          <w:rFonts w:hint="eastAsia" w:ascii="仿宋_GB2312" w:hAnsi="仿宋_GB2312" w:eastAsia="仿宋_GB2312" w:cs="仿宋_GB2312"/>
          <w:b/>
          <w:spacing w:val="-4"/>
          <w:kern w:val="28"/>
          <w:sz w:val="32"/>
          <w:szCs w:val="32"/>
          <w:lang w:val="en-US" w:eastAsia="zh-CN"/>
        </w:rPr>
      </w:pPr>
      <w:r>
        <w:rPr>
          <w:rFonts w:hint="eastAsia" w:ascii="仿宋_GB2312" w:hAnsi="仿宋_GB2312" w:eastAsia="仿宋_GB2312" w:cs="仿宋_GB2312"/>
          <w:b/>
          <w:spacing w:val="-4"/>
          <w:kern w:val="28"/>
          <w:sz w:val="32"/>
          <w:szCs w:val="32"/>
        </w:rPr>
        <w:t>附件四</w:t>
      </w:r>
      <w:r>
        <w:rPr>
          <w:rFonts w:hint="eastAsia" w:ascii="仿宋_GB2312" w:hAnsi="仿宋_GB2312" w:eastAsia="仿宋_GB2312" w:cs="仿宋_GB2312"/>
          <w:b/>
          <w:spacing w:val="-4"/>
          <w:kern w:val="28"/>
          <w:sz w:val="32"/>
          <w:szCs w:val="32"/>
          <w:lang w:val="en-US" w:eastAsia="zh-CN"/>
        </w:rPr>
        <w:t xml:space="preserve">  具体要求</w:t>
      </w:r>
    </w:p>
    <w:p w14:paraId="7254A4A5">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1.乙方提供的</w:t>
      </w:r>
      <w:r>
        <w:rPr>
          <w:rFonts w:hint="eastAsia" w:ascii="仿宋_GB2312" w:hAnsi="仿宋_GB2312" w:eastAsia="仿宋_GB2312" w:cs="仿宋_GB2312"/>
          <w:sz w:val="28"/>
          <w:szCs w:val="28"/>
          <w:lang w:eastAsia="zh-CN"/>
        </w:rPr>
        <w:t>管道循环泵</w:t>
      </w:r>
      <w:r>
        <w:rPr>
          <w:rFonts w:hint="eastAsia" w:ascii="仿宋_GB2312" w:hAnsi="仿宋_GB2312" w:eastAsia="仿宋_GB2312" w:cs="仿宋_GB2312"/>
          <w:sz w:val="28"/>
          <w:szCs w:val="28"/>
        </w:rPr>
        <w:t>、电机均按最新标准设计和制造，在系统正常合理工况下能满足安全和持续运行的要求。</w:t>
      </w:r>
    </w:p>
    <w:p w14:paraId="2D2179DE">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2.设备零部件均采用先进、可靠的加工制造技术，并有良好的表面几何形状及合适的公差配合。</w:t>
      </w:r>
    </w:p>
    <w:p w14:paraId="23A0596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3.水泵能满足在各种允许运行工况下平稳、安全地输送介质。</w:t>
      </w:r>
    </w:p>
    <w:p w14:paraId="64442154">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投标方确定泵的允许工作范围，并绘出性能曲线（扬程、效率、轴功率、汽蚀余量与流量的关系曲线）。泵的扬程曲线随流量的变化而平稳变化，泵关闭扬程低于设计扬程的130%。从额定流量到零流量扬程升高不超过额定流量时的25%。</w:t>
      </w:r>
    </w:p>
    <w:p w14:paraId="1941C22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5.泵在技术规范要求的各种工况下运行时，水泵流量、扬程和效率等性能，都应予以保证，且无负偏差。流量在额定值时，扬程偏差符合行业标准和国标。</w:t>
      </w:r>
    </w:p>
    <w:p w14:paraId="0F976CFC">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6.泵的第一临界转速不低于120%的额定转速。</w:t>
      </w:r>
    </w:p>
    <w:p w14:paraId="7F091ED0">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7.法兰及密封形式和尺寸按GB/T 9124.1-2019标准。轴的密封要求不渗漏、对轴无磨损、运行寿命长。</w:t>
      </w:r>
    </w:p>
    <w:p w14:paraId="11088529">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8.泵的振动在无汽蚀运转条件下测量，轴承处的振动值满足国家标准和规范要求，即轴承在各方向振动（双向振幅）值不大于0.03mm。</w:t>
      </w:r>
    </w:p>
    <w:p w14:paraId="7DB17BF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9.同规格型号泵的所有部件和备品备件、专用工具能够相互替换。</w:t>
      </w:r>
    </w:p>
    <w:p w14:paraId="2E0EA8F5">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10.泵所配的电动机采用优质节能产品。电气设备应符合IEC529标准，电动机性能应满足相关章节要求。</w:t>
      </w:r>
    </w:p>
    <w:p w14:paraId="76115FC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11.泵受压的壳体，包括轴封和填料压盖等能够承受规定的工作压力和环境温度下的水压试验压力。承受压力的元件应按工作压力的1.5倍作水压试验。</w:t>
      </w:r>
    </w:p>
    <w:p w14:paraId="0832BCB4">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12.泵轴有足够的刚性，在计算确定挠度时，不应考虑机封的支撑作用。</w:t>
      </w:r>
    </w:p>
    <w:p w14:paraId="29E9497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13.运行时，水泵滚动轴承的温度不高于环境温度35℃，最高温度不高于120℃。要求环境温度＜40℃时，电动机机身、轴承、线圈温升不得超过20℃。</w:t>
      </w:r>
    </w:p>
    <w:p w14:paraId="40CDEA80">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14.投标方提供必要的噪音处理装置，以便达到噪声控制设计目标。</w:t>
      </w:r>
      <w:bookmarkStart w:id="0" w:name="OLE_LINK128"/>
      <w:bookmarkStart w:id="1" w:name="OLE_LINK127"/>
      <w:r>
        <w:rPr>
          <w:rFonts w:hint="eastAsia" w:ascii="仿宋_GB2312" w:hAnsi="仿宋_GB2312" w:eastAsia="仿宋_GB2312" w:cs="仿宋_GB2312"/>
          <w:sz w:val="28"/>
          <w:szCs w:val="28"/>
        </w:rPr>
        <w:t>水泵在距离机组1米处测得的噪声声压值不超过85dB(A)。</w:t>
      </w:r>
      <w:bookmarkEnd w:id="0"/>
      <w:bookmarkEnd w:id="1"/>
    </w:p>
    <w:p w14:paraId="424D13CE">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15.所有铸件执行JB/T6880 《泵用铸钢件》、《泵用灰铸铁件》标准，铸件不得有缩孔、缩松、夹渣等现象。同时不影响力学性能的铸造缺陷，铸件表面光滑并清理干净。</w:t>
      </w:r>
    </w:p>
    <w:p w14:paraId="22C1FFF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16.投标方提供防腐保护的完整说明，包括清洗和涂层工艺及所用涂料的特性。</w:t>
      </w:r>
    </w:p>
    <w:p w14:paraId="78C60763">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17.所有设备及其附件的使用寿命，必须考虑到在设备使用期间经受各项环境条件的综合影响。投标方保证所供水泵及附件的连续使用寿命不少于10年。</w:t>
      </w:r>
    </w:p>
    <w:p w14:paraId="6D182800">
      <w:pPr>
        <w:widowControl/>
        <w:adjustRightInd w:val="0"/>
        <w:snapToGrid w:val="0"/>
        <w:spacing w:line="600" w:lineRule="atLeast"/>
        <w:ind w:firstLine="560" w:firstLineChars="200"/>
        <w:rPr>
          <w:rFonts w:hint="eastAsia" w:ascii="仿宋_GB2312" w:hAnsi="仿宋_GB2312" w:eastAsia="仿宋_GB2312" w:cs="仿宋_GB2312"/>
          <w:sz w:val="28"/>
          <w:szCs w:val="28"/>
        </w:rPr>
      </w:pPr>
      <w:bookmarkStart w:id="2" w:name="OLE_LINK66"/>
      <w:bookmarkStart w:id="3" w:name="OLE_LINK67"/>
      <w:r>
        <w:rPr>
          <w:rFonts w:hint="eastAsia" w:ascii="仿宋_GB2312" w:hAnsi="仿宋_GB2312" w:eastAsia="仿宋_GB2312" w:cs="仿宋_GB2312"/>
          <w:sz w:val="28"/>
          <w:szCs w:val="28"/>
        </w:rPr>
        <w:t>18.所有水泵过流部分的材质应能防止过流介质的腐蚀，过流部分：叶轮、涡壳、轴套、泵盖、叶轮螺母材质必须满足协议要求。</w:t>
      </w:r>
    </w:p>
    <w:bookmarkEnd w:id="2"/>
    <w:bookmarkEnd w:id="3"/>
    <w:p w14:paraId="79131153">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19.</w:t>
      </w:r>
      <w:r>
        <w:rPr>
          <w:rFonts w:hint="eastAsia" w:ascii="仿宋_GB2312" w:hAnsi="仿宋_GB2312" w:eastAsia="仿宋_GB2312" w:cs="仿宋_GB2312"/>
          <w:sz w:val="28"/>
          <w:szCs w:val="28"/>
          <w:lang w:eastAsia="zh-CN"/>
        </w:rPr>
        <w:t>循环</w:t>
      </w:r>
      <w:r>
        <w:rPr>
          <w:rFonts w:hint="eastAsia" w:ascii="仿宋_GB2312" w:hAnsi="仿宋_GB2312" w:eastAsia="仿宋_GB2312" w:cs="仿宋_GB2312"/>
          <w:sz w:val="28"/>
          <w:szCs w:val="28"/>
        </w:rPr>
        <w:t>水泵</w:t>
      </w:r>
      <w:r>
        <w:rPr>
          <w:rFonts w:hint="eastAsia" w:ascii="仿宋_GB2312" w:hAnsi="仿宋_GB2312" w:eastAsia="仿宋_GB2312" w:cs="仿宋_GB2312"/>
          <w:sz w:val="28"/>
          <w:szCs w:val="28"/>
          <w:lang w:eastAsia="zh-CN"/>
        </w:rPr>
        <w:t>满足现场设备工况供水系统</w:t>
      </w:r>
      <w:r>
        <w:rPr>
          <w:rFonts w:hint="eastAsia" w:ascii="仿宋_GB2312" w:hAnsi="仿宋_GB2312" w:eastAsia="仿宋_GB2312" w:cs="仿宋_GB2312"/>
          <w:sz w:val="28"/>
          <w:szCs w:val="28"/>
        </w:rPr>
        <w:t>的</w:t>
      </w:r>
      <w:r>
        <w:rPr>
          <w:rFonts w:hint="eastAsia" w:ascii="仿宋_GB2312" w:hAnsi="仿宋_GB2312" w:eastAsia="仿宋_GB2312" w:cs="仿宋_GB2312"/>
          <w:sz w:val="28"/>
          <w:szCs w:val="28"/>
          <w:lang w:eastAsia="zh-CN"/>
        </w:rPr>
        <w:t>流</w:t>
      </w:r>
      <w:r>
        <w:rPr>
          <w:rFonts w:hint="eastAsia" w:ascii="仿宋_GB2312" w:hAnsi="仿宋_GB2312" w:eastAsia="仿宋_GB2312" w:cs="仿宋_GB2312"/>
          <w:sz w:val="28"/>
          <w:szCs w:val="28"/>
        </w:rPr>
        <w:t>量、扬程及效率无负值偏差，在保证点的全扬程正偏差不超过3%，在关闭点的水头变幅为±5%。</w:t>
      </w:r>
    </w:p>
    <w:p w14:paraId="20C7395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20.所有水泵出口配就地压力表, 表盘直径150mm，压力表精度等级应为1.6级、不锈钢，防振型，投标方还应提供仪表管、仪表阀等压力表安装所需的全部附件。</w:t>
      </w:r>
    </w:p>
    <w:p w14:paraId="42A58DB8">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21.设备铭牌采用耐腐蚀的金属板制造，铭牌设置在操作人员易于看到的地方，并刻有下列内容：制造厂家名称、设备名称、设备型号、主要技术参数、出厂日期、产品出厂编号等。</w:t>
      </w:r>
    </w:p>
    <w:p w14:paraId="60FBB95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22.乙方水泵、电机选用</w:t>
      </w:r>
      <w:r>
        <w:rPr>
          <w:rFonts w:hint="eastAsia" w:ascii="仿宋_GB2312" w:hAnsi="仿宋_GB2312" w:eastAsia="仿宋_GB2312" w:cs="仿宋_GB2312"/>
          <w:sz w:val="28"/>
          <w:szCs w:val="28"/>
          <w:lang w:eastAsia="zh-CN"/>
        </w:rPr>
        <w:t>参照或相当于</w:t>
      </w:r>
      <w:r>
        <w:rPr>
          <w:rFonts w:hint="eastAsia" w:ascii="仿宋_GB2312" w:hAnsi="仿宋_GB2312" w:eastAsia="仿宋_GB2312" w:cs="仿宋_GB2312"/>
          <w:sz w:val="28"/>
          <w:szCs w:val="28"/>
        </w:rPr>
        <w:t>进口SKF高质量轴承，且前后端盖均设置加油嘴。电动机出厂时间小于六个月。</w:t>
      </w:r>
    </w:p>
    <w:p w14:paraId="52DC2E53">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23.电机安装尺寸、涂装颜色必须保持和现场水泵、电机尺寸一致（包括地脚螺栓孔中心距、孔径大小、电机接线盒位置，进、出水管径，进、出水管中心高度，轴伸长度和轴径等尺寸），需要厂家现场测绘核实。</w:t>
      </w:r>
    </w:p>
    <w:p w14:paraId="6847DD98">
      <w:pPr>
        <w:widowControl/>
        <w:adjustRightInd w:val="0"/>
        <w:snapToGrid w:val="0"/>
        <w:spacing w:line="600" w:lineRule="atLeast"/>
        <w:ind w:firstLine="560" w:firstLineChars="200"/>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24.所选用的电机为一线电机厂家：</w:t>
      </w:r>
      <w:r>
        <w:rPr>
          <w:rFonts w:hint="eastAsia" w:ascii="仿宋_GB2312" w:hAnsi="仿宋_GB2312" w:eastAsia="仿宋_GB2312" w:cs="仿宋_GB2312"/>
          <w:sz w:val="28"/>
          <w:szCs w:val="28"/>
          <w:lang w:eastAsia="zh-CN"/>
        </w:rPr>
        <w:t>参照或相当于</w:t>
      </w:r>
      <w:r>
        <w:rPr>
          <w:rFonts w:hint="eastAsia" w:ascii="仿宋_GB2312" w:hAnsi="仿宋_GB2312" w:eastAsia="仿宋_GB2312" w:cs="仿宋_GB2312"/>
          <w:sz w:val="28"/>
          <w:szCs w:val="28"/>
        </w:rPr>
        <w:t>ABB、西门子</w:t>
      </w:r>
      <w:r>
        <w:rPr>
          <w:rFonts w:hint="eastAsia" w:ascii="仿宋_GB2312" w:hAnsi="仿宋_GB2312" w:eastAsia="仿宋_GB2312" w:cs="仿宋_GB2312"/>
          <w:sz w:val="28"/>
          <w:szCs w:val="28"/>
          <w:lang w:eastAsia="zh-CN"/>
        </w:rPr>
        <w:t>、佳木斯。</w:t>
      </w:r>
      <w:r>
        <w:rPr>
          <w:rFonts w:hint="eastAsia" w:ascii="仿宋_GB2312" w:hAnsi="仿宋_GB2312" w:eastAsia="仿宋_GB2312" w:cs="仿宋_GB2312"/>
          <w:sz w:val="28"/>
          <w:szCs w:val="28"/>
        </w:rPr>
        <w:t>水泵为国内一线水泵厂家生产的水泵。乙方应提供产品出厂合格证、装箱单、产品试验报告单、操作维护手册、技术说明书、设备编码（用于向厂家查询设备真伪）、“三包”保修卡、产品及相关材料的安全产品认定书和质量保证书等交甲方确认。</w:t>
      </w:r>
      <w:bookmarkStart w:id="4" w:name="_GoBack"/>
      <w:bookmarkEnd w:id="4"/>
    </w:p>
    <w:p w14:paraId="2F85598A">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25.乙方所供水泵、电机的设计、生产、制造、检验过程中，应严格执行以下标准：</w:t>
      </w:r>
    </w:p>
    <w:p w14:paraId="3DBE2B30">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 GB/T 3216  《离心泵、混流泵、轴流泵和旋涡泵试验方法》；</w:t>
      </w:r>
    </w:p>
    <w:p w14:paraId="1E31621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25.2 GB/T 13468-2013 《泵类系统电能平衡的测试与计算方法》；</w:t>
      </w:r>
    </w:p>
    <w:p w14:paraId="000CF89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25.3 GB/T 13469-2008 《工业用离心泵、混流泵、轴流泵和旋涡泵系统经济运行》；</w:t>
      </w:r>
    </w:p>
    <w:p w14:paraId="29971B5B">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25.4 JB/T 6881-2006 《泵可靠性测定试验》；</w:t>
      </w:r>
    </w:p>
    <w:p w14:paraId="69213D01">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25.5 JB/T 6882-2006 《泵可靠性验证试验》；</w:t>
      </w:r>
    </w:p>
    <w:p w14:paraId="399D6212">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25.6 JB/T 8097-2013 《泵的振动测量与评价方法》；</w:t>
      </w:r>
    </w:p>
    <w:p w14:paraId="118B7487">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25.7 JB/T 8098-2013 《泵的噪声测量与评价方法》；</w:t>
      </w:r>
    </w:p>
    <w:p w14:paraId="36C4E481">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25.8 JB/T 8543.2-2015 《泵产品零件无损检测渗透检测》；</w:t>
      </w:r>
    </w:p>
    <w:p w14:paraId="7C8310C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25.9 JB/T 4297-2008 《泵产品涂漆技术条件》；</w:t>
      </w:r>
    </w:p>
    <w:p w14:paraId="41EB582F">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25.10 GB/T 13006-2013 《离心泵、混流泵、轴流泵汽蚀余量》；</w:t>
      </w:r>
    </w:p>
    <w:p w14:paraId="6896876D">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25.11 JB 2759-2008  《机电产品包装通用技术条件》；</w:t>
      </w:r>
    </w:p>
    <w:p w14:paraId="37CBAF0C">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25.12 IEC 34 (GB 755-2000)  《旋转电机基本技术要求》。</w:t>
      </w:r>
    </w:p>
    <w:p w14:paraId="333C7AE2">
      <w:pPr>
        <w:widowControl/>
        <w:adjustRightInd w:val="0"/>
        <w:snapToGrid w:val="0"/>
        <w:spacing w:line="600" w:lineRule="atLeas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技术协议提供的是最低限度的技术要求，并未对所有的技术细节作出规定，也未充分引述有关标准和规范的条文，供货方应根据技术规格书和行业标准，提供优质的产品，并保证产品的完整性，以实现设备的全部功能。</w:t>
      </w:r>
    </w:p>
    <w:p w14:paraId="46BCCAB1">
      <w:pPr>
        <w:widowControl/>
        <w:adjustRightInd w:val="0"/>
        <w:snapToGrid w:val="0"/>
        <w:spacing w:line="600" w:lineRule="atLeast"/>
        <w:ind w:firstLine="560" w:firstLineChars="200"/>
        <w:rPr>
          <w:rFonts w:hint="eastAsia" w:ascii="宋体" w:hAnsi="Arial" w:eastAsia="宋体" w:cs="宋体"/>
          <w:sz w:val="24"/>
          <w:lang w:val="zh-CN"/>
        </w:rPr>
      </w:pPr>
      <w:r>
        <w:rPr>
          <w:rFonts w:hint="eastAsia" w:ascii="仿宋_GB2312" w:hAnsi="仿宋_GB2312" w:eastAsia="仿宋_GB2312" w:cs="仿宋_GB2312"/>
          <w:sz w:val="28"/>
          <w:szCs w:val="28"/>
        </w:rPr>
        <w:t>当供货方采用其它标准时，其标准应符合中华人民共和国国家标准（GB）或国际标准（IEC），若有标准不一致时，取最高值。</w:t>
      </w:r>
    </w:p>
    <w:p w14:paraId="134E1D2E">
      <w:pPr>
        <w:ind w:firstLine="562" w:firstLineChars="200"/>
        <w:rPr>
          <w:rFonts w:hint="eastAsia" w:ascii="仿宋_GB2312" w:hAnsi="仿宋_GB2312" w:eastAsia="仿宋_GB2312" w:cs="仿宋_GB2312"/>
          <w:b/>
          <w:kern w:val="0"/>
          <w:sz w:val="28"/>
          <w:szCs w:val="28"/>
        </w:rPr>
      </w:pPr>
    </w:p>
    <w:p w14:paraId="51636172">
      <w:pPr>
        <w:spacing w:line="360" w:lineRule="auto"/>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w:t>
      </w:r>
      <w:r>
        <w:rPr>
          <w:rFonts w:hint="eastAsia" w:ascii="仿宋_GB2312" w:hAnsi="仿宋_GB2312" w:eastAsia="仿宋_GB2312" w:cs="仿宋_GB2312"/>
          <w:b/>
          <w:kern w:val="0"/>
          <w:sz w:val="28"/>
          <w:szCs w:val="28"/>
          <w:lang w:eastAsia="zh-CN"/>
        </w:rPr>
        <w:t>五</w:t>
      </w:r>
      <w:r>
        <w:rPr>
          <w:rFonts w:hint="eastAsia" w:ascii="仿宋_GB2312" w:hAnsi="仿宋_GB2312" w:eastAsia="仿宋_GB2312" w:cs="仿宋_GB2312"/>
          <w:b/>
          <w:kern w:val="0"/>
          <w:sz w:val="28"/>
          <w:szCs w:val="28"/>
        </w:rPr>
        <w:t xml:space="preserve"> 提供资料</w:t>
      </w:r>
    </w:p>
    <w:p w14:paraId="6ADDF0A2">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.1乙方在中标后向甲方提以下资料：</w:t>
      </w:r>
    </w:p>
    <w:p w14:paraId="208EC93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5</w:t>
      </w:r>
      <w:r>
        <w:rPr>
          <w:rFonts w:hint="eastAsia" w:ascii="仿宋_GB2312" w:hAnsi="仿宋_GB2312" w:eastAsia="仿宋_GB2312" w:cs="仿宋_GB2312"/>
          <w:kern w:val="0"/>
          <w:sz w:val="28"/>
          <w:szCs w:val="28"/>
        </w:rPr>
        <w:t>.2提供出厂最终资料，制造厂家的授权文件，设备的原产地证明。</w:t>
      </w:r>
    </w:p>
    <w:p w14:paraId="1DCB5074">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27" w:firstLineChars="200"/>
        <w:textAlignment w:val="auto"/>
        <w:outlineLvl w:val="0"/>
        <w:rPr>
          <w:rFonts w:hint="eastAsia" w:ascii="仿宋_GB2312" w:hAnsi="仿宋_GB2312" w:eastAsia="仿宋_GB2312" w:cs="仿宋_GB2312"/>
          <w:b/>
          <w:spacing w:val="-4"/>
          <w:kern w:val="28"/>
          <w:sz w:val="32"/>
          <w:szCs w:val="32"/>
          <w:lang w:val="en-US" w:eastAsia="zh-CN"/>
        </w:rPr>
      </w:pPr>
      <w:r>
        <w:rPr>
          <w:rFonts w:hint="eastAsia" w:ascii="仿宋_GB2312" w:hAnsi="仿宋_GB2312" w:eastAsia="仿宋_GB2312" w:cs="仿宋_GB2312"/>
          <w:b/>
          <w:spacing w:val="-4"/>
          <w:kern w:val="28"/>
          <w:sz w:val="32"/>
          <w:szCs w:val="32"/>
          <w:lang w:val="en-US" w:eastAsia="zh-CN"/>
        </w:rPr>
        <w:t>附件六 质量保证及售后服务</w:t>
      </w:r>
    </w:p>
    <w:p w14:paraId="33289E9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.1合同设备的质保期为投运现场使用之日起</w:t>
      </w:r>
      <w:r>
        <w:rPr>
          <w:rFonts w:hint="eastAsia" w:ascii="仿宋_GB2312" w:hAnsi="仿宋_GB2312" w:eastAsia="仿宋_GB2312" w:cs="仿宋_GB2312"/>
          <w:kern w:val="0"/>
          <w:sz w:val="28"/>
          <w:szCs w:val="28"/>
          <w:lang w:val="en-US" w:eastAsia="zh-CN"/>
        </w:rPr>
        <w:t>12</w:t>
      </w:r>
      <w:r>
        <w:rPr>
          <w:rFonts w:hint="eastAsia" w:ascii="仿宋_GB2312" w:hAnsi="仿宋_GB2312" w:eastAsia="仿宋_GB2312" w:cs="仿宋_GB2312"/>
          <w:kern w:val="0"/>
          <w:sz w:val="28"/>
          <w:szCs w:val="28"/>
        </w:rPr>
        <w:t>个月。</w:t>
      </w:r>
    </w:p>
    <w:p w14:paraId="3B09F4BB">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.2在质保期内乙方免费处理所有故障，更换零部件，保证系统正常运行。</w:t>
      </w:r>
    </w:p>
    <w:p w14:paraId="06ED670F">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6</w:t>
      </w:r>
      <w:r>
        <w:rPr>
          <w:rFonts w:hint="eastAsia" w:ascii="仿宋_GB2312" w:hAnsi="仿宋_GB2312" w:eastAsia="仿宋_GB2312" w:cs="仿宋_GB2312"/>
          <w:kern w:val="0"/>
          <w:sz w:val="28"/>
          <w:szCs w:val="28"/>
        </w:rPr>
        <w:t>.3 乙方在接到甲方服务要求后，应在</w:t>
      </w:r>
      <w:r>
        <w:rPr>
          <w:rFonts w:hint="eastAsia" w:ascii="仿宋_GB2312" w:hAnsi="仿宋_GB2312" w:eastAsia="仿宋_GB2312" w:cs="仿宋_GB2312"/>
          <w:color w:val="auto"/>
          <w:kern w:val="0"/>
          <w:sz w:val="28"/>
          <w:szCs w:val="28"/>
          <w:lang w:val="en-US" w:eastAsia="zh-CN"/>
        </w:rPr>
        <w:t>12</w:t>
      </w:r>
      <w:r>
        <w:rPr>
          <w:rFonts w:hint="eastAsia" w:ascii="仿宋_GB2312" w:hAnsi="仿宋_GB2312" w:eastAsia="仿宋_GB2312" w:cs="仿宋_GB2312"/>
          <w:color w:val="auto"/>
          <w:kern w:val="0"/>
          <w:sz w:val="28"/>
          <w:szCs w:val="28"/>
        </w:rPr>
        <w:t>个</w:t>
      </w:r>
      <w:r>
        <w:rPr>
          <w:rFonts w:hint="eastAsia" w:ascii="仿宋_GB2312" w:hAnsi="仿宋_GB2312" w:eastAsia="仿宋_GB2312" w:cs="仿宋_GB2312"/>
          <w:kern w:val="0"/>
          <w:sz w:val="28"/>
          <w:szCs w:val="28"/>
        </w:rPr>
        <w:t>小时内派出公司专业技术人员赶赴现场负责查找和决设备故障。</w:t>
      </w:r>
    </w:p>
    <w:p w14:paraId="70C75579">
      <w:pPr>
        <w:spacing w:line="360" w:lineRule="auto"/>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w:t>
      </w:r>
      <w:r>
        <w:rPr>
          <w:rFonts w:hint="eastAsia" w:ascii="仿宋_GB2312" w:hAnsi="仿宋_GB2312" w:eastAsia="仿宋_GB2312" w:cs="仿宋_GB2312"/>
          <w:b/>
          <w:kern w:val="0"/>
          <w:sz w:val="28"/>
          <w:szCs w:val="28"/>
          <w:lang w:val="en-US" w:eastAsia="zh-CN"/>
        </w:rPr>
        <w:t>七</w:t>
      </w:r>
      <w:r>
        <w:rPr>
          <w:rFonts w:hint="eastAsia" w:ascii="仿宋_GB2312" w:hAnsi="仿宋_GB2312" w:eastAsia="仿宋_GB2312" w:cs="仿宋_GB2312"/>
          <w:b/>
          <w:kern w:val="0"/>
          <w:sz w:val="28"/>
          <w:szCs w:val="28"/>
        </w:rPr>
        <w:t xml:space="preserve">  交货时间及地点</w:t>
      </w:r>
    </w:p>
    <w:p w14:paraId="1FFDDE18">
      <w:pPr>
        <w:spacing w:line="360" w:lineRule="auto"/>
        <w:ind w:firstLine="560" w:firstLineChars="200"/>
        <w:rPr>
          <w:rFonts w:hint="eastAsia" w:ascii="仿宋_GB2312" w:hAnsi="仿宋_GB2312" w:eastAsia="仿宋_GB2312" w:cs="仿宋_GB2312"/>
          <w:kern w:val="0"/>
          <w:sz w:val="28"/>
          <w:szCs w:val="28"/>
          <w:lang w:eastAsia="zh-CN"/>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.1、交货时间：</w:t>
      </w:r>
      <w:r>
        <w:rPr>
          <w:rFonts w:hint="eastAsia" w:ascii="仿宋_GB2312" w:hAnsi="仿宋_GB2312" w:eastAsia="仿宋_GB2312" w:cs="仿宋_GB2312"/>
          <w:kern w:val="0"/>
          <w:sz w:val="28"/>
          <w:szCs w:val="28"/>
          <w:lang w:eastAsia="zh-CN"/>
        </w:rPr>
        <w:t>具体以合同为准</w:t>
      </w:r>
    </w:p>
    <w:p w14:paraId="22DEFE04">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.2、交货地点：东兴铝业嘉峪关公司一期45万吨库房。</w:t>
      </w:r>
    </w:p>
    <w:p w14:paraId="636F5958">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lang w:val="en-US" w:eastAsia="zh-CN"/>
        </w:rPr>
        <w:t>7</w:t>
      </w:r>
      <w:r>
        <w:rPr>
          <w:rFonts w:hint="eastAsia" w:ascii="仿宋_GB2312" w:hAnsi="仿宋_GB2312" w:eastAsia="仿宋_GB2312" w:cs="仿宋_GB2312"/>
          <w:kern w:val="0"/>
          <w:sz w:val="28"/>
          <w:szCs w:val="28"/>
        </w:rPr>
        <w:t>.3、设备出厂发运前用红油漆按箱外标准运输标记（合同号、目的地、收件人单位、设备名称、箱号/捆号、毛净重、尺寸、吊装点）进行标注。箱内设备用标签做标记，注明设备名称、并在设备上带有铭牌。</w:t>
      </w:r>
    </w:p>
    <w:p w14:paraId="31D4BB5B">
      <w:pPr>
        <w:spacing w:line="360" w:lineRule="auto"/>
        <w:ind w:firstLine="562" w:firstLineChars="200"/>
        <w:rPr>
          <w:rFonts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附件</w:t>
      </w:r>
      <w:r>
        <w:rPr>
          <w:rFonts w:hint="eastAsia" w:ascii="仿宋_GB2312" w:hAnsi="仿宋_GB2312" w:eastAsia="仿宋_GB2312" w:cs="仿宋_GB2312"/>
          <w:b/>
          <w:kern w:val="0"/>
          <w:sz w:val="28"/>
          <w:szCs w:val="28"/>
          <w:lang w:eastAsia="zh-CN"/>
        </w:rPr>
        <w:t>八</w:t>
      </w:r>
      <w:r>
        <w:rPr>
          <w:rFonts w:hint="eastAsia" w:ascii="仿宋_GB2312" w:hAnsi="仿宋_GB2312" w:eastAsia="仿宋_GB2312" w:cs="仿宋_GB2312"/>
          <w:b/>
          <w:kern w:val="0"/>
          <w:sz w:val="28"/>
          <w:szCs w:val="28"/>
        </w:rPr>
        <w:t xml:space="preserve">  其它</w:t>
      </w:r>
    </w:p>
    <w:p w14:paraId="4904CD99">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8.1 投标方在投标中所提供的系统必须是完整的、无缺项的。无论何时发现缺项、漏项，投标方都必须无偿补足。</w:t>
      </w:r>
    </w:p>
    <w:p w14:paraId="5E639DCA">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8.2 本协议为合同附件，与合同具有同等法律效力。</w:t>
      </w:r>
    </w:p>
    <w:p w14:paraId="09E8FA54">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8.3 提供中文操作说明手册。</w:t>
      </w:r>
    </w:p>
    <w:p w14:paraId="76790977">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8.4 其它未尽事宜，甲乙双方协商解决。</w:t>
      </w:r>
    </w:p>
    <w:p w14:paraId="66FFD006">
      <w:pPr>
        <w:widowControl/>
        <w:adjustRightInd w:val="0"/>
        <w:snapToGrid w:val="0"/>
        <w:spacing w:line="60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8.5 本协议一式四份，甲方三份，乙方一份</w:t>
      </w:r>
    </w:p>
    <w:p w14:paraId="45234424">
      <w:pPr>
        <w:tabs>
          <w:tab w:val="left" w:pos="540"/>
          <w:tab w:val="left" w:pos="840"/>
          <w:tab w:val="left" w:pos="1080"/>
        </w:tabs>
        <w:spacing w:line="560" w:lineRule="atLeast"/>
        <w:ind w:firstLine="560" w:firstLineChars="200"/>
        <w:rPr>
          <w:rFonts w:hint="eastAsia" w:ascii="仿宋" w:hAnsi="仿宋" w:eastAsia="仿宋" w:cs="仿宋"/>
          <w:b w:val="0"/>
          <w:bCs/>
          <w:color w:val="000000" w:themeColor="text1"/>
          <w:sz w:val="28"/>
          <w:szCs w:val="28"/>
          <w14:textFill>
            <w14:solidFill>
              <w14:schemeClr w14:val="tx1"/>
            </w14:solidFill>
          </w14:textFill>
        </w:rPr>
      </w:pPr>
      <w:r>
        <w:rPr>
          <w:rFonts w:hint="eastAsia" w:ascii="仿宋_GB2312" w:hAnsi="仿宋_GB2312" w:eastAsia="仿宋_GB2312" w:cs="仿宋_GB2312"/>
          <w:sz w:val="28"/>
          <w:szCs w:val="28"/>
          <w:lang w:val="en-US" w:eastAsia="zh-CN"/>
        </w:rPr>
        <w:t>8.6本规格书内容经由甲乙双方于</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_GB2312" w:hAnsi="仿宋_GB2312" w:eastAsia="仿宋_GB2312" w:cs="仿宋_GB2312"/>
          <w:sz w:val="28"/>
          <w:szCs w:val="28"/>
          <w:lang w:val="en-US" w:eastAsia="zh-CN"/>
        </w:rPr>
        <w:t>年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月</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日</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时至</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_GB2312" w:hAnsi="仿宋_GB2312" w:eastAsia="仿宋_GB2312" w:cs="仿宋_GB2312"/>
          <w:sz w:val="28"/>
          <w:szCs w:val="28"/>
          <w:lang w:val="en-US" w:eastAsia="zh-CN"/>
        </w:rPr>
        <w:t>时通过</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 w:hAnsi="仿宋" w:eastAsia="仿宋" w:cs="仿宋"/>
          <w:b w:val="0"/>
          <w:bCs/>
          <w:color w:val="000000" w:themeColor="text1"/>
          <w:sz w:val="28"/>
          <w:szCs w:val="28"/>
          <w:lang w:val="en-US" w:eastAsia="zh-CN"/>
          <w14:textFill>
            <w14:solidFill>
              <w14:schemeClr w14:val="tx1"/>
            </w14:solidFill>
          </w14:textFill>
        </w:rPr>
        <w:t>  </w:t>
      </w:r>
      <w:r>
        <w:rPr>
          <w:rFonts w:hint="eastAsia" w:ascii="仿宋_GB2312" w:hAnsi="仿宋_GB2312" w:eastAsia="仿宋_GB2312" w:cs="仿宋_GB2312"/>
          <w:sz w:val="28"/>
          <w:szCs w:val="28"/>
          <w:lang w:val="en-US" w:eastAsia="zh-CN"/>
        </w:rPr>
        <w:t>方式商定。</w:t>
      </w:r>
    </w:p>
    <w:p w14:paraId="5126F303">
      <w:pPr>
        <w:tabs>
          <w:tab w:val="left" w:pos="540"/>
          <w:tab w:val="left" w:pos="840"/>
          <w:tab w:val="left" w:pos="1080"/>
        </w:tabs>
        <w:spacing w:line="56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8.7甲乙双方应当就签订本规格书的相关事宜保密，不得将签订主体、时间、内容等信息透露给其他第三人。</w:t>
      </w:r>
    </w:p>
    <w:p w14:paraId="6FDCE76B">
      <w:pPr>
        <w:tabs>
          <w:tab w:val="left" w:pos="540"/>
          <w:tab w:val="left" w:pos="840"/>
          <w:tab w:val="left" w:pos="1080"/>
        </w:tabs>
        <w:spacing w:line="560" w:lineRule="atLeas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8.8若</w:t>
      </w:r>
      <w:r>
        <w:rPr>
          <w:rFonts w:hint="eastAsia" w:ascii="仿宋" w:hAnsi="仿宋" w:eastAsia="仿宋" w:cs="仿宋"/>
          <w:b w:val="0"/>
          <w:bCs/>
          <w:color w:val="000000" w:themeColor="text1"/>
          <w:sz w:val="28"/>
          <w:szCs w:val="28"/>
          <w:u w:val="single"/>
          <w:lang w:val="en-US" w:eastAsia="zh-CN"/>
          <w14:textFill>
            <w14:solidFill>
              <w14:schemeClr w14:val="tx1"/>
            </w14:solidFill>
          </w14:textFill>
        </w:rPr>
        <w:t xml:space="preserve">       </w:t>
      </w:r>
      <w:r>
        <w:rPr>
          <w:rFonts w:hint="eastAsia" w:ascii="仿宋_GB2312" w:hAnsi="仿宋_GB2312" w:eastAsia="仿宋_GB2312" w:cs="仿宋_GB2312"/>
          <w:sz w:val="28"/>
          <w:szCs w:val="28"/>
          <w:lang w:val="en-US" w:eastAsia="zh-CN"/>
        </w:rPr>
        <w:t>公司不能中标，则本技术规格书自动失效，双方互不承担任何责任。</w:t>
      </w:r>
    </w:p>
    <w:p w14:paraId="0913ED2E">
      <w:pPr>
        <w:tabs>
          <w:tab w:val="left" w:pos="540"/>
          <w:tab w:val="left" w:pos="840"/>
          <w:tab w:val="left" w:pos="1080"/>
        </w:tabs>
        <w:spacing w:line="560" w:lineRule="atLeast"/>
        <w:ind w:firstLine="560" w:firstLineChars="200"/>
        <w:rPr>
          <w:rFonts w:ascii="仿宋_GB2312" w:hAnsi="仿宋_GB2312" w:eastAsia="仿宋_GB2312" w:cs="仿宋_GB2312"/>
          <w:sz w:val="28"/>
          <w:szCs w:val="28"/>
        </w:rPr>
      </w:pPr>
    </w:p>
    <w:p w14:paraId="1B6E788E">
      <w:pPr>
        <w:spacing w:line="360" w:lineRule="auto"/>
        <w:ind w:firstLine="560" w:firstLineChars="200"/>
        <w:rPr>
          <w:rFonts w:ascii="仿宋_GB2312" w:hAnsi="仿宋_GB2312" w:eastAsia="仿宋_GB2312" w:cs="仿宋_GB2312"/>
          <w:kern w:val="0"/>
          <w:sz w:val="28"/>
          <w:szCs w:val="28"/>
        </w:rPr>
      </w:pPr>
    </w:p>
    <w:p w14:paraId="754BDF8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甲方：甘肃东兴铝业有限公司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  乙方： </w:t>
      </w:r>
    </w:p>
    <w:p w14:paraId="66D8368F">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嘉峪关分公司</w:t>
      </w:r>
    </w:p>
    <w:p w14:paraId="63C430C2">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地址：嘉峪关市嘉北工业园区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地址：</w:t>
      </w:r>
    </w:p>
    <w:p w14:paraId="7116A00C">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联系电话：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联系电话：</w:t>
      </w:r>
    </w:p>
    <w:p w14:paraId="391CEF21">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 xml:space="preserve">代表：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 xml:space="preserve">代表： </w:t>
      </w:r>
    </w:p>
    <w:p w14:paraId="14390394">
      <w:pPr>
        <w:spacing w:line="360" w:lineRule="auto"/>
        <w:ind w:firstLine="560" w:firstLineChars="200"/>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签订日期：</w:t>
      </w:r>
      <w:r>
        <w:rPr>
          <w:rFonts w:hint="eastAsia" w:ascii="仿宋_GB2312" w:hAnsi="仿宋_GB2312" w:eastAsia="仿宋_GB2312" w:cs="仿宋_GB2312"/>
          <w:kern w:val="0"/>
          <w:sz w:val="28"/>
          <w:szCs w:val="28"/>
        </w:rPr>
        <w:tab/>
      </w:r>
      <w:r>
        <w:rPr>
          <w:rFonts w:hint="eastAsia" w:ascii="仿宋_GB2312" w:hAnsi="仿宋_GB2312" w:eastAsia="仿宋_GB2312" w:cs="仿宋_GB2312"/>
          <w:kern w:val="0"/>
          <w:sz w:val="28"/>
          <w:szCs w:val="28"/>
        </w:rPr>
        <w:t xml:space="preserve"> 年  月   日        </w:t>
      </w:r>
      <w:r>
        <w:rPr>
          <w:rFonts w:hint="eastAsia" w:ascii="仿宋_GB2312" w:hAnsi="仿宋_GB2312" w:eastAsia="仿宋_GB2312" w:cs="仿宋_GB2312"/>
          <w:kern w:val="0"/>
          <w:sz w:val="28"/>
          <w:szCs w:val="28"/>
          <w:lang w:val="en-US" w:eastAsia="zh-CN"/>
        </w:rPr>
        <w:t xml:space="preserve">  </w:t>
      </w:r>
      <w:r>
        <w:rPr>
          <w:rFonts w:hint="eastAsia" w:ascii="仿宋_GB2312" w:hAnsi="仿宋_GB2312" w:eastAsia="仿宋_GB2312" w:cs="仿宋_GB2312"/>
          <w:kern w:val="0"/>
          <w:sz w:val="28"/>
          <w:szCs w:val="28"/>
        </w:rPr>
        <w:t>签订日期：   年  月  日</w:t>
      </w:r>
    </w:p>
    <w:p w14:paraId="2C34E428">
      <w:pPr>
        <w:spacing w:line="360" w:lineRule="auto"/>
        <w:ind w:firstLine="560" w:firstLineChars="200"/>
        <w:rPr>
          <w:rFonts w:ascii="仿宋_GB2312" w:hAnsi="仿宋_GB2312" w:eastAsia="仿宋_GB2312" w:cs="仿宋_GB2312"/>
          <w:kern w:val="0"/>
          <w:sz w:val="28"/>
          <w:szCs w:val="28"/>
          <w:lang w:val="sq-AL"/>
        </w:rPr>
      </w:pPr>
    </w:p>
    <w:sectPr>
      <w:headerReference r:id="rId3" w:type="default"/>
      <w:pgSz w:w="11906" w:h="16838"/>
      <w:pgMar w:top="510" w:right="567" w:bottom="510" w:left="567"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60101010101"/>
    <w:charset w:val="86"/>
    <w:family w:val="modern"/>
    <w:pitch w:val="default"/>
    <w:sig w:usb0="800002BF" w:usb1="38CF7CFA" w:usb2="00000016" w:usb3="00000000" w:csb0="00040001" w:csb1="00000000"/>
  </w:font>
  <w:font w:name="Source Han Sans CN Light">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BotonPro-Regular">
    <w:altName w:val="Segoe Print"/>
    <w:panose1 w:val="00000000000000000000"/>
    <w:charset w:val="00"/>
    <w:family w:val="auto"/>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8291B">
    <w:pPr>
      <w:pStyle w:val="7"/>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2NjJmMmRiNTMzYTUyNzBiZWQ0YWYwMjE5NmQzMmEifQ=="/>
    <w:docVar w:name="KSO_WPS_MARK_KEY" w:val="44590848-1dca-4868-9152-36f693811339"/>
  </w:docVars>
  <w:rsids>
    <w:rsidRoot w:val="00575D1C"/>
    <w:rsid w:val="00001611"/>
    <w:rsid w:val="00037CB8"/>
    <w:rsid w:val="00056ADA"/>
    <w:rsid w:val="00070AC3"/>
    <w:rsid w:val="0007272D"/>
    <w:rsid w:val="000828A4"/>
    <w:rsid w:val="00085CEA"/>
    <w:rsid w:val="000A3E44"/>
    <w:rsid w:val="000A5916"/>
    <w:rsid w:val="000B0DFF"/>
    <w:rsid w:val="000C5D63"/>
    <w:rsid w:val="000D60B7"/>
    <w:rsid w:val="000E03C3"/>
    <w:rsid w:val="000F48D6"/>
    <w:rsid w:val="00101A1D"/>
    <w:rsid w:val="00107E70"/>
    <w:rsid w:val="00120047"/>
    <w:rsid w:val="00125C1E"/>
    <w:rsid w:val="001309DA"/>
    <w:rsid w:val="00131CFB"/>
    <w:rsid w:val="00141A68"/>
    <w:rsid w:val="00184104"/>
    <w:rsid w:val="001A695F"/>
    <w:rsid w:val="001B5B65"/>
    <w:rsid w:val="001C07C8"/>
    <w:rsid w:val="001D4A36"/>
    <w:rsid w:val="001D6A76"/>
    <w:rsid w:val="001D798B"/>
    <w:rsid w:val="001F3D1E"/>
    <w:rsid w:val="0020506C"/>
    <w:rsid w:val="00207639"/>
    <w:rsid w:val="00216EDA"/>
    <w:rsid w:val="002235EF"/>
    <w:rsid w:val="00240E03"/>
    <w:rsid w:val="002478D2"/>
    <w:rsid w:val="0025485E"/>
    <w:rsid w:val="00261855"/>
    <w:rsid w:val="00262F06"/>
    <w:rsid w:val="00267377"/>
    <w:rsid w:val="002959F2"/>
    <w:rsid w:val="002B1FEB"/>
    <w:rsid w:val="002E5CD2"/>
    <w:rsid w:val="002E733E"/>
    <w:rsid w:val="00305244"/>
    <w:rsid w:val="00305DDD"/>
    <w:rsid w:val="0033156B"/>
    <w:rsid w:val="00355EE0"/>
    <w:rsid w:val="003A5C1C"/>
    <w:rsid w:val="003C0BCA"/>
    <w:rsid w:val="003C4E6C"/>
    <w:rsid w:val="003D0A33"/>
    <w:rsid w:val="003E39D4"/>
    <w:rsid w:val="00412952"/>
    <w:rsid w:val="00415CFA"/>
    <w:rsid w:val="00422447"/>
    <w:rsid w:val="00427B17"/>
    <w:rsid w:val="004314F0"/>
    <w:rsid w:val="004413C6"/>
    <w:rsid w:val="004436ED"/>
    <w:rsid w:val="00450AE9"/>
    <w:rsid w:val="00456BA1"/>
    <w:rsid w:val="0046469D"/>
    <w:rsid w:val="004A1C5E"/>
    <w:rsid w:val="004A2164"/>
    <w:rsid w:val="004A4B94"/>
    <w:rsid w:val="004B1FAF"/>
    <w:rsid w:val="004D6463"/>
    <w:rsid w:val="004E7ADE"/>
    <w:rsid w:val="005031E2"/>
    <w:rsid w:val="005129F3"/>
    <w:rsid w:val="0051514F"/>
    <w:rsid w:val="005167C0"/>
    <w:rsid w:val="005238AD"/>
    <w:rsid w:val="0054461B"/>
    <w:rsid w:val="005460FD"/>
    <w:rsid w:val="00575D1C"/>
    <w:rsid w:val="0058047B"/>
    <w:rsid w:val="0058282B"/>
    <w:rsid w:val="005B447F"/>
    <w:rsid w:val="005D035E"/>
    <w:rsid w:val="005D2428"/>
    <w:rsid w:val="005D2B9A"/>
    <w:rsid w:val="005D6133"/>
    <w:rsid w:val="005E012C"/>
    <w:rsid w:val="005E7385"/>
    <w:rsid w:val="005F534C"/>
    <w:rsid w:val="00600CBE"/>
    <w:rsid w:val="00600FA4"/>
    <w:rsid w:val="00643DFE"/>
    <w:rsid w:val="00645D8B"/>
    <w:rsid w:val="006523DC"/>
    <w:rsid w:val="00661DB0"/>
    <w:rsid w:val="00676C14"/>
    <w:rsid w:val="006837A9"/>
    <w:rsid w:val="006943A2"/>
    <w:rsid w:val="006A0A80"/>
    <w:rsid w:val="006B01B0"/>
    <w:rsid w:val="006C7176"/>
    <w:rsid w:val="006D7D71"/>
    <w:rsid w:val="0070463E"/>
    <w:rsid w:val="007266AE"/>
    <w:rsid w:val="007272AF"/>
    <w:rsid w:val="00776C5A"/>
    <w:rsid w:val="00777341"/>
    <w:rsid w:val="00786F79"/>
    <w:rsid w:val="00790DA2"/>
    <w:rsid w:val="007C5157"/>
    <w:rsid w:val="007C7770"/>
    <w:rsid w:val="007D08D3"/>
    <w:rsid w:val="007D65C0"/>
    <w:rsid w:val="007E15A6"/>
    <w:rsid w:val="00827F09"/>
    <w:rsid w:val="00835E96"/>
    <w:rsid w:val="00843DEE"/>
    <w:rsid w:val="00851307"/>
    <w:rsid w:val="00857EAA"/>
    <w:rsid w:val="00862876"/>
    <w:rsid w:val="00865F43"/>
    <w:rsid w:val="00877897"/>
    <w:rsid w:val="008823D0"/>
    <w:rsid w:val="00886DA1"/>
    <w:rsid w:val="00886DF7"/>
    <w:rsid w:val="008970E1"/>
    <w:rsid w:val="008B3B5B"/>
    <w:rsid w:val="008B79C9"/>
    <w:rsid w:val="008C2D0F"/>
    <w:rsid w:val="008D48F2"/>
    <w:rsid w:val="008E189B"/>
    <w:rsid w:val="008F09E8"/>
    <w:rsid w:val="00905A2E"/>
    <w:rsid w:val="009129A5"/>
    <w:rsid w:val="00912EA8"/>
    <w:rsid w:val="0091502F"/>
    <w:rsid w:val="009150A2"/>
    <w:rsid w:val="009356ED"/>
    <w:rsid w:val="00941AC0"/>
    <w:rsid w:val="009557C4"/>
    <w:rsid w:val="009567E4"/>
    <w:rsid w:val="0096292F"/>
    <w:rsid w:val="009760D7"/>
    <w:rsid w:val="009C3033"/>
    <w:rsid w:val="009D597D"/>
    <w:rsid w:val="009D5A95"/>
    <w:rsid w:val="009F071F"/>
    <w:rsid w:val="00A03DE1"/>
    <w:rsid w:val="00A108BE"/>
    <w:rsid w:val="00A13415"/>
    <w:rsid w:val="00A27C67"/>
    <w:rsid w:val="00A322B1"/>
    <w:rsid w:val="00A32949"/>
    <w:rsid w:val="00A44E49"/>
    <w:rsid w:val="00A52833"/>
    <w:rsid w:val="00A6229A"/>
    <w:rsid w:val="00A7190E"/>
    <w:rsid w:val="00A87634"/>
    <w:rsid w:val="00A928B4"/>
    <w:rsid w:val="00A96FAE"/>
    <w:rsid w:val="00AA5BE2"/>
    <w:rsid w:val="00AB1F2C"/>
    <w:rsid w:val="00AC7220"/>
    <w:rsid w:val="00AD0263"/>
    <w:rsid w:val="00AD0DD9"/>
    <w:rsid w:val="00AD36C8"/>
    <w:rsid w:val="00AE79CA"/>
    <w:rsid w:val="00AF0A11"/>
    <w:rsid w:val="00AF1D8E"/>
    <w:rsid w:val="00B00FCB"/>
    <w:rsid w:val="00B06A41"/>
    <w:rsid w:val="00B109A7"/>
    <w:rsid w:val="00B20081"/>
    <w:rsid w:val="00B2018F"/>
    <w:rsid w:val="00B254B9"/>
    <w:rsid w:val="00B35B71"/>
    <w:rsid w:val="00B462C7"/>
    <w:rsid w:val="00B63689"/>
    <w:rsid w:val="00B75D46"/>
    <w:rsid w:val="00BB00B1"/>
    <w:rsid w:val="00BC670E"/>
    <w:rsid w:val="00BD2EB6"/>
    <w:rsid w:val="00BF1010"/>
    <w:rsid w:val="00BF7EC8"/>
    <w:rsid w:val="00C01563"/>
    <w:rsid w:val="00C11AA4"/>
    <w:rsid w:val="00C160EB"/>
    <w:rsid w:val="00C17446"/>
    <w:rsid w:val="00C24592"/>
    <w:rsid w:val="00C456A7"/>
    <w:rsid w:val="00C56039"/>
    <w:rsid w:val="00C6141E"/>
    <w:rsid w:val="00C74347"/>
    <w:rsid w:val="00CB0F12"/>
    <w:rsid w:val="00CB7CA8"/>
    <w:rsid w:val="00CC4970"/>
    <w:rsid w:val="00CE00F9"/>
    <w:rsid w:val="00CE4359"/>
    <w:rsid w:val="00CF7CB2"/>
    <w:rsid w:val="00D01829"/>
    <w:rsid w:val="00D02358"/>
    <w:rsid w:val="00D10CCB"/>
    <w:rsid w:val="00D12B31"/>
    <w:rsid w:val="00D216BB"/>
    <w:rsid w:val="00D2178B"/>
    <w:rsid w:val="00D33F3E"/>
    <w:rsid w:val="00D377F6"/>
    <w:rsid w:val="00D44A67"/>
    <w:rsid w:val="00D54F62"/>
    <w:rsid w:val="00D65E7A"/>
    <w:rsid w:val="00D65F22"/>
    <w:rsid w:val="00D741BB"/>
    <w:rsid w:val="00D8112D"/>
    <w:rsid w:val="00D84D1F"/>
    <w:rsid w:val="00DC6220"/>
    <w:rsid w:val="00E011EF"/>
    <w:rsid w:val="00E100A5"/>
    <w:rsid w:val="00E20C46"/>
    <w:rsid w:val="00E26F24"/>
    <w:rsid w:val="00E350DB"/>
    <w:rsid w:val="00E51A29"/>
    <w:rsid w:val="00E67678"/>
    <w:rsid w:val="00E7614F"/>
    <w:rsid w:val="00E8155E"/>
    <w:rsid w:val="00E94573"/>
    <w:rsid w:val="00E967C3"/>
    <w:rsid w:val="00EA5A36"/>
    <w:rsid w:val="00EC21AA"/>
    <w:rsid w:val="00EC6166"/>
    <w:rsid w:val="00EE252B"/>
    <w:rsid w:val="00EF2356"/>
    <w:rsid w:val="00F272BC"/>
    <w:rsid w:val="00F31D1E"/>
    <w:rsid w:val="00F40A6B"/>
    <w:rsid w:val="00F45FC8"/>
    <w:rsid w:val="00F6343A"/>
    <w:rsid w:val="00F65138"/>
    <w:rsid w:val="00F7364C"/>
    <w:rsid w:val="00F97ED3"/>
    <w:rsid w:val="00FA0BB9"/>
    <w:rsid w:val="00FA348A"/>
    <w:rsid w:val="00FB3304"/>
    <w:rsid w:val="00FB37BD"/>
    <w:rsid w:val="00FB5257"/>
    <w:rsid w:val="00FD27C4"/>
    <w:rsid w:val="00FD56E3"/>
    <w:rsid w:val="00FE3C06"/>
    <w:rsid w:val="00FF1D85"/>
    <w:rsid w:val="00FF25B2"/>
    <w:rsid w:val="00FF7793"/>
    <w:rsid w:val="01825D53"/>
    <w:rsid w:val="0252745F"/>
    <w:rsid w:val="02B26E88"/>
    <w:rsid w:val="03550F8F"/>
    <w:rsid w:val="0459609F"/>
    <w:rsid w:val="04C474AD"/>
    <w:rsid w:val="05924362"/>
    <w:rsid w:val="062A31D9"/>
    <w:rsid w:val="06B50E10"/>
    <w:rsid w:val="06C70A28"/>
    <w:rsid w:val="084632AF"/>
    <w:rsid w:val="08FD618D"/>
    <w:rsid w:val="090225E2"/>
    <w:rsid w:val="090A6DA3"/>
    <w:rsid w:val="091F0FEF"/>
    <w:rsid w:val="0A370EBA"/>
    <w:rsid w:val="0BF24799"/>
    <w:rsid w:val="0BFC7AF3"/>
    <w:rsid w:val="0CE92FB5"/>
    <w:rsid w:val="0D017317"/>
    <w:rsid w:val="0DD71E98"/>
    <w:rsid w:val="0F037FE9"/>
    <w:rsid w:val="0F1869F3"/>
    <w:rsid w:val="0F835E8E"/>
    <w:rsid w:val="0FDD2557"/>
    <w:rsid w:val="100D4FBF"/>
    <w:rsid w:val="10B959E3"/>
    <w:rsid w:val="11B06962"/>
    <w:rsid w:val="11FE11B8"/>
    <w:rsid w:val="12136AFC"/>
    <w:rsid w:val="125E66E4"/>
    <w:rsid w:val="12CF0394"/>
    <w:rsid w:val="134358DA"/>
    <w:rsid w:val="13AD7B5A"/>
    <w:rsid w:val="13D03611"/>
    <w:rsid w:val="14493FBD"/>
    <w:rsid w:val="14EA4C1D"/>
    <w:rsid w:val="156E30E2"/>
    <w:rsid w:val="15BB3E4D"/>
    <w:rsid w:val="15DB7161"/>
    <w:rsid w:val="1695644C"/>
    <w:rsid w:val="17C20BB4"/>
    <w:rsid w:val="17F54B93"/>
    <w:rsid w:val="183F0D66"/>
    <w:rsid w:val="18653C2C"/>
    <w:rsid w:val="1A1807DB"/>
    <w:rsid w:val="1B216501"/>
    <w:rsid w:val="1B4207D6"/>
    <w:rsid w:val="1B82658D"/>
    <w:rsid w:val="1C71432A"/>
    <w:rsid w:val="1D8B4F8A"/>
    <w:rsid w:val="1FA34C5A"/>
    <w:rsid w:val="1FA4080D"/>
    <w:rsid w:val="20B979CF"/>
    <w:rsid w:val="21DF0EC4"/>
    <w:rsid w:val="22947F00"/>
    <w:rsid w:val="236A6126"/>
    <w:rsid w:val="252C08C4"/>
    <w:rsid w:val="256F3ADB"/>
    <w:rsid w:val="287E1436"/>
    <w:rsid w:val="298E6B20"/>
    <w:rsid w:val="2A2F69C1"/>
    <w:rsid w:val="2A4E308A"/>
    <w:rsid w:val="2B127C23"/>
    <w:rsid w:val="2B381530"/>
    <w:rsid w:val="2B74267D"/>
    <w:rsid w:val="2BA27809"/>
    <w:rsid w:val="2D00218E"/>
    <w:rsid w:val="2F3F11F4"/>
    <w:rsid w:val="304269EE"/>
    <w:rsid w:val="3383582A"/>
    <w:rsid w:val="339C62D3"/>
    <w:rsid w:val="3431735D"/>
    <w:rsid w:val="343216A0"/>
    <w:rsid w:val="34DF11C5"/>
    <w:rsid w:val="35843E04"/>
    <w:rsid w:val="36E52680"/>
    <w:rsid w:val="38EC3CF4"/>
    <w:rsid w:val="3C357C06"/>
    <w:rsid w:val="3CB925E5"/>
    <w:rsid w:val="3EC90058"/>
    <w:rsid w:val="3EFD4F21"/>
    <w:rsid w:val="3F421B7E"/>
    <w:rsid w:val="3FAC6431"/>
    <w:rsid w:val="426E4B8D"/>
    <w:rsid w:val="4308172C"/>
    <w:rsid w:val="434C3558"/>
    <w:rsid w:val="44291FBD"/>
    <w:rsid w:val="443E22C6"/>
    <w:rsid w:val="4461400A"/>
    <w:rsid w:val="44672BC1"/>
    <w:rsid w:val="476502BF"/>
    <w:rsid w:val="47DD41F8"/>
    <w:rsid w:val="497A0830"/>
    <w:rsid w:val="49A93362"/>
    <w:rsid w:val="49B54134"/>
    <w:rsid w:val="49CF51F6"/>
    <w:rsid w:val="4A227531"/>
    <w:rsid w:val="4AE46625"/>
    <w:rsid w:val="4B4B1E2D"/>
    <w:rsid w:val="4E0336C0"/>
    <w:rsid w:val="4EAD5DAB"/>
    <w:rsid w:val="546161C4"/>
    <w:rsid w:val="549A0AF6"/>
    <w:rsid w:val="55D43F9E"/>
    <w:rsid w:val="57AF2B0B"/>
    <w:rsid w:val="58A600B4"/>
    <w:rsid w:val="590F367E"/>
    <w:rsid w:val="59AB2777"/>
    <w:rsid w:val="5B523ED9"/>
    <w:rsid w:val="5BC15903"/>
    <w:rsid w:val="5BDC5041"/>
    <w:rsid w:val="5DA35DEF"/>
    <w:rsid w:val="5F506981"/>
    <w:rsid w:val="601D2D07"/>
    <w:rsid w:val="60383AEC"/>
    <w:rsid w:val="60762418"/>
    <w:rsid w:val="61CA3BB3"/>
    <w:rsid w:val="627875F1"/>
    <w:rsid w:val="63367C3C"/>
    <w:rsid w:val="63D074F8"/>
    <w:rsid w:val="647D47D2"/>
    <w:rsid w:val="64D338FC"/>
    <w:rsid w:val="658F466F"/>
    <w:rsid w:val="65982E30"/>
    <w:rsid w:val="65A86A65"/>
    <w:rsid w:val="66E1288D"/>
    <w:rsid w:val="68923B67"/>
    <w:rsid w:val="690A27D0"/>
    <w:rsid w:val="693B62C4"/>
    <w:rsid w:val="69F820EF"/>
    <w:rsid w:val="6A462E5B"/>
    <w:rsid w:val="6A5C267E"/>
    <w:rsid w:val="6CB00A5F"/>
    <w:rsid w:val="6D321474"/>
    <w:rsid w:val="6D7C5FAF"/>
    <w:rsid w:val="6D8A1350"/>
    <w:rsid w:val="6E434A8A"/>
    <w:rsid w:val="6F441681"/>
    <w:rsid w:val="6FD20CED"/>
    <w:rsid w:val="7003534A"/>
    <w:rsid w:val="70EB4476"/>
    <w:rsid w:val="72EB0A43"/>
    <w:rsid w:val="752E55FF"/>
    <w:rsid w:val="752E7254"/>
    <w:rsid w:val="7546588D"/>
    <w:rsid w:val="755A78C3"/>
    <w:rsid w:val="770562E1"/>
    <w:rsid w:val="779B232F"/>
    <w:rsid w:val="77C24811"/>
    <w:rsid w:val="7A707017"/>
    <w:rsid w:val="7A7F4663"/>
    <w:rsid w:val="7AA5772A"/>
    <w:rsid w:val="7C5807CC"/>
    <w:rsid w:val="7D272678"/>
    <w:rsid w:val="7DCD15C5"/>
    <w:rsid w:val="7E415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autoRedefine/>
    <w:qFormat/>
    <w:uiPriority w:val="9"/>
    <w:pPr>
      <w:spacing w:before="100" w:beforeAutospacing="1" w:after="100" w:afterAutospacing="1"/>
      <w:jc w:val="left"/>
      <w:outlineLvl w:val="0"/>
    </w:pPr>
    <w:rPr>
      <w:rFonts w:hint="eastAsia" w:ascii="宋体" w:hAnsi="宋体"/>
      <w:b/>
      <w:bCs/>
      <w:kern w:val="44"/>
      <w:sz w:val="48"/>
      <w:szCs w:val="48"/>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28"/>
      <w:szCs w:val="28"/>
      <w:lang w:val="zh-CN" w:bidi="zh-CN"/>
    </w:rPr>
  </w:style>
  <w:style w:type="paragraph" w:styleId="4">
    <w:name w:val="Plain Text"/>
    <w:basedOn w:val="1"/>
    <w:link w:val="11"/>
    <w:qFormat/>
    <w:uiPriority w:val="0"/>
    <w:rPr>
      <w:rFonts w:ascii="宋体" w:hAnsi="Courier New"/>
      <w:szCs w:val="20"/>
    </w:rPr>
  </w:style>
  <w:style w:type="paragraph" w:styleId="5">
    <w:name w:val="Body Text Indent 2"/>
    <w:basedOn w:val="1"/>
    <w:autoRedefine/>
    <w:semiHidden/>
    <w:qFormat/>
    <w:uiPriority w:val="0"/>
    <w:pPr>
      <w:widowControl/>
      <w:ind w:firstLine="540"/>
      <w:jc w:val="left"/>
    </w:pPr>
    <w:rPr>
      <w:kern w:val="0"/>
      <w:sz w:val="24"/>
      <w:szCs w:val="24"/>
    </w:rPr>
  </w:style>
  <w:style w:type="paragraph" w:styleId="6">
    <w:name w:val="footer"/>
    <w:basedOn w:val="1"/>
    <w:link w:val="12"/>
    <w:autoRedefine/>
    <w:unhideWhenUsed/>
    <w:qFormat/>
    <w:uiPriority w:val="99"/>
    <w:pPr>
      <w:tabs>
        <w:tab w:val="center" w:pos="4153"/>
        <w:tab w:val="right" w:pos="8306"/>
      </w:tabs>
      <w:snapToGrid w:val="0"/>
      <w:jc w:val="left"/>
    </w:pPr>
    <w:rPr>
      <w:sz w:val="18"/>
      <w:szCs w:val="18"/>
    </w:rPr>
  </w:style>
  <w:style w:type="paragraph" w:styleId="7">
    <w:name w:val="header"/>
    <w:basedOn w:val="1"/>
    <w:link w:val="13"/>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Hyperlink"/>
    <w:qFormat/>
    <w:uiPriority w:val="0"/>
    <w:rPr>
      <w:color w:val="0000FF"/>
      <w:u w:val="single"/>
    </w:rPr>
  </w:style>
  <w:style w:type="character" w:customStyle="1" w:styleId="11">
    <w:name w:val="Plain Text Char"/>
    <w:link w:val="4"/>
    <w:autoRedefine/>
    <w:qFormat/>
    <w:uiPriority w:val="0"/>
    <w:rPr>
      <w:rFonts w:ascii="宋体" w:hAnsi="Courier New"/>
      <w:kern w:val="2"/>
      <w:sz w:val="21"/>
      <w:lang w:bidi="ar-SA"/>
    </w:rPr>
  </w:style>
  <w:style w:type="character" w:customStyle="1" w:styleId="12">
    <w:name w:val="Footer Char"/>
    <w:link w:val="6"/>
    <w:qFormat/>
    <w:uiPriority w:val="99"/>
    <w:rPr>
      <w:kern w:val="2"/>
      <w:sz w:val="18"/>
      <w:szCs w:val="18"/>
    </w:rPr>
  </w:style>
  <w:style w:type="character" w:customStyle="1" w:styleId="13">
    <w:name w:val="Header Char"/>
    <w:link w:val="7"/>
    <w:qFormat/>
    <w:uiPriority w:val="99"/>
    <w:rPr>
      <w:kern w:val="2"/>
      <w:sz w:val="18"/>
      <w:szCs w:val="18"/>
    </w:rPr>
  </w:style>
  <w:style w:type="character" w:customStyle="1" w:styleId="14">
    <w:name w:val="font41"/>
    <w:qFormat/>
    <w:uiPriority w:val="0"/>
    <w:rPr>
      <w:rFonts w:hint="default" w:ascii="Source Han Sans CN Light" w:hAnsi="Source Han Sans CN Light" w:eastAsia="Source Han Sans CN Light" w:cs="Source Han Sans CN Light"/>
      <w:color w:val="231F20"/>
      <w:sz w:val="24"/>
      <w:szCs w:val="24"/>
      <w:u w:val="none"/>
    </w:rPr>
  </w:style>
  <w:style w:type="character" w:customStyle="1" w:styleId="15">
    <w:name w:val="font21"/>
    <w:qFormat/>
    <w:uiPriority w:val="0"/>
    <w:rPr>
      <w:rFonts w:hint="default" w:ascii="BotonPro-Regular" w:hAnsi="BotonPro-Regular" w:eastAsia="BotonPro-Regular" w:cs="BotonPro-Regular"/>
      <w:color w:val="231F20"/>
      <w:sz w:val="22"/>
      <w:szCs w:val="22"/>
      <w:u w:val="none"/>
    </w:rPr>
  </w:style>
  <w:style w:type="character" w:customStyle="1" w:styleId="16">
    <w:name w:val="font61"/>
    <w:autoRedefine/>
    <w:qFormat/>
    <w:uiPriority w:val="0"/>
    <w:rPr>
      <w:rFonts w:hint="eastAsia" w:ascii="宋体" w:hAnsi="宋体" w:eastAsia="宋体" w:cs="宋体"/>
      <w:color w:val="231F20"/>
      <w:sz w:val="24"/>
      <w:szCs w:val="24"/>
      <w:u w:val="none"/>
    </w:rPr>
  </w:style>
  <w:style w:type="character" w:customStyle="1" w:styleId="17">
    <w:name w:val="纯文本 Char"/>
    <w:qFormat/>
    <w:uiPriority w:val="0"/>
    <w:rPr>
      <w:rFonts w:ascii="宋体" w:hAnsi="Courier New" w:eastAsia="宋体"/>
      <w:kern w:val="2"/>
      <w:sz w:val="21"/>
      <w:lang w:val="en-US" w:eastAsia="zh-CN" w:bidi="ar-SA"/>
    </w:rPr>
  </w:style>
  <w:style w:type="character" w:customStyle="1" w:styleId="18">
    <w:name w:val="font31"/>
    <w:qFormat/>
    <w:uiPriority w:val="0"/>
    <w:rPr>
      <w:rFonts w:hint="eastAsia" w:ascii="宋体" w:hAnsi="宋体" w:eastAsia="宋体" w:cs="宋体"/>
      <w:color w:val="231F20"/>
      <w:sz w:val="22"/>
      <w:szCs w:val="22"/>
      <w:u w:val="none"/>
    </w:rPr>
  </w:style>
  <w:style w:type="character" w:customStyle="1" w:styleId="19">
    <w:name w:val="font11"/>
    <w:qFormat/>
    <w:uiPriority w:val="0"/>
    <w:rPr>
      <w:rFonts w:ascii="Source Han Sans CN Light" w:hAnsi="Source Han Sans CN Light" w:eastAsia="Source Han Sans CN Light" w:cs="Source Han Sans CN Light"/>
      <w:color w:val="231F20"/>
      <w:sz w:val="22"/>
      <w:szCs w:val="22"/>
      <w:u w:val="none"/>
    </w:rPr>
  </w:style>
  <w:style w:type="character" w:customStyle="1" w:styleId="20">
    <w:name w:val="font51"/>
    <w:autoRedefine/>
    <w:qFormat/>
    <w:uiPriority w:val="0"/>
    <w:rPr>
      <w:rFonts w:hint="default" w:ascii="BotonPro-Regular" w:hAnsi="BotonPro-Regular" w:eastAsia="BotonPro-Regular" w:cs="BotonPro-Regular"/>
      <w:color w:val="231F20"/>
      <w:sz w:val="24"/>
      <w:szCs w:val="24"/>
      <w:u w:val="none"/>
    </w:rPr>
  </w:style>
  <w:style w:type="paragraph" w:customStyle="1" w:styleId="21">
    <w:name w:val="Char"/>
    <w:basedOn w:val="1"/>
    <w:autoRedefine/>
    <w:qFormat/>
    <w:uiPriority w:val="0"/>
    <w:pPr>
      <w:widowControl/>
      <w:spacing w:after="160" w:line="240" w:lineRule="exact"/>
      <w:jc w:val="left"/>
    </w:pPr>
    <w:rPr>
      <w:rFonts w:ascii="Verdana" w:hAnsi="Verdana"/>
      <w:kern w:val="0"/>
      <w:sz w:val="20"/>
      <w:szCs w:val="20"/>
      <w:lang w:eastAsia="en-US"/>
    </w:rPr>
  </w:style>
  <w:style w:type="paragraph" w:styleId="2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JISCO</Company>
  <Pages>8</Pages>
  <Words>3351</Words>
  <Characters>3778</Characters>
  <Lines>29</Lines>
  <Paragraphs>8</Paragraphs>
  <TotalTime>10</TotalTime>
  <ScaleCrop>false</ScaleCrop>
  <LinksUpToDate>false</LinksUpToDate>
  <CharactersWithSpaces>4044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2024-02-19T05:16:00Z</dcterms:created>
  <dc:creator>wanghua</dc:creator>
  <cp:lastModifiedBy>00064841</cp:lastModifiedBy>
  <cp:lastPrinted>2022-02-24T01:38:00Z</cp:lastPrinted>
  <dcterms:modified xsi:type="dcterms:W3CDTF">2026-04-16T03:08:28Z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5FA9B8E37C534A5CB5414D4E1DBE9F2D_13</vt:lpwstr>
  </property>
  <property fmtid="{D5CDD505-2E9C-101B-9397-08002B2CF9AE}" pid="4" name="KSOTemplateDocerSaveRecord">
    <vt:lpwstr>eyJoZGlkIjoiYTQ0MjM2MjJjZTA0Y2Q3NDk1MmJhNDM0MTQ4YjZlNTAiLCJ1c2VySWQiOiIxNzY0MzE3NDQwIn0=</vt:lpwstr>
  </property>
</Properties>
</file>