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2"/>
        <w:ind w:left="3554" w:right="2976" w:firstLine="0"/>
        <w:jc w:val="center"/>
        <w:rPr>
          <w:rFonts w:hint="eastAsia" w:ascii="PMingLiU" w:eastAsia="PMingLiU"/>
          <w:sz w:val="36"/>
        </w:rPr>
      </w:pPr>
      <w:r>
        <w:rPr>
          <w:rFonts w:hint="eastAsia" w:ascii="PMingLiU" w:eastAsia="PMingLiU"/>
          <w:sz w:val="36"/>
        </w:rPr>
        <w:t>变压器技术规格书</w:t>
      </w:r>
    </w:p>
    <w:p>
      <w:pPr>
        <w:pStyle w:val="3"/>
        <w:spacing w:before="247" w:line="374" w:lineRule="auto"/>
        <w:ind w:right="104"/>
      </w:pPr>
      <w:r>
        <w:t>葡萄园变压器主要用于灌溉系统运行供电，满足</w:t>
      </w:r>
      <w:r>
        <w:rPr>
          <w:spacing w:val="-12"/>
          <w:u w:val="single"/>
        </w:rPr>
        <w:t>甘肃酒钢集团宏源</w:t>
      </w:r>
      <w:r>
        <w:rPr>
          <w:spacing w:val="-6"/>
          <w:u w:val="single"/>
        </w:rPr>
        <w:t>新实业有限公司葡萄园灌溉、办公、生活、取暖设备电压调节</w:t>
      </w:r>
      <w:r>
        <w:t>需求， 具体参数要求及投标人资格要求如下：</w:t>
      </w:r>
    </w:p>
    <w:p>
      <w:pPr>
        <w:pStyle w:val="2"/>
      </w:pPr>
      <w:r>
        <w:t>一、总则</w:t>
      </w:r>
    </w:p>
    <w:p>
      <w:pPr>
        <w:pStyle w:val="7"/>
        <w:numPr>
          <w:ilvl w:val="0"/>
          <w:numId w:val="1"/>
        </w:numPr>
        <w:tabs>
          <w:tab w:val="left" w:pos="1019"/>
        </w:tabs>
        <w:spacing w:before="216" w:after="0" w:line="374" w:lineRule="auto"/>
        <w:ind w:left="115" w:right="329" w:firstLine="600"/>
        <w:jc w:val="both"/>
        <w:rPr>
          <w:sz w:val="30"/>
        </w:rPr>
      </w:pPr>
      <w:r>
        <w:rPr>
          <w:spacing w:val="-1"/>
          <w:sz w:val="30"/>
        </w:rPr>
        <w:t>本技术规格书提出的标准，是针对甘肃酒钢集团宏源新实业有限公司变压器设备采购的最低技术要求，并未对一切技术细节作出规定，也未充分引述有关标准和规范的条文，投标方应保证提供符合本</w:t>
      </w:r>
      <w:r>
        <w:rPr>
          <w:sz w:val="30"/>
        </w:rPr>
        <w:t>规格书和有关最新标准的成熟优质、全新的产品。</w:t>
      </w:r>
    </w:p>
    <w:p>
      <w:pPr>
        <w:pStyle w:val="7"/>
        <w:numPr>
          <w:ilvl w:val="0"/>
          <w:numId w:val="1"/>
        </w:numPr>
        <w:tabs>
          <w:tab w:val="left" w:pos="1019"/>
        </w:tabs>
        <w:spacing w:before="2" w:after="0" w:line="374" w:lineRule="auto"/>
        <w:ind w:left="115" w:right="329" w:firstLine="600"/>
        <w:jc w:val="left"/>
        <w:rPr>
          <w:sz w:val="30"/>
        </w:rPr>
      </w:pPr>
      <w:r>
        <w:rPr>
          <w:spacing w:val="-1"/>
          <w:sz w:val="30"/>
        </w:rPr>
        <w:t>本规格书所使用的标准如与乙方所执行的标准发生矛盾时，按</w:t>
      </w:r>
      <w:r>
        <w:rPr>
          <w:sz w:val="30"/>
        </w:rPr>
        <w:t>较高标准执行。</w:t>
      </w:r>
    </w:p>
    <w:p>
      <w:pPr>
        <w:pStyle w:val="7"/>
        <w:numPr>
          <w:ilvl w:val="0"/>
          <w:numId w:val="1"/>
        </w:numPr>
        <w:tabs>
          <w:tab w:val="left" w:pos="1019"/>
        </w:tabs>
        <w:spacing w:before="0" w:after="0" w:line="374" w:lineRule="auto"/>
        <w:ind w:left="115" w:right="329" w:firstLine="600"/>
        <w:jc w:val="left"/>
        <w:rPr>
          <w:sz w:val="30"/>
        </w:rPr>
      </w:pPr>
      <w:r>
        <w:rPr>
          <w:spacing w:val="-1"/>
          <w:sz w:val="30"/>
        </w:rPr>
        <w:t>本协议所使用的标准与现行国家标准、行业标准、地方标准、</w:t>
      </w:r>
      <w:r>
        <w:rPr>
          <w:sz w:val="30"/>
        </w:rPr>
        <w:t>企业标准、招标文件不一致时，按较高标准执行。</w:t>
      </w:r>
    </w:p>
    <w:p>
      <w:pPr>
        <w:pStyle w:val="7"/>
        <w:numPr>
          <w:ilvl w:val="0"/>
          <w:numId w:val="1"/>
        </w:numPr>
        <w:tabs>
          <w:tab w:val="left" w:pos="1019"/>
        </w:tabs>
        <w:spacing w:before="1" w:after="0" w:line="374" w:lineRule="auto"/>
        <w:ind w:left="115" w:right="329" w:firstLine="600"/>
        <w:jc w:val="both"/>
        <w:rPr>
          <w:sz w:val="30"/>
        </w:rPr>
      </w:pPr>
      <w:r>
        <w:rPr>
          <w:spacing w:val="-1"/>
          <w:sz w:val="30"/>
        </w:rPr>
        <w:t>投标方应提供设备的合格证规格书，设备制造及材料的选择， 保证设备满足中国环保行业相关要求都应按照国内外通用的现行标准和相应的技术规范执行，而这些标准和技术规范应为合同签字日为止</w:t>
      </w:r>
      <w:r>
        <w:rPr>
          <w:sz w:val="30"/>
        </w:rPr>
        <w:t>最新公布的标准和技术规范。</w:t>
      </w:r>
    </w:p>
    <w:p>
      <w:pPr>
        <w:pStyle w:val="7"/>
        <w:numPr>
          <w:ilvl w:val="0"/>
          <w:numId w:val="1"/>
        </w:numPr>
        <w:tabs>
          <w:tab w:val="left" w:pos="1019"/>
        </w:tabs>
        <w:spacing w:before="2" w:after="0" w:line="374" w:lineRule="auto"/>
        <w:ind w:left="115" w:right="329" w:firstLine="600"/>
        <w:jc w:val="both"/>
        <w:rPr>
          <w:sz w:val="30"/>
        </w:rPr>
      </w:pPr>
      <w:r>
        <w:rPr>
          <w:spacing w:val="-1"/>
          <w:sz w:val="30"/>
        </w:rPr>
        <w:t>投标方须对本设备的设计完整性、合理性和设计质量承担全部责任。投标方提供的设备在制造及使用中，发生侵犯专利的行为时其</w:t>
      </w:r>
      <w:r>
        <w:rPr>
          <w:sz w:val="30"/>
        </w:rPr>
        <w:t>侵权责任与招标方无关。</w:t>
      </w:r>
    </w:p>
    <w:p>
      <w:pPr>
        <w:pStyle w:val="7"/>
        <w:numPr>
          <w:ilvl w:val="0"/>
          <w:numId w:val="1"/>
        </w:numPr>
        <w:tabs>
          <w:tab w:val="left" w:pos="1019"/>
        </w:tabs>
        <w:spacing w:before="1" w:after="0" w:line="374" w:lineRule="auto"/>
        <w:ind w:left="115" w:right="329" w:firstLine="600"/>
        <w:jc w:val="both"/>
        <w:rPr>
          <w:sz w:val="30"/>
        </w:rPr>
      </w:pPr>
      <w:r>
        <w:rPr>
          <w:spacing w:val="-1"/>
          <w:sz w:val="30"/>
        </w:rPr>
        <w:t xml:space="preserve">投标方须对提供设备的完整性、合理性和质量承担全部责任， </w:t>
      </w:r>
      <w:r>
        <w:rPr>
          <w:sz w:val="30"/>
        </w:rPr>
        <w:t>检验变压器所需要发生的交接实验（包括变压器耐压实验、油化验</w:t>
      </w:r>
      <w:r>
        <w:rPr>
          <w:spacing w:val="-18"/>
          <w:sz w:val="30"/>
        </w:rPr>
        <w:t xml:space="preserve">） </w:t>
      </w:r>
      <w:r>
        <w:rPr>
          <w:spacing w:val="-1"/>
          <w:sz w:val="30"/>
        </w:rPr>
        <w:t>需由乙方承担，保证变压器的正常稳定。设备检验应满足集团公司相</w:t>
      </w:r>
    </w:p>
    <w:p>
      <w:pPr>
        <w:spacing w:after="0" w:line="374" w:lineRule="auto"/>
        <w:jc w:val="both"/>
        <w:rPr>
          <w:sz w:val="30"/>
        </w:rPr>
        <w:sectPr>
          <w:footerReference r:id="rId3" w:type="default"/>
          <w:type w:val="continuous"/>
          <w:pgSz w:w="11910" w:h="16840"/>
          <w:pgMar w:top="1420" w:right="1160" w:bottom="1180" w:left="1300" w:header="720" w:footer="993" w:gutter="0"/>
          <w:pgNumType w:start="1"/>
        </w:sectPr>
      </w:pPr>
    </w:p>
    <w:p>
      <w:pPr>
        <w:pStyle w:val="3"/>
        <w:spacing w:before="39"/>
        <w:ind w:firstLine="0"/>
      </w:pPr>
      <w:r>
        <w:t>关部门的验收标准。</w:t>
      </w:r>
    </w:p>
    <w:p>
      <w:pPr>
        <w:pStyle w:val="7"/>
        <w:numPr>
          <w:ilvl w:val="0"/>
          <w:numId w:val="1"/>
        </w:numPr>
        <w:tabs>
          <w:tab w:val="left" w:pos="1019"/>
        </w:tabs>
        <w:spacing w:before="215" w:after="0" w:line="240" w:lineRule="auto"/>
        <w:ind w:left="1018" w:right="0" w:hanging="303"/>
        <w:jc w:val="left"/>
        <w:rPr>
          <w:sz w:val="30"/>
        </w:rPr>
      </w:pPr>
      <w:r>
        <w:rPr>
          <w:sz w:val="30"/>
        </w:rPr>
        <w:t>乙方应按照甲方的要求将变压器运送至嘉峪关机场路魏晋墓路</w:t>
      </w:r>
    </w:p>
    <w:p>
      <w:pPr>
        <w:pStyle w:val="3"/>
        <w:spacing w:before="216"/>
        <w:ind w:firstLine="0"/>
      </w:pPr>
      <w:r>
        <w:t>3 公里处宏源葡萄园，具体运送地点乙方应与甲方提前进行确认。</w:t>
      </w:r>
    </w:p>
    <w:p>
      <w:pPr>
        <w:pStyle w:val="7"/>
        <w:numPr>
          <w:ilvl w:val="0"/>
          <w:numId w:val="1"/>
        </w:numPr>
        <w:tabs>
          <w:tab w:val="left" w:pos="1019"/>
        </w:tabs>
        <w:spacing w:before="216" w:after="0" w:line="374" w:lineRule="auto"/>
        <w:ind w:left="115" w:right="257" w:firstLine="600"/>
        <w:jc w:val="left"/>
        <w:rPr>
          <w:sz w:val="30"/>
        </w:rPr>
      </w:pPr>
      <w:r>
        <w:rPr>
          <w:sz w:val="30"/>
        </w:rPr>
        <w:t>本协议内容经由甲乙双方于 2025</w:t>
      </w:r>
      <w:r>
        <w:rPr>
          <w:spacing w:val="-51"/>
          <w:sz w:val="30"/>
        </w:rPr>
        <w:t xml:space="preserve"> 年</w:t>
      </w:r>
      <w:r>
        <w:rPr>
          <w:spacing w:val="-51"/>
          <w:sz w:val="30"/>
          <w:u w:val="single"/>
        </w:rPr>
        <w:t xml:space="preserve"> </w:t>
      </w:r>
      <w:r>
        <w:rPr>
          <w:rFonts w:hint="eastAsia"/>
          <w:spacing w:val="-51"/>
          <w:sz w:val="30"/>
          <w:u w:val="single"/>
          <w:lang w:val="en-US" w:eastAsia="zh-CN"/>
        </w:rPr>
        <w:t xml:space="preserve">    </w:t>
      </w:r>
      <w:r>
        <w:rPr>
          <w:spacing w:val="-52"/>
          <w:sz w:val="30"/>
        </w:rPr>
        <w:t>月</w:t>
      </w:r>
      <w:r>
        <w:rPr>
          <w:spacing w:val="-52"/>
          <w:sz w:val="30"/>
          <w:u w:val="single"/>
        </w:rPr>
        <w:t xml:space="preserve"> </w:t>
      </w:r>
      <w:r>
        <w:rPr>
          <w:rFonts w:hint="eastAsia"/>
          <w:spacing w:val="-52"/>
          <w:sz w:val="30"/>
          <w:u w:val="single"/>
          <w:lang w:val="en-US" w:eastAsia="zh-CN"/>
        </w:rPr>
        <w:t xml:space="preserve">  </w:t>
      </w:r>
      <w:r>
        <w:rPr>
          <w:spacing w:val="-12"/>
          <w:sz w:val="30"/>
        </w:rPr>
        <w:t>日</w:t>
      </w:r>
      <w:r>
        <w:rPr>
          <w:rFonts w:hint="eastAsia"/>
          <w:spacing w:val="-12"/>
          <w:sz w:val="30"/>
          <w:u w:val="single"/>
          <w:lang w:val="en-US" w:eastAsia="zh-CN"/>
        </w:rPr>
        <w:t xml:space="preserve">   </w:t>
      </w:r>
      <w:r>
        <w:rPr>
          <w:rFonts w:hint="eastAsia"/>
          <w:spacing w:val="-12"/>
          <w:sz w:val="30"/>
          <w:u w:val="none"/>
          <w:lang w:val="en-US" w:eastAsia="zh-CN"/>
        </w:rPr>
        <w:t>时至</w:t>
      </w:r>
      <w:r>
        <w:rPr>
          <w:rFonts w:hint="eastAsia"/>
          <w:spacing w:val="-12"/>
          <w:sz w:val="30"/>
          <w:u w:val="single"/>
          <w:lang w:val="en-US" w:eastAsia="zh-CN"/>
        </w:rPr>
        <w:t xml:space="preserve">  </w:t>
      </w:r>
      <w:r>
        <w:rPr>
          <w:rFonts w:hint="eastAsia"/>
          <w:spacing w:val="-12"/>
          <w:sz w:val="30"/>
          <w:u w:val="none"/>
          <w:lang w:val="en-US" w:eastAsia="zh-CN"/>
        </w:rPr>
        <w:t>时</w:t>
      </w:r>
      <w:r>
        <w:rPr>
          <w:spacing w:val="-12"/>
          <w:sz w:val="30"/>
        </w:rPr>
        <w:t>通过</w:t>
      </w:r>
      <w:r>
        <w:rPr>
          <w:rFonts w:hint="eastAsia"/>
          <w:spacing w:val="-12"/>
          <w:sz w:val="30"/>
          <w:u w:val="single"/>
          <w:lang w:val="en-US" w:eastAsia="zh-CN"/>
        </w:rPr>
        <w:t>电话</w:t>
      </w:r>
      <w:r>
        <w:rPr>
          <w:spacing w:val="-12"/>
          <w:sz w:val="30"/>
        </w:rPr>
        <w:t>方</w:t>
      </w:r>
      <w:r>
        <w:rPr>
          <w:sz w:val="30"/>
        </w:rPr>
        <w:t>式商定。</w:t>
      </w:r>
      <w:bookmarkStart w:id="0" w:name="_GoBack"/>
      <w:bookmarkEnd w:id="0"/>
    </w:p>
    <w:p>
      <w:pPr>
        <w:pStyle w:val="7"/>
        <w:numPr>
          <w:ilvl w:val="0"/>
          <w:numId w:val="1"/>
        </w:numPr>
        <w:tabs>
          <w:tab w:val="left" w:pos="1019"/>
        </w:tabs>
        <w:spacing w:before="0" w:after="0" w:line="374" w:lineRule="auto"/>
        <w:ind w:left="115" w:right="104" w:firstLine="600"/>
        <w:jc w:val="left"/>
        <w:rPr>
          <w:sz w:val="30"/>
        </w:rPr>
      </w:pPr>
      <w:r>
        <w:rPr>
          <w:spacing w:val="-5"/>
          <w:sz w:val="30"/>
        </w:rPr>
        <w:t>甲乙双方应当就签订本协议的相关事宜保密，不得将签订主体、</w:t>
      </w:r>
      <w:r>
        <w:rPr>
          <w:sz w:val="30"/>
        </w:rPr>
        <w:t>时间、内容等信息透露给其他第三人。</w:t>
      </w:r>
    </w:p>
    <w:p>
      <w:pPr>
        <w:pStyle w:val="7"/>
        <w:numPr>
          <w:ilvl w:val="0"/>
          <w:numId w:val="1"/>
        </w:numPr>
        <w:tabs>
          <w:tab w:val="left" w:pos="1168"/>
        </w:tabs>
        <w:spacing w:before="1" w:after="0" w:line="374" w:lineRule="auto"/>
        <w:ind w:left="115" w:right="257" w:firstLine="600"/>
        <w:jc w:val="left"/>
        <w:rPr>
          <w:sz w:val="30"/>
        </w:rPr>
      </w:pPr>
      <w:r>
        <w:rPr>
          <w:spacing w:val="-7"/>
          <w:sz w:val="30"/>
        </w:rPr>
        <w:t>若乙方公司不能中标，则本技术协议自动失效，双方不承担任</w:t>
      </w:r>
      <w:r>
        <w:rPr>
          <w:sz w:val="30"/>
        </w:rPr>
        <w:t>何责任。</w:t>
      </w:r>
    </w:p>
    <w:p>
      <w:pPr>
        <w:pStyle w:val="7"/>
        <w:numPr>
          <w:ilvl w:val="0"/>
          <w:numId w:val="1"/>
        </w:numPr>
        <w:tabs>
          <w:tab w:val="left" w:pos="1168"/>
        </w:tabs>
        <w:spacing w:before="1" w:after="0" w:line="374" w:lineRule="auto"/>
        <w:ind w:left="115" w:right="256" w:firstLine="600"/>
        <w:jc w:val="left"/>
        <w:rPr>
          <w:sz w:val="30"/>
        </w:rPr>
      </w:pPr>
      <w:r>
        <w:rPr>
          <w:sz w:val="30"/>
        </w:rPr>
        <w:t>乙方投标金额中包含设备的</w:t>
      </w:r>
      <w:r>
        <w:rPr>
          <w:b/>
          <w:spacing w:val="-11"/>
          <w:sz w:val="30"/>
        </w:rPr>
        <w:t>运输费，检测实验费，装卸费以及</w:t>
      </w:r>
      <w:r>
        <w:rPr>
          <w:b/>
          <w:sz w:val="30"/>
        </w:rPr>
        <w:t>人工费</w:t>
      </w:r>
      <w:r>
        <w:rPr>
          <w:sz w:val="30"/>
        </w:rPr>
        <w:t>。</w:t>
      </w:r>
    </w:p>
    <w:p>
      <w:pPr>
        <w:spacing w:before="1" w:line="374" w:lineRule="auto"/>
        <w:ind w:left="716" w:right="5416" w:firstLine="0"/>
        <w:jc w:val="left"/>
        <w:rPr>
          <w:sz w:val="30"/>
        </w:rPr>
      </w:pPr>
      <w:r>
        <w:rPr>
          <w:b/>
          <w:sz w:val="30"/>
        </w:rPr>
        <w:t xml:space="preserve">二、需求设备基本情况： </w:t>
      </w:r>
      <w:r>
        <w:rPr>
          <w:sz w:val="30"/>
        </w:rPr>
        <w:t>设备的名称：</w:t>
      </w:r>
    </w:p>
    <w:p>
      <w:pPr>
        <w:pStyle w:val="3"/>
        <w:spacing w:before="0"/>
        <w:ind w:left="716" w:firstLine="0"/>
      </w:pPr>
      <w:r>
        <w:t>三相油浸式电力变压器</w:t>
      </w:r>
    </w:p>
    <w:p>
      <w:pPr>
        <w:pStyle w:val="3"/>
        <w:spacing w:before="216" w:line="374" w:lineRule="auto"/>
        <w:ind w:left="716" w:right="4375" w:firstLine="0"/>
      </w:pPr>
      <w:r>
        <w:t>型号：S22-M-100kVA/10kV/0.4kV 数量：2 台</w:t>
      </w:r>
    </w:p>
    <w:p>
      <w:pPr>
        <w:pStyle w:val="3"/>
        <w:spacing w:line="374" w:lineRule="auto"/>
        <w:ind w:left="716" w:right="5277" w:firstLine="0"/>
      </w:pPr>
      <w:r>
        <w:t>额定容量：100KVA 变压器额定电压：10kV/0.4KV</w:t>
      </w:r>
    </w:p>
    <w:p>
      <w:pPr>
        <w:pStyle w:val="3"/>
        <w:spacing w:before="0" w:line="374" w:lineRule="auto"/>
        <w:ind w:right="257"/>
      </w:pPr>
      <w:r>
        <w:t>联接组别：Dyn11</w:t>
      </w:r>
      <w:r>
        <w:rPr>
          <w:spacing w:val="-1"/>
        </w:rPr>
        <w:t>, 分接范围±</w:t>
      </w:r>
      <w:r>
        <w:t>2×2.5</w:t>
      </w:r>
      <w:r>
        <w:rPr>
          <w:spacing w:val="-7"/>
        </w:rPr>
        <w:t xml:space="preserve">%，空、负载损耗按国标 </w:t>
      </w:r>
      <w:r>
        <w:t>1 级能效,Uk=4%±10%,45</w:t>
      </w:r>
      <w:r>
        <w:rPr>
          <w:spacing w:val="-10"/>
        </w:rPr>
        <w:t>#油，附件配制：高低压套管，无载分接开关等</w:t>
      </w:r>
      <w:r>
        <w:t>所有变压器正常运行配件，其余未提及要求按国标（一台完整的变压器所必需的所有附件）。</w:t>
      </w:r>
    </w:p>
    <w:p>
      <w:pPr>
        <w:pStyle w:val="3"/>
        <w:spacing w:before="2"/>
        <w:ind w:left="716" w:firstLine="0"/>
      </w:pPr>
      <w:r>
        <w:t>设备的用途和功能：</w:t>
      </w:r>
    </w:p>
    <w:p>
      <w:pPr>
        <w:spacing w:after="0"/>
        <w:sectPr>
          <w:pgSz w:w="11910" w:h="16840"/>
          <w:pgMar w:top="1540" w:right="1160" w:bottom="1180" w:left="1300" w:header="0" w:footer="993" w:gutter="0"/>
        </w:sectPr>
      </w:pPr>
    </w:p>
    <w:p>
      <w:pPr>
        <w:pStyle w:val="3"/>
        <w:spacing w:before="39" w:line="374" w:lineRule="auto"/>
        <w:ind w:right="329"/>
        <w:jc w:val="both"/>
      </w:pPr>
      <w:r>
        <w:t>利用电磁感应的原理来改变交流电压的装置，主要构件是初级线圈、次级线圈和铁芯（磁芯）。主要功能有：电压变换、电流变换、稳压（磁饱和变压器）等。</w:t>
      </w:r>
    </w:p>
    <w:p>
      <w:pPr>
        <w:pStyle w:val="3"/>
        <w:ind w:left="716" w:firstLine="0"/>
      </w:pPr>
      <w:r>
        <w:t>油箱机械强度和密封性要求：</w:t>
      </w:r>
    </w:p>
    <w:p>
      <w:pPr>
        <w:pStyle w:val="3"/>
        <w:spacing w:before="215" w:line="374" w:lineRule="auto"/>
        <w:ind w:right="257"/>
      </w:pPr>
      <w:r>
        <w:rPr>
          <w:spacing w:val="-13"/>
        </w:rPr>
        <w:t xml:space="preserve">按国家标准 </w:t>
      </w:r>
      <w:r>
        <w:t>GBT6451-2015</w:t>
      </w:r>
      <w:r>
        <w:rPr>
          <w:spacing w:val="-9"/>
        </w:rPr>
        <w:t xml:space="preserve"> 执行，变压器注满油后外加压力达到15kPa</w:t>
      </w:r>
      <w:r>
        <w:rPr>
          <w:spacing w:val="-21"/>
        </w:rPr>
        <w:t xml:space="preserve"> 的油压，保持 </w:t>
      </w:r>
      <w:r>
        <w:t>12</w:t>
      </w:r>
      <w:r>
        <w:rPr>
          <w:spacing w:val="-11"/>
        </w:rPr>
        <w:t xml:space="preserve"> 小时以上无渗漏</w:t>
      </w:r>
      <w:r>
        <w:t>（</w:t>
      </w:r>
      <w:r>
        <w:rPr>
          <w:spacing w:val="-2"/>
        </w:rPr>
        <w:t>试验时压力释放阀装置应拆</w:t>
      </w:r>
      <w:r>
        <w:t>除）。</w:t>
      </w:r>
    </w:p>
    <w:p>
      <w:pPr>
        <w:spacing w:before="2" w:line="374" w:lineRule="auto"/>
        <w:ind w:left="716" w:right="6029" w:firstLine="0"/>
        <w:jc w:val="left"/>
        <w:rPr>
          <w:sz w:val="30"/>
        </w:rPr>
      </w:pPr>
      <w:r>
        <w:rPr>
          <w:b/>
          <w:sz w:val="30"/>
        </w:rPr>
        <w:t>三、设备性能指标</w:t>
      </w:r>
      <w:r>
        <w:rPr>
          <w:sz w:val="30"/>
        </w:rPr>
        <w:t>1.设备的质量要求：</w:t>
      </w:r>
    </w:p>
    <w:p>
      <w:pPr>
        <w:pStyle w:val="3"/>
        <w:spacing w:before="0"/>
        <w:ind w:left="716" w:firstLine="0"/>
      </w:pPr>
      <w:r>
        <w:t>变压器的设计与制造应遵循的国家和行业的主要标准。</w:t>
      </w:r>
    </w:p>
    <w:p>
      <w:pPr>
        <w:pStyle w:val="3"/>
        <w:spacing w:before="216" w:line="374" w:lineRule="auto"/>
        <w:ind w:right="181"/>
      </w:pPr>
      <w:r>
        <w:t>绕组:全部线圈应用全新优质铜导线，保证线圈平均温升和最热点温升不超过国标规定值。</w:t>
      </w:r>
    </w:p>
    <w:p>
      <w:pPr>
        <w:pStyle w:val="3"/>
        <w:spacing w:line="374" w:lineRule="auto"/>
        <w:ind w:right="329"/>
        <w:jc w:val="both"/>
      </w:pPr>
      <w:r>
        <w:rPr>
          <w:spacing w:val="-1"/>
        </w:rPr>
        <w:t>铁芯：铁芯为硅钢片。所有线圈材料采用铜线或铜箔，若采用漆包铜导线应采用优质漆包铜导线。所有引线和导电板均应采用绝缘包扎。铁芯材料选用优质高磁密取向冷轧硅钢片，叠铁芯式铁心采用全</w:t>
      </w:r>
      <w:r>
        <w:t>斜接缝、无孔绑扎、槽钢式夹件结构。</w:t>
      </w:r>
    </w:p>
    <w:p>
      <w:pPr>
        <w:pStyle w:val="3"/>
        <w:spacing w:line="374" w:lineRule="auto"/>
        <w:ind w:left="716" w:right="2729" w:firstLine="0"/>
      </w:pPr>
      <w:r>
        <w:rPr>
          <w:spacing w:val="-1"/>
        </w:rPr>
        <w:t>变压器配备油枕，起到自动调整油面的作用。</w:t>
      </w:r>
      <w:r>
        <w:t>设备的安全保护功能和安全认证：</w:t>
      </w:r>
    </w:p>
    <w:p>
      <w:pPr>
        <w:pStyle w:val="3"/>
        <w:spacing w:line="374" w:lineRule="auto"/>
        <w:ind w:left="716" w:right="3329" w:firstLine="0"/>
      </w:pPr>
      <w:r>
        <w:t>应符合国标要求等级的安全防护和认证。2.设备使用条件要求：</w:t>
      </w:r>
    </w:p>
    <w:p>
      <w:pPr>
        <w:pStyle w:val="3"/>
        <w:spacing w:line="374" w:lineRule="auto"/>
        <w:ind w:right="257"/>
        <w:jc w:val="both"/>
      </w:pPr>
      <w:r>
        <w:rPr>
          <w:spacing w:val="-5"/>
        </w:rPr>
        <w:t>可在户内</w:t>
      </w:r>
      <w:r>
        <w:t>（外</w:t>
      </w:r>
      <w:r>
        <w:rPr>
          <w:spacing w:val="-20"/>
        </w:rPr>
        <w:t>）</w:t>
      </w:r>
      <w:r>
        <w:rPr>
          <w:spacing w:val="-14"/>
        </w:rPr>
        <w:t xml:space="preserve">使用，电压等级 </w:t>
      </w:r>
      <w:r>
        <w:t>10kv</w:t>
      </w:r>
      <w:r>
        <w:rPr>
          <w:spacing w:val="-11"/>
        </w:rPr>
        <w:t xml:space="preserve"> 及以下可安装在杆上，环境</w:t>
      </w:r>
      <w:r>
        <w:rPr>
          <w:spacing w:val="-8"/>
        </w:rPr>
        <w:t xml:space="preserve">温度不高于 </w:t>
      </w:r>
      <w:r>
        <w:t>50℃，不低于-30</w:t>
      </w:r>
      <w:r>
        <w:rPr>
          <w:spacing w:val="-6"/>
        </w:rPr>
        <w:t xml:space="preserve">℃，最高日平均温度 </w:t>
      </w:r>
      <w:r>
        <w:t>40℃，最高年平均</w:t>
      </w:r>
      <w:r>
        <w:rPr>
          <w:spacing w:val="-26"/>
        </w:rPr>
        <w:t xml:space="preserve">温度 </w:t>
      </w:r>
      <w:r>
        <w:t>20</w:t>
      </w:r>
      <w:r>
        <w:rPr>
          <w:spacing w:val="-8"/>
        </w:rPr>
        <w:t xml:space="preserve">℃，相对湿度不超过 </w:t>
      </w:r>
      <w:r>
        <w:t>90%（</w:t>
      </w:r>
      <w:r>
        <w:rPr>
          <w:spacing w:val="-16"/>
        </w:rPr>
        <w:t xml:space="preserve">环境温度 </w:t>
      </w:r>
      <w:r>
        <w:t>25℃）</w:t>
      </w:r>
      <w:r>
        <w:rPr>
          <w:spacing w:val="-2"/>
        </w:rPr>
        <w:t>。若与上述使用条</w:t>
      </w:r>
    </w:p>
    <w:p>
      <w:pPr>
        <w:spacing w:after="0" w:line="374" w:lineRule="auto"/>
        <w:jc w:val="both"/>
        <w:sectPr>
          <w:pgSz w:w="11910" w:h="16840"/>
          <w:pgMar w:top="1540" w:right="1160" w:bottom="1180" w:left="1300" w:header="0" w:footer="993" w:gutter="0"/>
        </w:sectPr>
      </w:pPr>
    </w:p>
    <w:p>
      <w:pPr>
        <w:pStyle w:val="3"/>
        <w:spacing w:before="39" w:line="374" w:lineRule="auto"/>
        <w:ind w:left="716" w:right="1229" w:hanging="600"/>
      </w:pPr>
      <w:r>
        <w:rPr>
          <w:spacing w:val="-10"/>
        </w:rPr>
        <w:t xml:space="preserve">件不符时，应按 </w:t>
      </w:r>
      <w:r>
        <w:t>GB6450-86</w:t>
      </w:r>
      <w:r>
        <w:rPr>
          <w:spacing w:val="-11"/>
        </w:rPr>
        <w:t xml:space="preserve"> 的有关规定，作适当的定额调整。</w:t>
      </w:r>
      <w:r>
        <w:t>3.设备的调试要求：</w:t>
      </w:r>
    </w:p>
    <w:p>
      <w:pPr>
        <w:pStyle w:val="3"/>
        <w:spacing w:before="0" w:line="374" w:lineRule="auto"/>
        <w:ind w:right="256"/>
      </w:pPr>
      <w:r>
        <w:t>制定安全措施：①防止人身触电及摔跌等事故的发生。②防止绝缘过热。③防止发生火灾。④防止某物落进油箱。⑤防止附件损坏。</w:t>
      </w:r>
    </w:p>
    <w:p>
      <w:pPr>
        <w:pStyle w:val="3"/>
        <w:ind w:firstLine="0"/>
      </w:pPr>
      <w:r>
        <w:t>⑥防止变压器翻倒。</w:t>
      </w:r>
    </w:p>
    <w:p>
      <w:pPr>
        <w:pStyle w:val="3"/>
        <w:spacing w:before="216" w:line="374" w:lineRule="auto"/>
        <w:ind w:right="256"/>
        <w:jc w:val="both"/>
      </w:pPr>
      <w:r>
        <w:t>制定技术措施：①防止变压器芯不应受潮。②如何保证各连接部分接触良好。③各部位密封要良好，不漏油。④如何保证变压器绝缘和油绝缘。</w:t>
      </w:r>
    </w:p>
    <w:p>
      <w:pPr>
        <w:pStyle w:val="2"/>
      </w:pPr>
      <w:r>
        <w:t>四、技术保障和售后服务</w:t>
      </w:r>
    </w:p>
    <w:p>
      <w:pPr>
        <w:pStyle w:val="7"/>
        <w:numPr>
          <w:ilvl w:val="0"/>
          <w:numId w:val="2"/>
        </w:numPr>
        <w:tabs>
          <w:tab w:val="left" w:pos="1168"/>
        </w:tabs>
        <w:spacing w:before="216" w:after="0" w:line="374" w:lineRule="auto"/>
        <w:ind w:left="115" w:right="257" w:firstLine="600"/>
        <w:jc w:val="both"/>
        <w:rPr>
          <w:sz w:val="30"/>
        </w:rPr>
      </w:pPr>
      <w:r>
        <w:rPr>
          <w:spacing w:val="-5"/>
          <w:sz w:val="30"/>
        </w:rPr>
        <w:t>设备在投入运行三年内(以建设单位投运日期为准)，如发生因</w:t>
      </w:r>
      <w:r>
        <w:rPr>
          <w:spacing w:val="-7"/>
          <w:sz w:val="30"/>
        </w:rPr>
        <w:t>产品质量而导致的损坏，供方应及时派员解决,免费修理，并负责由此</w:t>
      </w:r>
      <w:r>
        <w:rPr>
          <w:sz w:val="30"/>
        </w:rPr>
        <w:t>而引起的运行单位检修该设备所发生的费用。</w:t>
      </w:r>
    </w:p>
    <w:p>
      <w:pPr>
        <w:pStyle w:val="7"/>
        <w:numPr>
          <w:ilvl w:val="0"/>
          <w:numId w:val="2"/>
        </w:numPr>
        <w:tabs>
          <w:tab w:val="left" w:pos="1019"/>
        </w:tabs>
        <w:spacing w:before="1" w:after="0" w:line="374" w:lineRule="auto"/>
        <w:ind w:left="115" w:right="104" w:firstLine="600"/>
        <w:jc w:val="left"/>
        <w:rPr>
          <w:sz w:val="30"/>
        </w:rPr>
      </w:pPr>
      <w:r>
        <w:rPr>
          <w:spacing w:val="-5"/>
          <w:sz w:val="30"/>
        </w:rPr>
        <w:t xml:space="preserve">主要部件质量三包期按国家质量三包期规定执行。在三包期内， </w:t>
      </w:r>
      <w:r>
        <w:rPr>
          <w:sz w:val="30"/>
        </w:rPr>
        <w:t>中标方因产品质量导致的各类故障，及时免费维修或更换零部件。</w:t>
      </w:r>
    </w:p>
    <w:p>
      <w:pPr>
        <w:pStyle w:val="7"/>
        <w:numPr>
          <w:ilvl w:val="0"/>
          <w:numId w:val="2"/>
        </w:numPr>
        <w:tabs>
          <w:tab w:val="left" w:pos="1019"/>
        </w:tabs>
        <w:spacing w:before="0" w:after="0" w:line="374" w:lineRule="auto"/>
        <w:ind w:left="115" w:right="256" w:firstLine="600"/>
        <w:jc w:val="left"/>
        <w:rPr>
          <w:sz w:val="30"/>
        </w:rPr>
      </w:pPr>
      <w:r>
        <w:rPr>
          <w:sz w:val="30"/>
        </w:rPr>
        <w:t>中标方负责本设备的试验调试业务，并承担试验调试所需要的所有费用。</w:t>
      </w:r>
    </w:p>
    <w:p>
      <w:pPr>
        <w:pStyle w:val="7"/>
        <w:numPr>
          <w:ilvl w:val="0"/>
          <w:numId w:val="2"/>
        </w:numPr>
        <w:tabs>
          <w:tab w:val="left" w:pos="1019"/>
        </w:tabs>
        <w:spacing w:before="1" w:after="0" w:line="374" w:lineRule="auto"/>
        <w:ind w:left="115" w:right="256" w:firstLine="600"/>
        <w:jc w:val="left"/>
        <w:rPr>
          <w:sz w:val="30"/>
        </w:rPr>
      </w:pPr>
      <w:r>
        <w:rPr>
          <w:sz w:val="30"/>
        </w:rPr>
        <w:t>质保期外，中标方终身负责提供免费的技术支持和有偿故障处理服务。</w:t>
      </w:r>
    </w:p>
    <w:p>
      <w:pPr>
        <w:pStyle w:val="2"/>
      </w:pPr>
      <w:r>
        <w:rPr>
          <w:w w:val="95"/>
        </w:rPr>
        <w:t>五、供货要求</w:t>
      </w:r>
    </w:p>
    <w:p>
      <w:pPr>
        <w:pStyle w:val="3"/>
        <w:spacing w:before="216" w:line="374" w:lineRule="auto"/>
        <w:ind w:left="716" w:right="1529" w:firstLine="0"/>
        <w:rPr>
          <w:b/>
        </w:rPr>
      </w:pPr>
      <w:r>
        <w:rPr>
          <w:spacing w:val="-1"/>
        </w:rPr>
        <w:t>自中标之日起，中标方按照招标方时间要求签订合同。</w:t>
      </w:r>
      <w:r>
        <w:rPr>
          <w:b/>
        </w:rPr>
        <w:t>六、技术培训</w:t>
      </w:r>
    </w:p>
    <w:p>
      <w:pPr>
        <w:pStyle w:val="3"/>
        <w:spacing w:before="0" w:line="374" w:lineRule="auto"/>
        <w:ind w:right="256"/>
      </w:pPr>
      <w:r>
        <w:t>中标方需至少派遣技术人员到招标方指定地点开展设备的实操及理论技术培训，确保招标方技术人员掌握设备的基础操作及安全风险</w:t>
      </w:r>
    </w:p>
    <w:p>
      <w:pPr>
        <w:spacing w:after="0" w:line="374" w:lineRule="auto"/>
        <w:sectPr>
          <w:pgSz w:w="11910" w:h="16840"/>
          <w:pgMar w:top="1540" w:right="1160" w:bottom="1180" w:left="1300" w:header="0" w:footer="993" w:gutter="0"/>
        </w:sectPr>
      </w:pPr>
    </w:p>
    <w:p>
      <w:pPr>
        <w:pStyle w:val="3"/>
        <w:spacing w:before="39"/>
        <w:ind w:firstLine="0"/>
      </w:pPr>
      <w:r>
        <w:t>点的控制。</w:t>
      </w:r>
    </w:p>
    <w:p>
      <w:pPr>
        <w:pStyle w:val="2"/>
        <w:spacing w:before="215"/>
      </w:pPr>
      <w:r>
        <w:t>七、技术资料</w:t>
      </w:r>
    </w:p>
    <w:p>
      <w:pPr>
        <w:pStyle w:val="3"/>
        <w:spacing w:before="216"/>
        <w:ind w:left="716" w:firstLine="0"/>
      </w:pPr>
      <w:r>
        <w:t>中标方在合同签署后 5 天内应向需方提供下列资料:</w:t>
      </w:r>
    </w:p>
    <w:p>
      <w:pPr>
        <w:pStyle w:val="3"/>
        <w:spacing w:before="216" w:line="374" w:lineRule="auto"/>
        <w:ind w:right="257"/>
      </w:pPr>
      <w:r>
        <w:t>l</w:t>
      </w:r>
      <w:r>
        <w:rPr>
          <w:spacing w:val="-11"/>
        </w:rPr>
        <w:t>、变压器外型尺寸图，箱顶布置及引线套管尺寸等，变压器部件</w:t>
      </w:r>
      <w:r>
        <w:t>重量。</w:t>
      </w:r>
    </w:p>
    <w:p>
      <w:pPr>
        <w:pStyle w:val="3"/>
        <w:spacing w:before="0" w:line="374" w:lineRule="auto"/>
        <w:ind w:right="257"/>
      </w:pPr>
      <w:r>
        <w:t>2</w:t>
      </w:r>
      <w:r>
        <w:rPr>
          <w:spacing w:val="-11"/>
        </w:rPr>
        <w:t>、变压器制造过程中和出厂试验时，出现问题需在出厂文件中注</w:t>
      </w:r>
      <w:r>
        <w:t>明，根据情况相应延长保证期。</w:t>
      </w:r>
    </w:p>
    <w:p>
      <w:pPr>
        <w:pStyle w:val="3"/>
        <w:spacing w:line="374" w:lineRule="auto"/>
        <w:ind w:right="257"/>
      </w:pPr>
      <w:r>
        <w:t>3</w:t>
      </w:r>
      <w:r>
        <w:rPr>
          <w:spacing w:val="-11"/>
        </w:rPr>
        <w:t>、所提供图纸上的设备安装尺寸必须与到施工现场的设备的安装</w:t>
      </w:r>
      <w:r>
        <w:t>尺寸一致，否则，发生的变更均由生产厂家负责处理。</w:t>
      </w:r>
    </w:p>
    <w:p>
      <w:pPr>
        <w:pStyle w:val="3"/>
        <w:ind w:left="716" w:firstLine="0"/>
      </w:pPr>
      <w:r>
        <w:t>4、变压器出厂后，供方向需方提供有关技术文件及资料 2 套。</w:t>
      </w:r>
    </w:p>
    <w:p>
      <w:pPr>
        <w:pStyle w:val="3"/>
        <w:spacing w:before="215" w:line="374" w:lineRule="auto"/>
        <w:ind w:right="176"/>
      </w:pPr>
      <w:r>
        <w:t>5、合格证书、产品质量和服务保证书、化检验报告、试验报告、标配工具包等。</w:t>
      </w:r>
    </w:p>
    <w:p>
      <w:pPr>
        <w:pStyle w:val="2"/>
      </w:pPr>
      <w:r>
        <w:t>八、其它约定</w:t>
      </w:r>
    </w:p>
    <w:p>
      <w:pPr>
        <w:pStyle w:val="3"/>
        <w:spacing w:before="216" w:line="374" w:lineRule="auto"/>
        <w:ind w:right="329"/>
      </w:pPr>
      <w:r>
        <w:t>甲乙双方应当就签订本协议的相关事宜保密，不得将签订主体、时间、内容等信息透露给其他第三人。</w:t>
      </w:r>
    </w:p>
    <w:p>
      <w:pPr>
        <w:pStyle w:val="3"/>
        <w:spacing w:line="374" w:lineRule="auto"/>
        <w:ind w:right="256"/>
      </w:pPr>
      <w:r>
        <w:t>若乙方公司不能中标，则本技术协议自动失效，双方不承担任何责任。</w:t>
      </w:r>
    </w:p>
    <w:p>
      <w:pPr>
        <w:pStyle w:val="3"/>
        <w:tabs>
          <w:tab w:val="left" w:pos="5367"/>
        </w:tabs>
        <w:spacing w:before="0"/>
        <w:ind w:firstLine="0"/>
      </w:pPr>
      <w:r>
        <w:t>甲方（发包方）</w:t>
      </w:r>
      <w:r>
        <w:tab/>
      </w:r>
      <w:r>
        <w:t>乙方（投标方）</w:t>
      </w:r>
    </w:p>
    <w:p>
      <w:pPr>
        <w:pStyle w:val="3"/>
        <w:tabs>
          <w:tab w:val="left" w:pos="5515"/>
        </w:tabs>
        <w:spacing w:before="216"/>
        <w:ind w:firstLine="0"/>
      </w:pPr>
      <w:r>
        <w:t>代表人签字：</w:t>
      </w:r>
      <w:r>
        <w:tab/>
      </w:r>
      <w:r>
        <w:t>代表人签字：</w:t>
      </w:r>
    </w:p>
    <w:p>
      <w:pPr>
        <w:pStyle w:val="3"/>
        <w:tabs>
          <w:tab w:val="left" w:pos="5515"/>
        </w:tabs>
        <w:spacing w:before="216"/>
        <w:ind w:firstLine="0"/>
      </w:pPr>
      <w:r>
        <w:t>日期：</w:t>
      </w:r>
      <w:r>
        <w:tab/>
      </w:r>
      <w:r>
        <w:t>日期：</w:t>
      </w:r>
    </w:p>
    <w:sectPr>
      <w:pgSz w:w="11910" w:h="16840"/>
      <w:pgMar w:top="1540" w:right="1160" w:bottom="1180" w:left="1300" w:header="0" w:footer="99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firstLine="0"/>
      <w:rPr>
        <w:sz w:val="20"/>
      </w:rPr>
    </w:pPr>
    <w:r>
      <w:pict>
        <v:shape id="_x0000_s2049" o:spid="_x0000_s2049" o:spt="202" type="#_x0000_t202" style="position:absolute;left:0pt;margin-left:293.4pt;margin-top:781.2pt;height:12pt;width:8.5pt;mso-position-horizontal-relative:page;mso-position-vertical-relative:page;z-index:-251762688;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116" w:hanging="452"/>
        <w:jc w:val="left"/>
      </w:pPr>
      <w:rPr>
        <w:rFonts w:hint="default" w:ascii="仿宋_GB2312" w:hAnsi="仿宋_GB2312" w:eastAsia="仿宋_GB2312" w:cs="仿宋_GB2312"/>
        <w:spacing w:val="-80"/>
        <w:w w:val="100"/>
        <w:sz w:val="30"/>
        <w:szCs w:val="30"/>
        <w:lang w:val="zh-CN" w:eastAsia="zh-CN" w:bidi="zh-CN"/>
      </w:rPr>
    </w:lvl>
    <w:lvl w:ilvl="1" w:tentative="0">
      <w:start w:val="0"/>
      <w:numFmt w:val="bullet"/>
      <w:lvlText w:val="•"/>
      <w:lvlJc w:val="left"/>
      <w:pPr>
        <w:ind w:left="1052" w:hanging="452"/>
      </w:pPr>
      <w:rPr>
        <w:rFonts w:hint="default"/>
        <w:lang w:val="zh-CN" w:eastAsia="zh-CN" w:bidi="zh-CN"/>
      </w:rPr>
    </w:lvl>
    <w:lvl w:ilvl="2" w:tentative="0">
      <w:start w:val="0"/>
      <w:numFmt w:val="bullet"/>
      <w:lvlText w:val="•"/>
      <w:lvlJc w:val="left"/>
      <w:pPr>
        <w:ind w:left="1985" w:hanging="452"/>
      </w:pPr>
      <w:rPr>
        <w:rFonts w:hint="default"/>
        <w:lang w:val="zh-CN" w:eastAsia="zh-CN" w:bidi="zh-CN"/>
      </w:rPr>
    </w:lvl>
    <w:lvl w:ilvl="3" w:tentative="0">
      <w:start w:val="0"/>
      <w:numFmt w:val="bullet"/>
      <w:lvlText w:val="•"/>
      <w:lvlJc w:val="left"/>
      <w:pPr>
        <w:ind w:left="2917" w:hanging="452"/>
      </w:pPr>
      <w:rPr>
        <w:rFonts w:hint="default"/>
        <w:lang w:val="zh-CN" w:eastAsia="zh-CN" w:bidi="zh-CN"/>
      </w:rPr>
    </w:lvl>
    <w:lvl w:ilvl="4" w:tentative="0">
      <w:start w:val="0"/>
      <w:numFmt w:val="bullet"/>
      <w:lvlText w:val="•"/>
      <w:lvlJc w:val="left"/>
      <w:pPr>
        <w:ind w:left="3850" w:hanging="452"/>
      </w:pPr>
      <w:rPr>
        <w:rFonts w:hint="default"/>
        <w:lang w:val="zh-CN" w:eastAsia="zh-CN" w:bidi="zh-CN"/>
      </w:rPr>
    </w:lvl>
    <w:lvl w:ilvl="5" w:tentative="0">
      <w:start w:val="0"/>
      <w:numFmt w:val="bullet"/>
      <w:lvlText w:val="•"/>
      <w:lvlJc w:val="left"/>
      <w:pPr>
        <w:ind w:left="4783" w:hanging="452"/>
      </w:pPr>
      <w:rPr>
        <w:rFonts w:hint="default"/>
        <w:lang w:val="zh-CN" w:eastAsia="zh-CN" w:bidi="zh-CN"/>
      </w:rPr>
    </w:lvl>
    <w:lvl w:ilvl="6" w:tentative="0">
      <w:start w:val="0"/>
      <w:numFmt w:val="bullet"/>
      <w:lvlText w:val="•"/>
      <w:lvlJc w:val="left"/>
      <w:pPr>
        <w:ind w:left="5715" w:hanging="452"/>
      </w:pPr>
      <w:rPr>
        <w:rFonts w:hint="default"/>
        <w:lang w:val="zh-CN" w:eastAsia="zh-CN" w:bidi="zh-CN"/>
      </w:rPr>
    </w:lvl>
    <w:lvl w:ilvl="7" w:tentative="0">
      <w:start w:val="0"/>
      <w:numFmt w:val="bullet"/>
      <w:lvlText w:val="•"/>
      <w:lvlJc w:val="left"/>
      <w:pPr>
        <w:ind w:left="6648" w:hanging="452"/>
      </w:pPr>
      <w:rPr>
        <w:rFonts w:hint="default"/>
        <w:lang w:val="zh-CN" w:eastAsia="zh-CN" w:bidi="zh-CN"/>
      </w:rPr>
    </w:lvl>
    <w:lvl w:ilvl="8" w:tentative="0">
      <w:start w:val="0"/>
      <w:numFmt w:val="bullet"/>
      <w:lvlText w:val="•"/>
      <w:lvlJc w:val="left"/>
      <w:pPr>
        <w:ind w:left="7580" w:hanging="452"/>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16" w:hanging="303"/>
        <w:jc w:val="left"/>
      </w:pPr>
      <w:rPr>
        <w:rFonts w:hint="default" w:ascii="仿宋_GB2312" w:hAnsi="仿宋_GB2312" w:eastAsia="仿宋_GB2312" w:cs="仿宋_GB2312"/>
        <w:spacing w:val="-2"/>
        <w:w w:val="100"/>
        <w:sz w:val="28"/>
        <w:szCs w:val="28"/>
        <w:lang w:val="zh-CN" w:eastAsia="zh-CN" w:bidi="zh-CN"/>
      </w:rPr>
    </w:lvl>
    <w:lvl w:ilvl="1" w:tentative="0">
      <w:start w:val="0"/>
      <w:numFmt w:val="bullet"/>
      <w:lvlText w:val="•"/>
      <w:lvlJc w:val="left"/>
      <w:pPr>
        <w:ind w:left="1052" w:hanging="303"/>
      </w:pPr>
      <w:rPr>
        <w:rFonts w:hint="default"/>
        <w:lang w:val="zh-CN" w:eastAsia="zh-CN" w:bidi="zh-CN"/>
      </w:rPr>
    </w:lvl>
    <w:lvl w:ilvl="2" w:tentative="0">
      <w:start w:val="0"/>
      <w:numFmt w:val="bullet"/>
      <w:lvlText w:val="•"/>
      <w:lvlJc w:val="left"/>
      <w:pPr>
        <w:ind w:left="1985" w:hanging="303"/>
      </w:pPr>
      <w:rPr>
        <w:rFonts w:hint="default"/>
        <w:lang w:val="zh-CN" w:eastAsia="zh-CN" w:bidi="zh-CN"/>
      </w:rPr>
    </w:lvl>
    <w:lvl w:ilvl="3" w:tentative="0">
      <w:start w:val="0"/>
      <w:numFmt w:val="bullet"/>
      <w:lvlText w:val="•"/>
      <w:lvlJc w:val="left"/>
      <w:pPr>
        <w:ind w:left="2917" w:hanging="303"/>
      </w:pPr>
      <w:rPr>
        <w:rFonts w:hint="default"/>
        <w:lang w:val="zh-CN" w:eastAsia="zh-CN" w:bidi="zh-CN"/>
      </w:rPr>
    </w:lvl>
    <w:lvl w:ilvl="4" w:tentative="0">
      <w:start w:val="0"/>
      <w:numFmt w:val="bullet"/>
      <w:lvlText w:val="•"/>
      <w:lvlJc w:val="left"/>
      <w:pPr>
        <w:ind w:left="3850" w:hanging="303"/>
      </w:pPr>
      <w:rPr>
        <w:rFonts w:hint="default"/>
        <w:lang w:val="zh-CN" w:eastAsia="zh-CN" w:bidi="zh-CN"/>
      </w:rPr>
    </w:lvl>
    <w:lvl w:ilvl="5" w:tentative="0">
      <w:start w:val="0"/>
      <w:numFmt w:val="bullet"/>
      <w:lvlText w:val="•"/>
      <w:lvlJc w:val="left"/>
      <w:pPr>
        <w:ind w:left="4783" w:hanging="303"/>
      </w:pPr>
      <w:rPr>
        <w:rFonts w:hint="default"/>
        <w:lang w:val="zh-CN" w:eastAsia="zh-CN" w:bidi="zh-CN"/>
      </w:rPr>
    </w:lvl>
    <w:lvl w:ilvl="6" w:tentative="0">
      <w:start w:val="0"/>
      <w:numFmt w:val="bullet"/>
      <w:lvlText w:val="•"/>
      <w:lvlJc w:val="left"/>
      <w:pPr>
        <w:ind w:left="5715" w:hanging="303"/>
      </w:pPr>
      <w:rPr>
        <w:rFonts w:hint="default"/>
        <w:lang w:val="zh-CN" w:eastAsia="zh-CN" w:bidi="zh-CN"/>
      </w:rPr>
    </w:lvl>
    <w:lvl w:ilvl="7" w:tentative="0">
      <w:start w:val="0"/>
      <w:numFmt w:val="bullet"/>
      <w:lvlText w:val="•"/>
      <w:lvlJc w:val="left"/>
      <w:pPr>
        <w:ind w:left="6648" w:hanging="303"/>
      </w:pPr>
      <w:rPr>
        <w:rFonts w:hint="default"/>
        <w:lang w:val="zh-CN" w:eastAsia="zh-CN" w:bidi="zh-CN"/>
      </w:rPr>
    </w:lvl>
    <w:lvl w:ilvl="8" w:tentative="0">
      <w:start w:val="0"/>
      <w:numFmt w:val="bullet"/>
      <w:lvlText w:val="•"/>
      <w:lvlJc w:val="left"/>
      <w:pPr>
        <w:ind w:left="7580" w:hanging="303"/>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A377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spacing w:before="1"/>
      <w:ind w:left="716"/>
      <w:outlineLvl w:val="1"/>
    </w:pPr>
    <w:rPr>
      <w:rFonts w:ascii="仿宋_GB2312" w:hAnsi="仿宋_GB2312" w:eastAsia="仿宋_GB2312" w:cs="仿宋_GB2312"/>
      <w:b/>
      <w:bCs/>
      <w:sz w:val="30"/>
      <w:szCs w:val="30"/>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spacing w:before="1"/>
      <w:ind w:left="115" w:firstLine="600"/>
    </w:pPr>
    <w:rPr>
      <w:rFonts w:ascii="仿宋_GB2312" w:hAnsi="仿宋_GB2312" w:eastAsia="仿宋_GB2312" w:cs="仿宋_GB2312"/>
      <w:sz w:val="30"/>
      <w:szCs w:val="30"/>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
      <w:ind w:left="115" w:right="329" w:firstLine="600"/>
    </w:pPr>
    <w:rPr>
      <w:rFonts w:ascii="仿宋_GB2312" w:hAnsi="仿宋_GB2312" w:eastAsia="仿宋_GB2312" w:cs="仿宋_GB2312"/>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2025-08-14T10:27:00Z</dcterms:created>
  <dc:creator>Administrator</dc:creator>
  <cp:lastModifiedBy>闫祥锋</cp:lastModifiedBy>
  <dcterms:modified xsi:type="dcterms:W3CDTF">2025-08-14T10:31:44Z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Creator">
    <vt:lpwstr>WPS 文字</vt:lpwstr>
  </property>
  <property fmtid="{D5CDD505-2E9C-101B-9397-08002B2CF9AE}" pid="4" name="LastSaved">
    <vt:filetime>2025-08-14T00:00:00Z</vt:filetime>
  </property>
  <property fmtid="{D5CDD505-2E9C-101B-9397-08002B2CF9AE}" pid="5" name="KSOProductBuildVer">
    <vt:lpwstr>2052-11.1.0.9828</vt:lpwstr>
  </property>
</Properties>
</file>