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tLeast"/>
        <w:ind w:right="2" w:rightChars="1"/>
        <w:jc w:val="center"/>
        <w:rPr>
          <w:rFonts w:ascii="宋体" w:hAnsi="宋体" w:cs="宋体"/>
          <w:b/>
          <w:bCs/>
          <w:sz w:val="44"/>
          <w:szCs w:val="44"/>
          <w:highlight w:val="none"/>
        </w:rPr>
      </w:pPr>
    </w:p>
    <w:p>
      <w:pPr>
        <w:snapToGrid w:val="0"/>
        <w:spacing w:line="240" w:lineRule="atLeast"/>
        <w:ind w:right="2" w:rightChars="1"/>
        <w:jc w:val="center"/>
        <w:rPr>
          <w:rFonts w:ascii="宋体" w:hAnsi="宋体" w:cs="宋体"/>
          <w:b/>
          <w:bCs/>
          <w:sz w:val="44"/>
          <w:szCs w:val="44"/>
          <w:highlight w:val="none"/>
        </w:rPr>
      </w:pPr>
    </w:p>
    <w:p>
      <w:pPr>
        <w:snapToGrid w:val="0"/>
        <w:spacing w:line="240" w:lineRule="atLeast"/>
        <w:ind w:right="2" w:rightChars="1"/>
        <w:jc w:val="center"/>
        <w:rPr>
          <w:rFonts w:ascii="宋体" w:hAnsi="宋体" w:cs="宋体"/>
          <w:b/>
          <w:bCs/>
          <w:sz w:val="44"/>
          <w:szCs w:val="44"/>
          <w:highlight w:val="none"/>
        </w:rPr>
      </w:pPr>
    </w:p>
    <w:p>
      <w:pPr>
        <w:snapToGrid w:val="0"/>
        <w:spacing w:line="240" w:lineRule="atLeast"/>
        <w:ind w:right="2" w:rightChars="1"/>
        <w:jc w:val="center"/>
        <w:rPr>
          <w:rFonts w:ascii="宋体" w:hAnsi="宋体" w:cs="宋体"/>
          <w:b/>
          <w:bCs/>
          <w:sz w:val="44"/>
          <w:szCs w:val="44"/>
          <w:highlight w:val="none"/>
        </w:rPr>
      </w:pPr>
    </w:p>
    <w:p>
      <w:pPr>
        <w:snapToGrid w:val="0"/>
        <w:spacing w:line="240" w:lineRule="atLeast"/>
        <w:ind w:right="2" w:rightChars="1"/>
        <w:jc w:val="center"/>
        <w:rPr>
          <w:rFonts w:ascii="仿宋" w:hAnsi="仿宋" w:eastAsia="仿宋" w:cs="仿宋"/>
          <w:sz w:val="44"/>
          <w:szCs w:val="44"/>
          <w:highlight w:val="none"/>
        </w:rPr>
      </w:pPr>
      <w:r>
        <w:rPr>
          <w:rFonts w:hint="eastAsia" w:ascii="仿宋" w:hAnsi="仿宋" w:eastAsia="仿宋" w:cs="仿宋"/>
          <w:b/>
          <w:bCs/>
          <w:sz w:val="44"/>
          <w:szCs w:val="44"/>
          <w:highlight w:val="none"/>
        </w:rPr>
        <w:t>酒泉钢铁（集团）宏兴股份公司</w:t>
      </w:r>
    </w:p>
    <w:p>
      <w:pPr>
        <w:snapToGrid w:val="0"/>
        <w:spacing w:line="240" w:lineRule="atLeast"/>
        <w:ind w:right="2" w:rightChars="1"/>
        <w:jc w:val="center"/>
        <w:rPr>
          <w:rFonts w:ascii="仿宋" w:hAnsi="仿宋" w:eastAsia="仿宋" w:cs="仿宋"/>
          <w:sz w:val="44"/>
          <w:szCs w:val="44"/>
          <w:highlight w:val="none"/>
        </w:rPr>
      </w:pPr>
      <w:r>
        <w:rPr>
          <w:rFonts w:hint="eastAsia" w:ascii="宋体" w:hAnsi="宋体"/>
          <w:sz w:val="44"/>
          <w:szCs w:val="44"/>
          <w:highlight w:val="none"/>
        </w:rPr>
        <w:t>（</w:t>
      </w:r>
      <w:r>
        <w:rPr>
          <w:rFonts w:hint="eastAsia" w:ascii="仿宋" w:hAnsi="仿宋" w:eastAsia="仿宋" w:cs="仿宋"/>
          <w:sz w:val="44"/>
          <w:szCs w:val="44"/>
          <w:highlight w:val="none"/>
        </w:rPr>
        <w:t>总镍在线分析仪主板 ）</w:t>
      </w:r>
    </w:p>
    <w:p>
      <w:pPr>
        <w:snapToGrid w:val="0"/>
        <w:spacing w:line="240" w:lineRule="atLeast"/>
        <w:ind w:right="2" w:rightChars="1"/>
        <w:jc w:val="center"/>
        <w:rPr>
          <w:rFonts w:ascii="仿宋" w:hAnsi="仿宋" w:eastAsia="仿宋" w:cs="仿宋"/>
          <w:sz w:val="44"/>
          <w:szCs w:val="44"/>
          <w:highlight w:val="none"/>
        </w:rPr>
      </w:pPr>
      <w:r>
        <w:rPr>
          <w:rFonts w:hint="eastAsia" w:ascii="仿宋" w:hAnsi="仿宋" w:eastAsia="仿宋" w:cs="仿宋"/>
          <w:sz w:val="44"/>
          <w:szCs w:val="44"/>
          <w:highlight w:val="none"/>
        </w:rPr>
        <w:t>技术规格书</w:t>
      </w:r>
    </w:p>
    <w:p>
      <w:pPr>
        <w:rPr>
          <w:rFonts w:ascii="宋体" w:hAnsi="宋体"/>
          <w:b/>
          <w:bCs/>
          <w:sz w:val="32"/>
          <w:highlight w:val="none"/>
        </w:rPr>
      </w:pPr>
    </w:p>
    <w:p>
      <w:pPr>
        <w:rPr>
          <w:rFonts w:ascii="宋体" w:hAnsi="宋体"/>
          <w:b/>
          <w:bCs/>
          <w:sz w:val="32"/>
          <w:highlight w:val="none"/>
        </w:rPr>
      </w:pPr>
    </w:p>
    <w:p>
      <w:pPr>
        <w:rPr>
          <w:rFonts w:ascii="宋体" w:hAnsi="宋体"/>
          <w:b/>
          <w:bCs/>
          <w:sz w:val="32"/>
          <w:highlight w:val="none"/>
        </w:rPr>
      </w:pPr>
    </w:p>
    <w:p>
      <w:pPr>
        <w:pStyle w:val="9"/>
        <w:rPr>
          <w:rFonts w:ascii="宋体"/>
          <w:b/>
          <w:bCs/>
          <w:sz w:val="32"/>
          <w:highlight w:val="none"/>
        </w:rPr>
      </w:pPr>
    </w:p>
    <w:p>
      <w:pPr>
        <w:pStyle w:val="9"/>
        <w:rPr>
          <w:rFonts w:ascii="宋体"/>
          <w:b/>
          <w:bCs/>
          <w:sz w:val="32"/>
          <w:highlight w:val="none"/>
        </w:rPr>
      </w:pPr>
    </w:p>
    <w:p>
      <w:pPr>
        <w:pStyle w:val="9"/>
        <w:rPr>
          <w:rFonts w:ascii="宋体"/>
          <w:b/>
          <w:bCs/>
          <w:sz w:val="32"/>
          <w:highlight w:val="none"/>
        </w:rPr>
      </w:pPr>
    </w:p>
    <w:p>
      <w:pPr>
        <w:pStyle w:val="9"/>
        <w:rPr>
          <w:rFonts w:ascii="宋体"/>
          <w:b/>
          <w:bCs/>
          <w:sz w:val="32"/>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甲  方：酒泉钢铁（集团）宏兴股份公司动力厂</w:t>
      </w: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乙  方：</w:t>
      </w: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目录</w:t>
      </w: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lang w:val="en-GB"/>
        </w:rPr>
      </w:pPr>
      <w:r>
        <w:rPr>
          <w:rFonts w:hint="eastAsia" w:ascii="仿宋" w:hAnsi="仿宋" w:eastAsia="仿宋" w:cs="仿宋"/>
          <w:color w:val="000000"/>
          <w:sz w:val="28"/>
          <w:szCs w:val="28"/>
          <w:highlight w:val="none"/>
        </w:rPr>
        <w:t>一、总则</w:t>
      </w:r>
    </w:p>
    <w:p>
      <w:pPr>
        <w:spacing w:line="360" w:lineRule="auto"/>
        <w:ind w:firstLine="420" w:firstLineChars="150"/>
        <w:rPr>
          <w:rFonts w:hint="eastAsia" w:ascii="仿宋" w:hAnsi="仿宋" w:eastAsia="仿宋" w:cs="仿宋"/>
          <w:color w:val="000000"/>
          <w:sz w:val="28"/>
          <w:szCs w:val="28"/>
          <w:highlight w:val="none"/>
          <w:lang w:val="en-GB"/>
        </w:rPr>
      </w:pPr>
    </w:p>
    <w:p>
      <w:pPr>
        <w:spacing w:line="360" w:lineRule="auto"/>
        <w:ind w:firstLine="420" w:firstLineChars="150"/>
        <w:rPr>
          <w:rFonts w:hint="eastAsia" w:ascii="仿宋" w:hAnsi="仿宋" w:eastAsia="仿宋" w:cs="仿宋"/>
          <w:color w:val="000000"/>
          <w:sz w:val="28"/>
          <w:szCs w:val="28"/>
          <w:highlight w:val="none"/>
          <w:lang w:val="en-GB"/>
        </w:rPr>
      </w:pPr>
      <w:r>
        <w:rPr>
          <w:rFonts w:hint="eastAsia" w:ascii="仿宋" w:hAnsi="仿宋" w:eastAsia="仿宋" w:cs="仿宋"/>
          <w:color w:val="000000"/>
          <w:sz w:val="28"/>
          <w:szCs w:val="28"/>
          <w:highlight w:val="none"/>
          <w:lang w:val="en-GB"/>
        </w:rPr>
        <w:t>二、供货范围及设备参数</w:t>
      </w: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三．制造技术要求</w:t>
      </w: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四、</w:t>
      </w:r>
      <w:r>
        <w:rPr>
          <w:rFonts w:hint="eastAsia" w:ascii="仿宋" w:hAnsi="仿宋" w:eastAsia="仿宋" w:cs="仿宋"/>
          <w:color w:val="000000"/>
          <w:sz w:val="28"/>
          <w:szCs w:val="28"/>
          <w:highlight w:val="none"/>
          <w:lang w:val="en-GB"/>
        </w:rPr>
        <w:t>验收及技术服务</w:t>
      </w: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五、提供资料</w:t>
      </w: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六、交货时间及地点</w:t>
      </w: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七、其它</w:t>
      </w: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420" w:firstLineChars="150"/>
        <w:rPr>
          <w:rFonts w:hint="eastAsia" w:ascii="仿宋" w:hAnsi="仿宋" w:eastAsia="仿宋" w:cs="仿宋"/>
          <w:color w:val="000000"/>
          <w:sz w:val="28"/>
          <w:szCs w:val="28"/>
          <w:highlight w:val="none"/>
        </w:rPr>
      </w:pPr>
    </w:p>
    <w:p>
      <w:pPr>
        <w:spacing w:line="360" w:lineRule="auto"/>
        <w:ind w:firstLine="980" w:firstLineChars="350"/>
        <w:rPr>
          <w:rFonts w:hint="eastAsia" w:ascii="仿宋" w:hAnsi="仿宋" w:eastAsia="仿宋" w:cs="仿宋"/>
          <w:color w:val="000000"/>
          <w:sz w:val="28"/>
          <w:szCs w:val="28"/>
          <w:highlight w:val="none"/>
          <w:u w:val="single"/>
          <w:lang w:val="en-US" w:eastAsia="zh-CN"/>
        </w:rPr>
      </w:pPr>
      <w:r>
        <w:rPr>
          <w:rFonts w:hint="eastAsia" w:ascii="仿宋" w:hAnsi="仿宋" w:eastAsia="仿宋" w:cs="仿宋"/>
          <w:color w:val="000000"/>
          <w:sz w:val="28"/>
          <w:szCs w:val="28"/>
          <w:highlight w:val="none"/>
        </w:rPr>
        <w:t>甘肃酒钢集团宏兴钢铁股份有限公司动力厂（以下称甲方）与</w:t>
      </w:r>
      <w:r>
        <w:rPr>
          <w:rFonts w:hint="eastAsia" w:ascii="仿宋" w:hAnsi="仿宋" w:eastAsia="仿宋" w:cs="仿宋"/>
          <w:color w:val="000000"/>
          <w:sz w:val="28"/>
          <w:szCs w:val="28"/>
          <w:highlight w:val="none"/>
          <w:u w:val="single"/>
          <w:lang w:val="en-US" w:eastAsia="zh-CN"/>
        </w:rPr>
        <w:t xml:space="preserve">     </w:t>
      </w:r>
    </w:p>
    <w:p>
      <w:pPr>
        <w:spacing w:line="360" w:lineRule="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u w:val="none"/>
          <w:lang w:val="en-US" w:eastAsia="zh-CN"/>
        </w:rPr>
        <w:t xml:space="preserve"> </w:t>
      </w:r>
      <w:r>
        <w:rPr>
          <w:rFonts w:hint="eastAsia" w:ascii="仿宋" w:hAnsi="仿宋" w:eastAsia="仿宋" w:cs="仿宋"/>
          <w:color w:val="000000"/>
          <w:sz w:val="28"/>
          <w:szCs w:val="28"/>
          <w:highlight w:val="none"/>
        </w:rPr>
        <w:t>（以下称乙方）就甲方总镍在线分析仪主板采购经双方协商，达成如下技术协议：</w:t>
      </w: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一、总则</w:t>
      </w: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1.1本技术协议所提出的是最低标准的技术要求，并未对一切技术细节作出规定，也未充分引述有关标准和规范的条文，乙方应保证提供符合有关标准和技术文件的优质产品。</w:t>
      </w: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1.2 乙方提供的设备必须具有国内同行业近几年内的先进制造水平，采用先进工艺，合格材料，成熟的技术或专利技术。</w:t>
      </w: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1.3乙方提供的设备必须是全新、规范、先进的高质量可靠产品，能够确保连续稳定的工作。</w:t>
      </w: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1.4乙方提供货物的制造，材料的选择，都应按照国内外通用的现行标准和相应的技术规范执行，而这些标准和技术规范应为合同签字日为止最新公布发行的标准和技术规范。</w:t>
      </w: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1.5乙方须对总镍在线分析仪</w:t>
      </w:r>
      <w:r>
        <w:rPr>
          <w:rFonts w:hint="eastAsia" w:ascii="仿宋" w:hAnsi="仿宋" w:eastAsia="仿宋" w:cs="仿宋"/>
          <w:color w:val="000000"/>
          <w:sz w:val="28"/>
          <w:szCs w:val="28"/>
          <w:highlight w:val="none"/>
          <w:lang w:eastAsia="zh-CN"/>
        </w:rPr>
        <w:t>主板</w:t>
      </w:r>
      <w:r>
        <w:rPr>
          <w:rFonts w:hint="eastAsia" w:ascii="仿宋" w:hAnsi="仿宋" w:eastAsia="仿宋" w:cs="仿宋"/>
          <w:color w:val="000000"/>
          <w:sz w:val="28"/>
          <w:szCs w:val="28"/>
          <w:highlight w:val="none"/>
        </w:rPr>
        <w:t>的完整性、合理性和设计质量</w:t>
      </w:r>
      <w:r>
        <w:rPr>
          <w:rFonts w:hint="eastAsia" w:ascii="仿宋" w:hAnsi="仿宋" w:eastAsia="仿宋" w:cs="仿宋"/>
          <w:color w:val="000000"/>
          <w:sz w:val="28"/>
          <w:szCs w:val="28"/>
          <w:highlight w:val="none"/>
          <w:lang w:eastAsia="zh-CN"/>
        </w:rPr>
        <w:t>、安装调试</w:t>
      </w:r>
      <w:r>
        <w:rPr>
          <w:rFonts w:hint="eastAsia" w:ascii="仿宋" w:hAnsi="仿宋" w:eastAsia="仿宋" w:cs="仿宋"/>
          <w:color w:val="000000"/>
          <w:sz w:val="28"/>
          <w:szCs w:val="28"/>
          <w:highlight w:val="none"/>
        </w:rPr>
        <w:t>承担全部责任。</w:t>
      </w: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1.6乙方在合同货物制造中，发生侵犯专利的行为时其侵权责任与甲方无关。</w:t>
      </w:r>
    </w:p>
    <w:p>
      <w:pPr>
        <w:rPr>
          <w:rFonts w:ascii="仿宋_GB2312" w:hAnsi="仿宋_GB2312" w:eastAsia="仿宋_GB2312" w:cs="仿宋_GB2312"/>
          <w:b/>
          <w:bCs/>
          <w:sz w:val="30"/>
          <w:szCs w:val="30"/>
          <w:highlight w:val="none"/>
          <w:lang w:val="en-GB"/>
        </w:rPr>
      </w:pPr>
      <w:r>
        <w:rPr>
          <w:rFonts w:hint="eastAsia" w:ascii="仿宋_GB2312" w:hAnsi="仿宋_GB2312" w:eastAsia="仿宋_GB2312" w:cs="仿宋_GB2312"/>
          <w:b/>
          <w:bCs/>
          <w:sz w:val="30"/>
          <w:szCs w:val="30"/>
          <w:highlight w:val="none"/>
          <w:lang w:val="en-GB"/>
        </w:rPr>
        <w:t>二、供货范围及设备参数</w:t>
      </w:r>
    </w:p>
    <w:p>
      <w:pPr>
        <w:pStyle w:val="13"/>
        <w:ind w:firstLine="281" w:firstLineChars="1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1.供货范围</w:t>
      </w:r>
    </w:p>
    <w:p>
      <w:pPr>
        <w:pStyle w:val="13"/>
        <w:ind w:firstLine="281" w:firstLineChars="100"/>
        <w:rPr>
          <w:rFonts w:hint="eastAsia" w:ascii="仿宋" w:hAnsi="仿宋" w:eastAsia="仿宋" w:cs="仿宋"/>
          <w:b/>
          <w:bCs/>
          <w:sz w:val="28"/>
          <w:szCs w:val="28"/>
          <w:highlight w:val="none"/>
        </w:rPr>
      </w:pPr>
    </w:p>
    <w:p>
      <w:pPr>
        <w:pStyle w:val="13"/>
        <w:ind w:firstLine="281" w:firstLineChars="100"/>
        <w:rPr>
          <w:rFonts w:hint="eastAsia" w:ascii="仿宋" w:hAnsi="仿宋" w:eastAsia="仿宋" w:cs="仿宋"/>
          <w:b/>
          <w:bCs/>
          <w:sz w:val="28"/>
          <w:szCs w:val="28"/>
          <w:highlight w:val="none"/>
        </w:rPr>
      </w:pPr>
    </w:p>
    <w:p>
      <w:pPr>
        <w:pStyle w:val="13"/>
        <w:ind w:firstLine="281" w:firstLineChars="100"/>
        <w:rPr>
          <w:rFonts w:hint="eastAsia" w:ascii="仿宋" w:hAnsi="仿宋" w:eastAsia="仿宋" w:cs="仿宋"/>
          <w:b/>
          <w:bCs/>
          <w:sz w:val="28"/>
          <w:szCs w:val="28"/>
          <w:highlight w:val="none"/>
        </w:rPr>
      </w:pPr>
    </w:p>
    <w:p>
      <w:pPr>
        <w:pStyle w:val="13"/>
        <w:ind w:firstLine="281" w:firstLineChars="100"/>
        <w:rPr>
          <w:rFonts w:hint="eastAsia" w:ascii="仿宋" w:hAnsi="仿宋" w:eastAsia="仿宋" w:cs="仿宋"/>
          <w:b/>
          <w:bCs/>
          <w:sz w:val="28"/>
          <w:szCs w:val="28"/>
          <w:highlight w:val="none"/>
        </w:rPr>
      </w:pPr>
    </w:p>
    <w:p>
      <w:pPr>
        <w:pStyle w:val="13"/>
        <w:ind w:firstLine="281" w:firstLineChars="100"/>
        <w:rPr>
          <w:rFonts w:hint="eastAsia" w:ascii="仿宋" w:hAnsi="仿宋" w:eastAsia="仿宋" w:cs="仿宋"/>
          <w:b/>
          <w:bCs/>
          <w:sz w:val="28"/>
          <w:szCs w:val="28"/>
          <w:highlight w:val="none"/>
        </w:rPr>
      </w:pPr>
    </w:p>
    <w:tbl>
      <w:tblPr>
        <w:tblStyle w:val="10"/>
        <w:tblW w:w="9150" w:type="dxa"/>
        <w:tblInd w:w="0" w:type="dxa"/>
        <w:tblLayout w:type="fixed"/>
        <w:tblCellMar>
          <w:top w:w="0" w:type="dxa"/>
          <w:left w:w="108" w:type="dxa"/>
          <w:bottom w:w="0" w:type="dxa"/>
          <w:right w:w="108" w:type="dxa"/>
        </w:tblCellMar>
      </w:tblPr>
      <w:tblGrid>
        <w:gridCol w:w="1170"/>
        <w:gridCol w:w="1365"/>
        <w:gridCol w:w="3810"/>
        <w:gridCol w:w="1680"/>
        <w:gridCol w:w="1125"/>
      </w:tblGrid>
      <w:tr>
        <w:tblPrEx>
          <w:tblCellMar>
            <w:top w:w="0" w:type="dxa"/>
            <w:left w:w="108" w:type="dxa"/>
            <w:bottom w:w="0" w:type="dxa"/>
            <w:right w:w="108" w:type="dxa"/>
          </w:tblCellMar>
        </w:tblPrEx>
        <w:trPr>
          <w:trHeight w:val="653" w:hRule="atLeast"/>
        </w:trPr>
        <w:tc>
          <w:tcPr>
            <w:tcW w:w="117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8"/>
                <w:szCs w:val="28"/>
                <w:highlight w:val="none"/>
              </w:rPr>
            </w:pPr>
            <w:r>
              <w:rPr>
                <w:rFonts w:hint="eastAsia" w:ascii="仿宋" w:hAnsi="仿宋" w:eastAsia="仿宋" w:cs="仿宋"/>
                <w:sz w:val="28"/>
                <w:szCs w:val="28"/>
                <w:highlight w:val="none"/>
              </w:rPr>
              <w:t>物料名称</w:t>
            </w:r>
          </w:p>
        </w:tc>
        <w:tc>
          <w:tcPr>
            <w:tcW w:w="3810" w:type="dxa"/>
            <w:tcBorders>
              <w:top w:val="single" w:color="auto" w:sz="4" w:space="0"/>
              <w:left w:val="single" w:color="auto" w:sz="4" w:space="0"/>
              <w:bottom w:val="single" w:color="auto" w:sz="4" w:space="0"/>
              <w:right w:val="single" w:color="auto" w:sz="4" w:space="0"/>
            </w:tcBorders>
            <w:vAlign w:val="center"/>
          </w:tcPr>
          <w:p>
            <w:pPr>
              <w:ind w:firstLine="1120" w:firstLineChars="400"/>
              <w:rPr>
                <w:rFonts w:ascii="仿宋" w:hAnsi="仿宋" w:eastAsia="仿宋" w:cs="仿宋"/>
                <w:sz w:val="28"/>
                <w:szCs w:val="28"/>
                <w:highlight w:val="none"/>
              </w:rPr>
            </w:pPr>
            <w:r>
              <w:rPr>
                <w:rFonts w:hint="eastAsia" w:ascii="仿宋" w:hAnsi="仿宋" w:eastAsia="仿宋" w:cs="仿宋"/>
                <w:sz w:val="28"/>
                <w:szCs w:val="28"/>
                <w:highlight w:val="none"/>
              </w:rPr>
              <w:t>规格型号</w:t>
            </w:r>
          </w:p>
        </w:tc>
        <w:tc>
          <w:tcPr>
            <w:tcW w:w="168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8"/>
                <w:szCs w:val="28"/>
                <w:highlight w:val="none"/>
              </w:rPr>
            </w:pPr>
            <w:r>
              <w:rPr>
                <w:rFonts w:hint="eastAsia" w:ascii="仿宋" w:hAnsi="仿宋" w:eastAsia="仿宋" w:cs="仿宋"/>
                <w:sz w:val="28"/>
                <w:szCs w:val="28"/>
                <w:highlight w:val="none"/>
              </w:rPr>
              <w:t>物料编码</w:t>
            </w: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8"/>
                <w:szCs w:val="28"/>
                <w:highlight w:val="none"/>
              </w:rPr>
            </w:pPr>
            <w:r>
              <w:rPr>
                <w:rFonts w:hint="eastAsia" w:ascii="仿宋" w:hAnsi="仿宋" w:eastAsia="仿宋" w:cs="仿宋"/>
                <w:sz w:val="28"/>
                <w:szCs w:val="28"/>
                <w:highlight w:val="none"/>
              </w:rPr>
              <w:t>数量</w:t>
            </w:r>
          </w:p>
        </w:tc>
      </w:tr>
      <w:tr>
        <w:tblPrEx>
          <w:tblCellMar>
            <w:top w:w="0" w:type="dxa"/>
            <w:left w:w="108" w:type="dxa"/>
            <w:bottom w:w="0" w:type="dxa"/>
            <w:right w:w="108" w:type="dxa"/>
          </w:tblCellMar>
        </w:tblPrEx>
        <w:trPr>
          <w:trHeight w:val="1611" w:hRule="atLeast"/>
        </w:trPr>
        <w:tc>
          <w:tcPr>
            <w:tcW w:w="117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8"/>
                <w:szCs w:val="28"/>
                <w:highlight w:val="none"/>
              </w:rPr>
            </w:pPr>
            <w:r>
              <w:rPr>
                <w:rFonts w:hint="eastAsia" w:ascii="仿宋" w:hAnsi="仿宋" w:eastAsia="仿宋" w:cs="仿宋"/>
                <w:color w:val="333333"/>
                <w:sz w:val="28"/>
                <w:szCs w:val="28"/>
                <w:highlight w:val="none"/>
                <w:shd w:val="clear" w:color="auto" w:fill="FFFFFF"/>
              </w:rPr>
              <w:t>总镍在线分析仪主板</w:t>
            </w:r>
          </w:p>
        </w:tc>
        <w:tc>
          <w:tcPr>
            <w:tcW w:w="3810" w:type="dxa"/>
            <w:tcBorders>
              <w:top w:val="single" w:color="auto" w:sz="4" w:space="0"/>
              <w:left w:val="single" w:color="auto" w:sz="4" w:space="0"/>
              <w:bottom w:val="single" w:color="auto" w:sz="4" w:space="0"/>
              <w:right w:val="single" w:color="auto" w:sz="4" w:space="0"/>
            </w:tcBorders>
            <w:vAlign w:val="center"/>
          </w:tcPr>
          <w:p>
            <w:pPr>
              <w:jc w:val="both"/>
              <w:rPr>
                <w:rFonts w:ascii="仿宋" w:hAnsi="仿宋" w:eastAsia="仿宋" w:cs="仿宋"/>
                <w:sz w:val="28"/>
                <w:szCs w:val="28"/>
                <w:highlight w:val="none"/>
              </w:rPr>
            </w:pPr>
            <w:r>
              <w:rPr>
                <w:rFonts w:hint="eastAsia" w:ascii="仿宋" w:hAnsi="仿宋" w:eastAsia="仿宋" w:cs="仿宋"/>
                <w:sz w:val="28"/>
                <w:szCs w:val="28"/>
                <w:highlight w:val="none"/>
              </w:rPr>
              <w:t>HMA-TNI 7468180U</w:t>
            </w:r>
          </w:p>
        </w:tc>
        <w:tc>
          <w:tcPr>
            <w:tcW w:w="168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8"/>
                <w:szCs w:val="28"/>
                <w:highlight w:val="none"/>
              </w:rPr>
            </w:pPr>
            <w:r>
              <w:rPr>
                <w:rFonts w:hint="eastAsia" w:ascii="仿宋" w:hAnsi="仿宋" w:eastAsia="仿宋" w:cs="仿宋"/>
                <w:sz w:val="28"/>
                <w:szCs w:val="28"/>
                <w:highlight w:val="none"/>
              </w:rPr>
              <w:t>70453940</w:t>
            </w: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r>
    </w:tbl>
    <w:p>
      <w:pPr>
        <w:pStyle w:val="17"/>
        <w:ind w:firstLine="560"/>
        <w:rPr>
          <w:rFonts w:hint="eastAsia" w:ascii="仿宋" w:hAnsi="仿宋" w:eastAsia="仿宋" w:cs="仿宋"/>
          <w:color w:val="000000"/>
          <w:kern w:val="2"/>
          <w:sz w:val="28"/>
          <w:szCs w:val="28"/>
          <w:highlight w:val="none"/>
          <w:lang w:val="en-US" w:eastAsia="zh-CN" w:bidi="ar-SA"/>
        </w:rPr>
      </w:pPr>
      <w:r>
        <w:rPr>
          <w:rFonts w:hint="eastAsia" w:ascii="仿宋" w:hAnsi="仿宋" w:eastAsia="仿宋" w:cs="仿宋"/>
          <w:color w:val="000000"/>
          <w:kern w:val="2"/>
          <w:sz w:val="28"/>
          <w:szCs w:val="28"/>
          <w:highlight w:val="none"/>
          <w:lang w:val="en-US" w:eastAsia="zh-CN" w:bidi="ar-SA"/>
        </w:rPr>
        <w:t>主板的调试由乙方负责，调试所需材料的由乙方提供。</w:t>
      </w:r>
    </w:p>
    <w:p>
      <w:pPr>
        <w:pStyle w:val="17"/>
        <w:ind w:firstLine="537" w:firstLineChars="192"/>
        <w:rPr>
          <w:rFonts w:hint="eastAsia" w:ascii="仿宋" w:hAnsi="仿宋" w:eastAsia="仿宋" w:cs="仿宋"/>
          <w:color w:val="000000"/>
          <w:kern w:val="2"/>
          <w:sz w:val="28"/>
          <w:szCs w:val="28"/>
          <w:highlight w:val="none"/>
          <w:lang w:val="en-US" w:eastAsia="zh-CN" w:bidi="ar-SA"/>
        </w:rPr>
      </w:pPr>
      <w:r>
        <w:rPr>
          <w:rFonts w:hint="eastAsia" w:ascii="仿宋" w:hAnsi="仿宋" w:eastAsia="仿宋" w:cs="仿宋"/>
          <w:color w:val="000000"/>
          <w:kern w:val="2"/>
          <w:sz w:val="28"/>
          <w:szCs w:val="28"/>
          <w:highlight w:val="none"/>
          <w:lang w:val="en-US" w:eastAsia="zh-CN" w:bidi="ar-SA"/>
        </w:rPr>
        <w:t>乙方保证所提供主板运行方式与原设备一致。</w:t>
      </w:r>
      <w:bookmarkStart w:id="1" w:name="_GoBack"/>
      <w:bookmarkEnd w:id="1"/>
    </w:p>
    <w:p>
      <w:pPr>
        <w:pStyle w:val="13"/>
        <w:numPr>
          <w:ilvl w:val="0"/>
          <w:numId w:val="0"/>
        </w:numPr>
        <w:ind w:firstLine="843" w:firstLineChars="300"/>
        <w:rPr>
          <w:rFonts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rPr>
        <w:t>设备参数</w:t>
      </w:r>
    </w:p>
    <w:p>
      <w:pPr>
        <w:spacing w:line="360" w:lineRule="auto"/>
        <w:ind w:firstLine="700" w:firstLineChars="2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测量方式：</w:t>
      </w:r>
      <w:r>
        <w:rPr>
          <w:rFonts w:hint="eastAsia" w:ascii="仿宋" w:hAnsi="仿宋" w:eastAsia="仿宋" w:cs="仿宋"/>
          <w:color w:val="000000"/>
          <w:sz w:val="28"/>
          <w:szCs w:val="28"/>
          <w:highlight w:val="none"/>
        </w:rPr>
        <w:tab/>
      </w:r>
      <w:r>
        <w:rPr>
          <w:rFonts w:hint="eastAsia" w:ascii="仿宋" w:hAnsi="仿宋" w:eastAsia="仿宋" w:cs="仿宋"/>
          <w:color w:val="000000"/>
          <w:sz w:val="28"/>
          <w:szCs w:val="28"/>
          <w:highlight w:val="none"/>
        </w:rPr>
        <w:t>二甲基乙二肟分光光度法</w:t>
      </w:r>
    </w:p>
    <w:p>
      <w:pPr>
        <w:spacing w:line="360" w:lineRule="auto"/>
        <w:ind w:firstLine="700" w:firstLineChars="2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测量范围：</w:t>
      </w:r>
      <w:r>
        <w:rPr>
          <w:rFonts w:hint="eastAsia" w:ascii="仿宋" w:hAnsi="仿宋" w:eastAsia="仿宋" w:cs="仿宋"/>
          <w:color w:val="000000"/>
          <w:sz w:val="28"/>
          <w:szCs w:val="28"/>
          <w:highlight w:val="none"/>
        </w:rPr>
        <w:tab/>
      </w:r>
      <w:r>
        <w:rPr>
          <w:rFonts w:hint="eastAsia" w:ascii="仿宋" w:hAnsi="仿宋" w:eastAsia="仿宋" w:cs="仿宋"/>
          <w:color w:val="000000"/>
          <w:sz w:val="28"/>
          <w:szCs w:val="28"/>
          <w:highlight w:val="none"/>
        </w:rPr>
        <w:t>0.1~10 mg/L</w:t>
      </w:r>
    </w:p>
    <w:p>
      <w:pPr>
        <w:spacing w:line="360" w:lineRule="auto"/>
        <w:ind w:firstLine="700" w:firstLineChars="2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输出信号：</w:t>
      </w:r>
      <w:r>
        <w:rPr>
          <w:rFonts w:hint="eastAsia" w:ascii="仿宋" w:hAnsi="仿宋" w:eastAsia="仿宋" w:cs="仿宋"/>
          <w:color w:val="000000"/>
          <w:sz w:val="28"/>
          <w:szCs w:val="28"/>
          <w:highlight w:val="none"/>
        </w:rPr>
        <w:tab/>
      </w:r>
      <w:r>
        <w:rPr>
          <w:rFonts w:hint="eastAsia" w:ascii="仿宋" w:hAnsi="仿宋" w:eastAsia="仿宋" w:cs="仿宋"/>
          <w:color w:val="000000"/>
          <w:sz w:val="28"/>
          <w:szCs w:val="28"/>
          <w:highlight w:val="none"/>
        </w:rPr>
        <w:t>模拟输出.....DC4-20mA×2、负载电阻600Ω以下、绝缘型</w:t>
      </w:r>
    </w:p>
    <w:p>
      <w:pPr>
        <w:spacing w:line="360" w:lineRule="auto"/>
        <w:ind w:firstLine="700" w:firstLineChars="2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数字输出：RS-485 MODBUS-RTU、RS-232C</w:t>
      </w:r>
    </w:p>
    <w:p>
      <w:pPr>
        <w:spacing w:line="360" w:lineRule="auto"/>
        <w:ind w:firstLine="700" w:firstLineChars="2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触点输出：转换型×2（触点容量：AC200V、3A及DC24V、3A、电阻性负载）</w:t>
      </w:r>
    </w:p>
    <w:p>
      <w:pPr>
        <w:spacing w:line="360" w:lineRule="auto"/>
        <w:ind w:firstLine="700" w:firstLineChars="250"/>
        <w:rPr>
          <w:rFonts w:hint="eastAsia" w:ascii="仿宋" w:hAnsi="仿宋" w:eastAsia="仿宋" w:cs="仿宋"/>
          <w:color w:val="000000"/>
          <w:sz w:val="28"/>
          <w:szCs w:val="28"/>
          <w:highlight w:val="none"/>
        </w:rPr>
      </w:pPr>
      <w:bookmarkStart w:id="0" w:name="OLE_LINK1"/>
      <w:r>
        <w:rPr>
          <w:rFonts w:hint="eastAsia" w:ascii="仿宋" w:hAnsi="仿宋" w:eastAsia="仿宋" w:cs="仿宋"/>
          <w:color w:val="000000"/>
          <w:sz w:val="28"/>
          <w:szCs w:val="28"/>
          <w:highlight w:val="none"/>
        </w:rPr>
        <w:t>环境温度、湿度：10~40℃、85％（RH）以下（无冷凝）</w:t>
      </w:r>
    </w:p>
    <w:bookmarkEnd w:id="0"/>
    <w:p>
      <w:pPr>
        <w:spacing w:line="360" w:lineRule="auto"/>
        <w:ind w:firstLine="700" w:firstLineChars="2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电源:</w:t>
      </w:r>
      <w:r>
        <w:rPr>
          <w:rFonts w:hint="eastAsia" w:ascii="仿宋" w:hAnsi="仿宋" w:eastAsia="仿宋" w:cs="仿宋"/>
          <w:color w:val="000000"/>
          <w:sz w:val="28"/>
          <w:szCs w:val="28"/>
          <w:highlight w:val="none"/>
        </w:rPr>
        <w:tab/>
      </w:r>
      <w:r>
        <w:rPr>
          <w:rFonts w:hint="eastAsia" w:ascii="仿宋" w:hAnsi="仿宋" w:eastAsia="仿宋" w:cs="仿宋"/>
          <w:color w:val="000000"/>
          <w:sz w:val="28"/>
          <w:szCs w:val="28"/>
          <w:highlight w:val="none"/>
        </w:rPr>
        <w:t>AC200V±10% 50Hz</w:t>
      </w:r>
    </w:p>
    <w:p>
      <w:pPr>
        <w:spacing w:line="360" w:lineRule="auto"/>
        <w:ind w:firstLine="700" w:firstLineChars="2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功耗:</w:t>
      </w:r>
      <w:r>
        <w:rPr>
          <w:rFonts w:hint="eastAsia" w:ascii="仿宋" w:hAnsi="仿宋" w:eastAsia="仿宋" w:cs="仿宋"/>
          <w:color w:val="000000"/>
          <w:sz w:val="28"/>
          <w:szCs w:val="28"/>
          <w:highlight w:val="none"/>
        </w:rPr>
        <w:tab/>
      </w:r>
      <w:r>
        <w:rPr>
          <w:rFonts w:hint="eastAsia" w:ascii="仿宋" w:hAnsi="仿宋" w:eastAsia="仿宋" w:cs="仿宋"/>
          <w:color w:val="000000"/>
          <w:sz w:val="28"/>
          <w:szCs w:val="28"/>
          <w:highlight w:val="none"/>
        </w:rPr>
        <w:t>380VA(最大) 130VA（平均）</w:t>
      </w:r>
    </w:p>
    <w:p>
      <w:pPr>
        <w:pStyle w:val="13"/>
        <w:ind w:firstLine="0" w:firstLineChars="0"/>
        <w:rPr>
          <w:rFonts w:ascii="仿宋" w:hAnsi="仿宋" w:eastAsia="仿宋" w:cs="仿宋"/>
          <w:color w:val="000000"/>
          <w:sz w:val="28"/>
          <w:szCs w:val="28"/>
          <w:highlight w:val="none"/>
        </w:rPr>
      </w:pPr>
      <w:r>
        <w:rPr>
          <w:rFonts w:hint="eastAsia" w:ascii="仿宋" w:hAnsi="仿宋" w:eastAsia="仿宋" w:cs="仿宋"/>
          <w:b/>
          <w:bCs/>
          <w:sz w:val="28"/>
          <w:szCs w:val="28"/>
          <w:highlight w:val="none"/>
        </w:rPr>
        <w:t>三.制造技术要求</w:t>
      </w:r>
    </w:p>
    <w:p>
      <w:pPr>
        <w:spacing w:line="360" w:lineRule="auto"/>
        <w:rPr>
          <w:rFonts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1、设备运行的环境条件</w:t>
      </w:r>
    </w:p>
    <w:p>
      <w:pPr>
        <w:spacing w:line="360" w:lineRule="auto"/>
        <w:ind w:firstLine="420" w:firstLineChars="15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环境温度、湿度：</w:t>
      </w:r>
      <w:r>
        <w:rPr>
          <w:rFonts w:hint="eastAsia" w:ascii="仿宋" w:hAnsi="仿宋" w:eastAsia="仿宋" w:cs="仿宋"/>
          <w:color w:val="000000"/>
          <w:sz w:val="28"/>
          <w:szCs w:val="28"/>
          <w:highlight w:val="none"/>
        </w:rPr>
        <w:tab/>
      </w:r>
      <w:r>
        <w:rPr>
          <w:rFonts w:hint="eastAsia" w:ascii="仿宋" w:hAnsi="仿宋" w:eastAsia="仿宋" w:cs="仿宋"/>
          <w:color w:val="000000"/>
          <w:sz w:val="28"/>
          <w:szCs w:val="28"/>
          <w:highlight w:val="none"/>
        </w:rPr>
        <w:t>10~40℃、85％（RH）以下（无冷凝）</w:t>
      </w:r>
    </w:p>
    <w:p>
      <w:pPr>
        <w:spacing w:line="360" w:lineRule="auto"/>
        <w:ind w:firstLine="420" w:firstLineChars="15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相对湿度:          90%（25℃时）</w:t>
      </w:r>
    </w:p>
    <w:p>
      <w:pPr>
        <w:spacing w:line="360" w:lineRule="auto"/>
        <w:ind w:firstLine="420" w:firstLineChars="15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地震烈度:          8度</w:t>
      </w:r>
    </w:p>
    <w:p>
      <w:pPr>
        <w:spacing w:line="360" w:lineRule="auto"/>
        <w:ind w:firstLine="420" w:firstLineChars="15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海拔高度:          2000m</w:t>
      </w:r>
    </w:p>
    <w:p>
      <w:pPr>
        <w:rPr>
          <w:rFonts w:ascii="仿宋" w:hAnsi="仿宋" w:eastAsia="仿宋" w:cs="仿宋"/>
          <w:b/>
          <w:bCs/>
          <w:sz w:val="28"/>
          <w:szCs w:val="28"/>
          <w:highlight w:val="none"/>
        </w:rPr>
      </w:pPr>
      <w:r>
        <w:rPr>
          <w:rFonts w:hint="eastAsia" w:ascii="仿宋" w:hAnsi="仿宋" w:eastAsia="仿宋" w:cs="仿宋"/>
          <w:b/>
          <w:bCs/>
          <w:sz w:val="28"/>
          <w:szCs w:val="28"/>
          <w:highlight w:val="none"/>
        </w:rPr>
        <w:t>四、</w:t>
      </w:r>
      <w:r>
        <w:rPr>
          <w:rFonts w:hint="eastAsia" w:ascii="仿宋" w:hAnsi="仿宋" w:eastAsia="仿宋" w:cs="仿宋"/>
          <w:b/>
          <w:bCs/>
          <w:sz w:val="28"/>
          <w:szCs w:val="28"/>
          <w:highlight w:val="none"/>
          <w:lang w:val="en-GB"/>
        </w:rPr>
        <w:t>验收及技术服务</w:t>
      </w:r>
    </w:p>
    <w:p>
      <w:pPr>
        <w:spacing w:line="360" w:lineRule="auto"/>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1.设备满足的技术标准以现行国家标准及两家共同制定的有关技术措施为依据，国标未列部分参考IEC标准。技术要求所使用的标准如遇与卖方所执行的标准发生矛盾时，按水平较高的标准执行。</w:t>
      </w:r>
    </w:p>
    <w:p>
      <w:pPr>
        <w:pStyle w:val="17"/>
        <w:ind w:firstLine="56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2.</w:t>
      </w:r>
      <w:r>
        <w:rPr>
          <w:rFonts w:hint="eastAsia" w:ascii="仿宋" w:hAnsi="仿宋" w:eastAsia="仿宋" w:cs="仿宋"/>
          <w:color w:val="000000"/>
          <w:kern w:val="2"/>
          <w:sz w:val="28"/>
          <w:szCs w:val="28"/>
          <w:highlight w:val="none"/>
          <w:lang w:val="en-US" w:eastAsia="zh-CN" w:bidi="ar-SA"/>
        </w:rPr>
        <w:t>主板的安装调试由乙方负责（费用包含在本次招标报价内），安装所需材料由乙方提供。乙方保证所提供主板运行方式与原设备一致</w:t>
      </w:r>
      <w:r>
        <w:rPr>
          <w:rFonts w:hint="eastAsia" w:ascii="仿宋" w:hAnsi="仿宋" w:eastAsia="仿宋" w:cs="仿宋"/>
          <w:sz w:val="28"/>
          <w:szCs w:val="28"/>
          <w:highlight w:val="none"/>
        </w:rPr>
        <w:t>。</w:t>
      </w:r>
    </w:p>
    <w:p>
      <w:pPr>
        <w:rPr>
          <w:rFonts w:ascii="仿宋" w:hAnsi="仿宋" w:eastAsia="仿宋" w:cs="仿宋"/>
          <w:b/>
          <w:bCs/>
          <w:sz w:val="28"/>
          <w:szCs w:val="28"/>
          <w:highlight w:val="none"/>
        </w:rPr>
      </w:pPr>
      <w:r>
        <w:rPr>
          <w:rFonts w:hint="eastAsia" w:ascii="仿宋" w:hAnsi="仿宋" w:eastAsia="仿宋" w:cs="仿宋"/>
          <w:b/>
          <w:bCs/>
          <w:sz w:val="28"/>
          <w:szCs w:val="28"/>
          <w:highlight w:val="none"/>
        </w:rPr>
        <w:t>五、提供资料</w:t>
      </w:r>
    </w:p>
    <w:p>
      <w:pPr>
        <w:spacing w:line="360" w:lineRule="auto"/>
        <w:ind w:firstLine="420" w:firstLineChars="150"/>
        <w:rPr>
          <w:rFonts w:ascii="仿宋" w:hAnsi="仿宋" w:eastAsia="仿宋" w:cs="仿宋"/>
          <w:sz w:val="28"/>
          <w:szCs w:val="28"/>
          <w:highlight w:val="none"/>
        </w:rPr>
      </w:pPr>
      <w:r>
        <w:rPr>
          <w:rFonts w:hint="eastAsia" w:ascii="仿宋" w:hAnsi="仿宋" w:eastAsia="仿宋" w:cs="仿宋"/>
          <w:sz w:val="28"/>
          <w:szCs w:val="28"/>
          <w:highlight w:val="none"/>
        </w:rPr>
        <w:t>1.在技术协议签订后的15天内,乙方向甲方提供下列技术数据：</w:t>
      </w:r>
    </w:p>
    <w:p>
      <w:pPr>
        <w:spacing w:line="360" w:lineRule="auto"/>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乙方出厂必须具有出厂检验报告、合格证、产品参数、使用说明书等相关资料，并随货交付甲方；所提供的技术资料须加盖图章，要求资料内容全面，数字准确。</w:t>
      </w:r>
    </w:p>
    <w:p>
      <w:pPr>
        <w:rPr>
          <w:rFonts w:ascii="仿宋" w:hAnsi="仿宋" w:eastAsia="仿宋" w:cs="仿宋"/>
          <w:b/>
          <w:bCs/>
          <w:sz w:val="28"/>
          <w:szCs w:val="28"/>
          <w:highlight w:val="none"/>
        </w:rPr>
      </w:pPr>
      <w:r>
        <w:rPr>
          <w:rFonts w:hint="eastAsia" w:ascii="仿宋" w:hAnsi="仿宋" w:eastAsia="仿宋" w:cs="仿宋"/>
          <w:b/>
          <w:bCs/>
          <w:sz w:val="28"/>
          <w:szCs w:val="28"/>
          <w:highlight w:val="none"/>
        </w:rPr>
        <w:t>六、交货时间及地点</w:t>
      </w:r>
    </w:p>
    <w:p>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1.交货日期和地点</w:t>
      </w:r>
    </w:p>
    <w:p>
      <w:pPr>
        <w:spacing w:line="360" w:lineRule="auto"/>
        <w:ind w:firstLine="980" w:firstLineChars="35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交货日期：</w:t>
      </w:r>
      <w:r>
        <w:rPr>
          <w:rFonts w:hint="eastAsia" w:ascii="仿宋" w:hAnsi="仿宋" w:eastAsia="仿宋" w:cs="仿宋"/>
          <w:sz w:val="28"/>
          <w:szCs w:val="28"/>
          <w:highlight w:val="none"/>
          <w:lang w:eastAsia="zh-CN"/>
        </w:rPr>
        <w:t>见商务合同</w:t>
      </w:r>
    </w:p>
    <w:p>
      <w:pPr>
        <w:spacing w:line="360" w:lineRule="auto"/>
        <w:ind w:firstLine="980" w:firstLineChars="350"/>
        <w:rPr>
          <w:rFonts w:ascii="仿宋" w:hAnsi="仿宋" w:eastAsia="仿宋" w:cs="仿宋"/>
          <w:sz w:val="28"/>
          <w:szCs w:val="28"/>
          <w:highlight w:val="none"/>
        </w:rPr>
      </w:pPr>
      <w:r>
        <w:rPr>
          <w:rFonts w:hint="eastAsia" w:ascii="仿宋" w:hAnsi="仿宋" w:eastAsia="仿宋" w:cs="仿宋"/>
          <w:sz w:val="28"/>
          <w:szCs w:val="28"/>
          <w:highlight w:val="none"/>
        </w:rPr>
        <w:t>交货地点:甘肃省嘉峪关市酒钢集团公司储运公司总库</w:t>
      </w:r>
    </w:p>
    <w:p>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2.联系方式：</w:t>
      </w:r>
    </w:p>
    <w:p>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甲方邮寄信息：甘肃酒钢集团宏兴钢铁股份公司动力厂</w:t>
      </w:r>
    </w:p>
    <w:p>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邮政编码：735100</w:t>
      </w:r>
    </w:p>
    <w:p>
      <w:pPr>
        <w:spacing w:line="360" w:lineRule="auto"/>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收件人：</w:t>
      </w:r>
      <w:r>
        <w:rPr>
          <w:rFonts w:hint="eastAsia" w:ascii="仿宋" w:hAnsi="仿宋" w:eastAsia="仿宋" w:cs="仿宋"/>
          <w:sz w:val="28"/>
          <w:szCs w:val="28"/>
          <w:highlight w:val="none"/>
          <w:lang w:eastAsia="zh-CN"/>
        </w:rPr>
        <w:t>王子龙</w:t>
      </w:r>
      <w:r>
        <w:rPr>
          <w:rFonts w:hint="eastAsia" w:ascii="仿宋" w:hAnsi="仿宋" w:eastAsia="仿宋" w:cs="仿宋"/>
          <w:sz w:val="28"/>
          <w:szCs w:val="28"/>
          <w:highlight w:val="none"/>
        </w:rPr>
        <w:t xml:space="preserve"> </w:t>
      </w:r>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电话：1</w:t>
      </w:r>
      <w:r>
        <w:rPr>
          <w:rFonts w:hint="eastAsia" w:ascii="仿宋" w:hAnsi="仿宋" w:eastAsia="仿宋" w:cs="仿宋"/>
          <w:sz w:val="28"/>
          <w:szCs w:val="28"/>
          <w:highlight w:val="none"/>
          <w:lang w:val="en-US" w:eastAsia="zh-CN"/>
        </w:rPr>
        <w:t>8394702117</w:t>
      </w:r>
      <w:r>
        <w:rPr>
          <w:rFonts w:hint="eastAsia" w:ascii="仿宋" w:hAnsi="仿宋" w:eastAsia="仿宋" w:cs="仿宋"/>
          <w:sz w:val="28"/>
          <w:szCs w:val="28"/>
          <w:highlight w:val="none"/>
        </w:rPr>
        <w:t xml:space="preserve"> </w:t>
      </w:r>
    </w:p>
    <w:p>
      <w:pPr>
        <w:spacing w:line="360" w:lineRule="auto"/>
        <w:rPr>
          <w:rFonts w:ascii="仿宋" w:hAnsi="仿宋" w:eastAsia="仿宋" w:cs="仿宋"/>
          <w:b/>
          <w:bCs/>
          <w:sz w:val="28"/>
          <w:szCs w:val="28"/>
          <w:highlight w:val="none"/>
        </w:rPr>
      </w:pPr>
      <w:r>
        <w:rPr>
          <w:rFonts w:hint="eastAsia" w:ascii="仿宋" w:hAnsi="仿宋" w:eastAsia="仿宋" w:cs="仿宋"/>
          <w:b/>
          <w:bCs/>
          <w:sz w:val="28"/>
          <w:szCs w:val="28"/>
          <w:highlight w:val="none"/>
        </w:rPr>
        <w:t>七、其他</w:t>
      </w:r>
    </w:p>
    <w:p>
      <w:pPr>
        <w:widowControl/>
        <w:spacing w:before="10" w:after="10" w:line="360" w:lineRule="auto"/>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1.本规格书内容经由甲乙双方于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时至</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时通过</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方式商定。</w:t>
      </w:r>
    </w:p>
    <w:p>
      <w:pPr>
        <w:widowControl/>
        <w:spacing w:before="10" w:after="10" w:line="360" w:lineRule="auto"/>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2甲乙双方应当就签订本规格书的相关事宜保密，不得将签订主体、时间、内容等信息透露给其他第三人。</w:t>
      </w:r>
    </w:p>
    <w:p>
      <w:pPr>
        <w:widowControl/>
        <w:spacing w:before="10" w:after="10" w:line="360" w:lineRule="auto"/>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3 若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单位不中标，本技术规格书自动失效，双方互不承担任何责任。</w:t>
      </w:r>
    </w:p>
    <w:p>
      <w:pPr>
        <w:pStyle w:val="9"/>
        <w:spacing w:before="10" w:after="10" w:line="360" w:lineRule="auto"/>
        <w:ind w:left="0" w:leftChars="0" w:firstLine="560" w:firstLineChars="200"/>
        <w:rPr>
          <w:rFonts w:ascii="仿宋" w:hAnsi="仿宋" w:eastAsia="仿宋" w:cs="仿宋"/>
          <w:szCs w:val="28"/>
          <w:highlight w:val="none"/>
        </w:rPr>
      </w:pPr>
      <w:r>
        <w:rPr>
          <w:rFonts w:hint="eastAsia" w:ascii="仿宋" w:hAnsi="仿宋" w:eastAsia="仿宋" w:cs="仿宋"/>
          <w:szCs w:val="28"/>
          <w:highlight w:val="none"/>
        </w:rPr>
        <w:t>4本协议一式四份，甲方三份，乙方一份其他未尽事宜，双方友好协商。</w:t>
      </w:r>
    </w:p>
    <w:p>
      <w:pPr>
        <w:pStyle w:val="13"/>
        <w:ind w:firstLine="560"/>
        <w:rPr>
          <w:rFonts w:ascii="仿宋" w:hAnsi="仿宋" w:eastAsia="仿宋" w:cs="仿宋"/>
          <w:sz w:val="28"/>
          <w:szCs w:val="28"/>
          <w:highlight w:val="none"/>
        </w:rPr>
      </w:pPr>
    </w:p>
    <w:p>
      <w:pPr>
        <w:ind w:firstLine="840" w:firstLineChars="300"/>
        <w:rPr>
          <w:rFonts w:ascii="仿宋" w:hAnsi="仿宋" w:eastAsia="仿宋" w:cs="仿宋"/>
          <w:sz w:val="28"/>
          <w:szCs w:val="28"/>
          <w:highlight w:val="none"/>
        </w:rPr>
      </w:pPr>
    </w:p>
    <w:p>
      <w:pPr>
        <w:ind w:firstLine="840" w:firstLineChars="300"/>
        <w:rPr>
          <w:rFonts w:ascii="仿宋" w:hAnsi="仿宋" w:eastAsia="仿宋" w:cs="仿宋"/>
          <w:sz w:val="28"/>
          <w:szCs w:val="28"/>
          <w:highlight w:val="none"/>
        </w:rPr>
      </w:pPr>
      <w:r>
        <w:rPr>
          <w:rFonts w:hint="eastAsia" w:ascii="仿宋" w:hAnsi="仿宋" w:eastAsia="仿宋" w:cs="仿宋"/>
          <w:sz w:val="28"/>
          <w:szCs w:val="28"/>
          <w:highlight w:val="none"/>
        </w:rPr>
        <w:t>甲方代表(签章):                     乙方代表(签章):</w:t>
      </w:r>
    </w:p>
    <w:p>
      <w:pPr>
        <w:ind w:firstLine="980" w:firstLineChars="350"/>
        <w:rPr>
          <w:rFonts w:ascii="仿宋" w:hAnsi="仿宋" w:eastAsia="仿宋" w:cs="仿宋"/>
          <w:sz w:val="28"/>
          <w:szCs w:val="28"/>
          <w:highlight w:val="none"/>
        </w:rPr>
      </w:pPr>
      <w:r>
        <w:rPr>
          <w:rFonts w:hint="eastAsia" w:ascii="仿宋" w:hAnsi="仿宋" w:eastAsia="仿宋" w:cs="仿宋"/>
          <w:sz w:val="28"/>
          <w:szCs w:val="28"/>
          <w:highlight w:val="none"/>
        </w:rPr>
        <w:t xml:space="preserve"> </w:t>
      </w:r>
    </w:p>
    <w:p>
      <w:pPr>
        <w:ind w:firstLine="980" w:firstLineChars="350"/>
        <w:rPr>
          <w:rFonts w:ascii="仿宋_GB2312" w:hAnsi="宋体" w:eastAsia="仿宋_GB2312"/>
          <w:sz w:val="24"/>
          <w:highlight w:val="none"/>
        </w:rPr>
      </w:pPr>
      <w:r>
        <w:rPr>
          <w:rFonts w:hint="eastAsia" w:ascii="仿宋" w:hAnsi="仿宋" w:eastAsia="仿宋" w:cs="仿宋"/>
          <w:sz w:val="28"/>
          <w:szCs w:val="28"/>
          <w:highlight w:val="none"/>
        </w:rPr>
        <w:t>年   月  日                          年</w:t>
      </w:r>
      <w:r>
        <w:rPr>
          <w:rFonts w:hint="eastAsia" w:ascii="仿宋_GB2312" w:hAnsi="宋体" w:eastAsia="仿宋_GB2312"/>
          <w:sz w:val="24"/>
          <w:highlight w:val="none"/>
        </w:rPr>
        <w:t xml:space="preserve">  月  日   </w:t>
      </w:r>
    </w:p>
    <w:sectPr>
      <w:footerReference r:id="rId3" w:type="default"/>
      <w:footerReference r:id="rId4"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4</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hMTgzMjViMzE4MDc3ZTVmMTFmODEyNjYwZDIwNjMifQ=="/>
    <w:docVar w:name="KSO_WPS_MARK_KEY" w:val="dd1467d3-2a2e-41cf-b0e9-3fb1f08266e3"/>
  </w:docVars>
  <w:rsids>
    <w:rsidRoot w:val="00C9373D"/>
    <w:rsid w:val="00004D47"/>
    <w:rsid w:val="00021099"/>
    <w:rsid w:val="000358C3"/>
    <w:rsid w:val="000427FE"/>
    <w:rsid w:val="0004318F"/>
    <w:rsid w:val="000558FB"/>
    <w:rsid w:val="00060A71"/>
    <w:rsid w:val="00084DA1"/>
    <w:rsid w:val="00090376"/>
    <w:rsid w:val="000933FD"/>
    <w:rsid w:val="000F3FD8"/>
    <w:rsid w:val="001135C9"/>
    <w:rsid w:val="001526C3"/>
    <w:rsid w:val="001647BC"/>
    <w:rsid w:val="00180B4E"/>
    <w:rsid w:val="001D08F3"/>
    <w:rsid w:val="00224D8B"/>
    <w:rsid w:val="00256D4E"/>
    <w:rsid w:val="0026011B"/>
    <w:rsid w:val="00275868"/>
    <w:rsid w:val="002941FA"/>
    <w:rsid w:val="002C5E6C"/>
    <w:rsid w:val="002E2A76"/>
    <w:rsid w:val="0030324F"/>
    <w:rsid w:val="00330F58"/>
    <w:rsid w:val="00331C2C"/>
    <w:rsid w:val="00331C96"/>
    <w:rsid w:val="00394C98"/>
    <w:rsid w:val="003C5C04"/>
    <w:rsid w:val="003F3981"/>
    <w:rsid w:val="00404D12"/>
    <w:rsid w:val="00412792"/>
    <w:rsid w:val="00441A74"/>
    <w:rsid w:val="00463EF8"/>
    <w:rsid w:val="00471792"/>
    <w:rsid w:val="00492BE2"/>
    <w:rsid w:val="004A6892"/>
    <w:rsid w:val="004C0F87"/>
    <w:rsid w:val="004C4BFA"/>
    <w:rsid w:val="004E5A91"/>
    <w:rsid w:val="004F362D"/>
    <w:rsid w:val="005257E4"/>
    <w:rsid w:val="00545969"/>
    <w:rsid w:val="00546C2D"/>
    <w:rsid w:val="00566222"/>
    <w:rsid w:val="00594A3D"/>
    <w:rsid w:val="005B27FE"/>
    <w:rsid w:val="005B50D1"/>
    <w:rsid w:val="005C23A0"/>
    <w:rsid w:val="005C2F92"/>
    <w:rsid w:val="005D610B"/>
    <w:rsid w:val="005F2098"/>
    <w:rsid w:val="00613267"/>
    <w:rsid w:val="00642D0B"/>
    <w:rsid w:val="00663681"/>
    <w:rsid w:val="00694CA1"/>
    <w:rsid w:val="006A6FD3"/>
    <w:rsid w:val="006B2D45"/>
    <w:rsid w:val="006B4D4F"/>
    <w:rsid w:val="006C5863"/>
    <w:rsid w:val="00711018"/>
    <w:rsid w:val="00723ACA"/>
    <w:rsid w:val="007259A5"/>
    <w:rsid w:val="0073439E"/>
    <w:rsid w:val="00741CE5"/>
    <w:rsid w:val="00772003"/>
    <w:rsid w:val="00782777"/>
    <w:rsid w:val="00785199"/>
    <w:rsid w:val="007B6D56"/>
    <w:rsid w:val="007C003F"/>
    <w:rsid w:val="007E2C35"/>
    <w:rsid w:val="007F4323"/>
    <w:rsid w:val="0085361C"/>
    <w:rsid w:val="008714A5"/>
    <w:rsid w:val="00880141"/>
    <w:rsid w:val="008A4FB7"/>
    <w:rsid w:val="008C017E"/>
    <w:rsid w:val="008C06A9"/>
    <w:rsid w:val="008C1309"/>
    <w:rsid w:val="00926B93"/>
    <w:rsid w:val="0099636C"/>
    <w:rsid w:val="009D4497"/>
    <w:rsid w:val="009E04A9"/>
    <w:rsid w:val="009E0CCA"/>
    <w:rsid w:val="009E5C8A"/>
    <w:rsid w:val="009F01FE"/>
    <w:rsid w:val="009F35E3"/>
    <w:rsid w:val="00A401CA"/>
    <w:rsid w:val="00A64844"/>
    <w:rsid w:val="00A6777F"/>
    <w:rsid w:val="00A71DD4"/>
    <w:rsid w:val="00A73096"/>
    <w:rsid w:val="00A83A70"/>
    <w:rsid w:val="00A879CD"/>
    <w:rsid w:val="00A97793"/>
    <w:rsid w:val="00AB4D32"/>
    <w:rsid w:val="00AD27C8"/>
    <w:rsid w:val="00AF2BBB"/>
    <w:rsid w:val="00AF46C7"/>
    <w:rsid w:val="00AF77B7"/>
    <w:rsid w:val="00B11A41"/>
    <w:rsid w:val="00B16704"/>
    <w:rsid w:val="00B54E4D"/>
    <w:rsid w:val="00B70ABE"/>
    <w:rsid w:val="00BA5F7C"/>
    <w:rsid w:val="00BD6451"/>
    <w:rsid w:val="00BE2F86"/>
    <w:rsid w:val="00C55964"/>
    <w:rsid w:val="00C610C8"/>
    <w:rsid w:val="00C63A68"/>
    <w:rsid w:val="00C91228"/>
    <w:rsid w:val="00C9373D"/>
    <w:rsid w:val="00CC424E"/>
    <w:rsid w:val="00CD4F40"/>
    <w:rsid w:val="00D2267C"/>
    <w:rsid w:val="00D55C6C"/>
    <w:rsid w:val="00D863EA"/>
    <w:rsid w:val="00D87A76"/>
    <w:rsid w:val="00DB21CB"/>
    <w:rsid w:val="00DB664A"/>
    <w:rsid w:val="00DC11F7"/>
    <w:rsid w:val="00DD7B8A"/>
    <w:rsid w:val="00DE4CFB"/>
    <w:rsid w:val="00DE627D"/>
    <w:rsid w:val="00DF4130"/>
    <w:rsid w:val="00E04B48"/>
    <w:rsid w:val="00E07FE5"/>
    <w:rsid w:val="00E14DCE"/>
    <w:rsid w:val="00E17BDE"/>
    <w:rsid w:val="00E41AC1"/>
    <w:rsid w:val="00E42135"/>
    <w:rsid w:val="00E51963"/>
    <w:rsid w:val="00E51F2A"/>
    <w:rsid w:val="00E605BB"/>
    <w:rsid w:val="00E73C5D"/>
    <w:rsid w:val="00E92C06"/>
    <w:rsid w:val="00E9480B"/>
    <w:rsid w:val="00EC0159"/>
    <w:rsid w:val="00EC6BA2"/>
    <w:rsid w:val="00EF02E2"/>
    <w:rsid w:val="00F11AB5"/>
    <w:rsid w:val="00F3364F"/>
    <w:rsid w:val="00F44F43"/>
    <w:rsid w:val="00F55A9D"/>
    <w:rsid w:val="00F64834"/>
    <w:rsid w:val="00F77607"/>
    <w:rsid w:val="00F838BD"/>
    <w:rsid w:val="00FA6D25"/>
    <w:rsid w:val="00FB64C7"/>
    <w:rsid w:val="00FD2086"/>
    <w:rsid w:val="02A80A1A"/>
    <w:rsid w:val="03F139E0"/>
    <w:rsid w:val="04D968E1"/>
    <w:rsid w:val="079337F9"/>
    <w:rsid w:val="0AC46F27"/>
    <w:rsid w:val="0B8A5092"/>
    <w:rsid w:val="0B8E420A"/>
    <w:rsid w:val="0C7D0506"/>
    <w:rsid w:val="0D40518F"/>
    <w:rsid w:val="109209DE"/>
    <w:rsid w:val="12A56222"/>
    <w:rsid w:val="13D33236"/>
    <w:rsid w:val="190D37B4"/>
    <w:rsid w:val="196176C8"/>
    <w:rsid w:val="1CD533AF"/>
    <w:rsid w:val="1DD17ED0"/>
    <w:rsid w:val="206C021E"/>
    <w:rsid w:val="21DD21F6"/>
    <w:rsid w:val="220646A2"/>
    <w:rsid w:val="22790C18"/>
    <w:rsid w:val="27091614"/>
    <w:rsid w:val="28432AE0"/>
    <w:rsid w:val="29CB5D12"/>
    <w:rsid w:val="2C3A569F"/>
    <w:rsid w:val="2DCC1502"/>
    <w:rsid w:val="30A679FA"/>
    <w:rsid w:val="31497388"/>
    <w:rsid w:val="37A93A22"/>
    <w:rsid w:val="37D95E1F"/>
    <w:rsid w:val="3C682508"/>
    <w:rsid w:val="3D4F7613"/>
    <w:rsid w:val="407A6EF0"/>
    <w:rsid w:val="43E57153"/>
    <w:rsid w:val="446042B7"/>
    <w:rsid w:val="449C2066"/>
    <w:rsid w:val="48241CFB"/>
    <w:rsid w:val="49327FFA"/>
    <w:rsid w:val="4BF929FE"/>
    <w:rsid w:val="4CEA368A"/>
    <w:rsid w:val="4D984406"/>
    <w:rsid w:val="4F0B21E4"/>
    <w:rsid w:val="53DC3C63"/>
    <w:rsid w:val="545016FA"/>
    <w:rsid w:val="554A5003"/>
    <w:rsid w:val="56146142"/>
    <w:rsid w:val="57A51C8C"/>
    <w:rsid w:val="58535244"/>
    <w:rsid w:val="5DF81819"/>
    <w:rsid w:val="61CD6222"/>
    <w:rsid w:val="62F17431"/>
    <w:rsid w:val="63D95487"/>
    <w:rsid w:val="64D40BE9"/>
    <w:rsid w:val="660525DB"/>
    <w:rsid w:val="66C01939"/>
    <w:rsid w:val="687A6F4D"/>
    <w:rsid w:val="6A227D77"/>
    <w:rsid w:val="6C8D60C7"/>
    <w:rsid w:val="6DB63E53"/>
    <w:rsid w:val="6E510020"/>
    <w:rsid w:val="71EA612B"/>
    <w:rsid w:val="73F67A05"/>
    <w:rsid w:val="74181655"/>
    <w:rsid w:val="743E0ECF"/>
    <w:rsid w:val="78A37554"/>
    <w:rsid w:val="79B104EC"/>
    <w:rsid w:val="7A186134"/>
    <w:rsid w:val="7B0F7299"/>
    <w:rsid w:val="7DBD122E"/>
    <w:rsid w:val="7E89574A"/>
    <w:rsid w:val="7EA11D42"/>
    <w:rsid w:val="7F30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Body Text Indent"/>
    <w:basedOn w:val="1"/>
    <w:qFormat/>
    <w:uiPriority w:val="0"/>
    <w:pPr>
      <w:ind w:firstLine="480"/>
    </w:pPr>
    <w:rPr>
      <w:sz w:val="24"/>
    </w:rPr>
  </w:style>
  <w:style w:type="paragraph" w:styleId="4">
    <w:name w:val="Plain Text"/>
    <w:basedOn w:val="1"/>
    <w:qFormat/>
    <w:uiPriority w:val="0"/>
    <w:rPr>
      <w:rFonts w:ascii="宋体" w:hAnsi="Courier New"/>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3"/>
    <w:qFormat/>
    <w:uiPriority w:val="0"/>
    <w:pPr>
      <w:spacing w:after="120" w:line="560" w:lineRule="exact"/>
      <w:ind w:left="420" w:leftChars="200" w:firstLine="420"/>
    </w:pPr>
    <w:rPr>
      <w:rFonts w:hAnsi="宋体"/>
      <w:sz w:val="28"/>
      <w:szCs w:val="22"/>
    </w:rPr>
  </w:style>
  <w:style w:type="character" w:styleId="12">
    <w:name w:val="page number"/>
    <w:basedOn w:val="11"/>
    <w:qFormat/>
    <w:uiPriority w:val="0"/>
  </w:style>
  <w:style w:type="paragraph" w:customStyle="1" w:styleId="13">
    <w:name w:val="样式 样式 行距: 1.5 倍行距 + 两端对齐 Char"/>
    <w:basedOn w:val="1"/>
    <w:qFormat/>
    <w:uiPriority w:val="99"/>
    <w:pPr>
      <w:tabs>
        <w:tab w:val="left" w:pos="720"/>
      </w:tabs>
      <w:adjustRightInd w:val="0"/>
      <w:snapToGrid w:val="0"/>
      <w:ind w:firstLine="480" w:firstLineChars="200"/>
    </w:pPr>
    <w:rPr>
      <w:rFonts w:ascii="宋体" w:hAnsi="宋体" w:cs="宋体"/>
    </w:rPr>
  </w:style>
  <w:style w:type="character" w:customStyle="1" w:styleId="14">
    <w:name w:val="页眉 Char"/>
    <w:link w:val="8"/>
    <w:qFormat/>
    <w:uiPriority w:val="0"/>
    <w:rPr>
      <w:kern w:val="2"/>
      <w:sz w:val="18"/>
      <w:szCs w:val="18"/>
    </w:rPr>
  </w:style>
  <w:style w:type="paragraph" w:customStyle="1" w:styleId="15">
    <w:name w:val="_Style 3"/>
    <w:basedOn w:val="1"/>
    <w:qFormat/>
    <w:uiPriority w:val="0"/>
    <w:pPr>
      <w:snapToGrid w:val="0"/>
      <w:spacing w:line="440" w:lineRule="atLeast"/>
    </w:pPr>
    <w:rPr>
      <w:rFonts w:ascii="宋体"/>
      <w:sz w:val="24"/>
    </w:rPr>
  </w:style>
  <w:style w:type="paragraph" w:customStyle="1" w:styleId="16">
    <w:name w:val="纯文本1"/>
    <w:basedOn w:val="1"/>
    <w:qFormat/>
    <w:uiPriority w:val="0"/>
    <w:pPr>
      <w:autoSpaceDE w:val="0"/>
      <w:autoSpaceDN w:val="0"/>
      <w:adjustRightInd w:val="0"/>
    </w:pPr>
    <w:rPr>
      <w:rFonts w:hint="eastAsia" w:ascii="宋体"/>
      <w:sz w:val="24"/>
    </w:rPr>
  </w:style>
  <w:style w:type="paragraph" w:customStyle="1" w:styleId="17">
    <w:name w:val="样式 SINOPEC-0"/>
    <w:basedOn w:val="1"/>
    <w:qFormat/>
    <w:uiPriority w:val="0"/>
    <w:pPr>
      <w:spacing w:line="360" w:lineRule="auto"/>
      <w:ind w:firstLine="200" w:firstLineChars="200"/>
    </w:pPr>
    <w:rPr>
      <w:rFonts w:ascii="Arial" w:hAnsi="Arial"/>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1347</Words>
  <Characters>1512</Characters>
  <Lines>19</Lines>
  <Paragraphs>5</Paragraphs>
  <TotalTime>4</TotalTime>
  <ScaleCrop>false</ScaleCrop>
  <LinksUpToDate>false</LinksUpToDate>
  <CharactersWithSpaces>1713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2008-09-06T04:50:00Z</dcterms:created>
  <dc:creator>微软用户</dc:creator>
  <cp:lastModifiedBy>往事</cp:lastModifiedBy>
  <cp:lastPrinted>2009-07-24T08:20:00Z</cp:lastPrinted>
  <dcterms:modified xsi:type="dcterms:W3CDTF">2026-05-07T10:39:58Z</dcterms:modified>
  <dc:title>技术协议</dc:title>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E148ADD534484EE3BD7CD8B87319B40F_13</vt:lpwstr>
  </property>
  <property fmtid="{D5CDD505-2E9C-101B-9397-08002B2CF9AE}" pid="4" name="KSOTemplateDocerSaveRecord">
    <vt:lpwstr>eyJoZGlkIjoiMjk5NDhmYWVkMGJjZDRlZWVhNzYyYjljNWFkMjkzMjciLCJ1c2VySWQiOiIxNTY4NjY3NTc0In0=</vt:lpwstr>
  </property>
</Properties>
</file>