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5BBB1E">
      <w:pPr>
        <w:jc w:val="center"/>
        <w:rPr>
          <w:rFonts w:hint="eastAsia" w:ascii="华文中宋" w:hAnsi="华文中宋" w:eastAsia="华文中宋" w:cs="华文中宋"/>
          <w:sz w:val="32"/>
          <w:szCs w:val="32"/>
          <w:lang w:val="en-US" w:eastAsia="zh-CN"/>
        </w:rPr>
      </w:pPr>
      <w:r>
        <w:rPr>
          <w:rFonts w:hint="eastAsia" w:ascii="华文中宋" w:hAnsi="华文中宋" w:eastAsia="华文中宋" w:cs="华文中宋"/>
          <w:sz w:val="32"/>
          <w:szCs w:val="32"/>
          <w:lang w:val="en-US" w:eastAsia="zh-CN"/>
        </w:rPr>
        <w:t>甘肃东兴铝业有限公司陇西分公司</w:t>
      </w:r>
    </w:p>
    <w:p w14:paraId="68884A8C">
      <w:pPr>
        <w:jc w:val="center"/>
        <w:rPr>
          <w:rFonts w:hint="eastAsia" w:ascii="华文中宋" w:hAnsi="华文中宋" w:eastAsia="华文中宋" w:cs="华文中宋"/>
          <w:sz w:val="32"/>
          <w:szCs w:val="32"/>
          <w:lang w:val="en-US" w:eastAsia="zh-CN"/>
        </w:rPr>
      </w:pPr>
      <w:r>
        <w:rPr>
          <w:rFonts w:hint="eastAsia" w:ascii="华文中宋" w:hAnsi="华文中宋" w:eastAsia="华文中宋" w:cs="华文中宋"/>
          <w:sz w:val="32"/>
          <w:szCs w:val="32"/>
          <w:lang w:val="en-US" w:eastAsia="zh-CN"/>
        </w:rPr>
        <w:t>陶瓷纤维板供货技术规格书</w:t>
      </w:r>
    </w:p>
    <w:p w14:paraId="42AAAD5E">
      <w:pPr>
        <w:jc w:val="both"/>
        <w:rPr>
          <w:rFonts w:hint="eastAsia" w:ascii="仿宋_GB2312" w:hAnsi="华文中宋" w:eastAsia="仿宋_GB2312"/>
          <w:sz w:val="28"/>
          <w:szCs w:val="28"/>
        </w:rPr>
      </w:pPr>
      <w:r>
        <w:rPr>
          <w:rFonts w:hint="eastAsia" w:ascii="仿宋_GB2312" w:hAnsi="华文中宋" w:eastAsia="仿宋_GB2312"/>
          <w:sz w:val="28"/>
          <w:szCs w:val="28"/>
        </w:rPr>
        <w:t>需方（甲方）：甘肃东兴铝业有限公司陇西分公司</w:t>
      </w:r>
    </w:p>
    <w:p w14:paraId="426C1BC3">
      <w:pPr>
        <w:jc w:val="both"/>
        <w:rPr>
          <w:rFonts w:hint="eastAsia" w:ascii="仿宋_GB2312" w:hAnsi="华文中宋" w:eastAsia="仿宋_GB2312"/>
          <w:sz w:val="28"/>
          <w:szCs w:val="28"/>
          <w:lang w:val="en-US" w:eastAsia="zh-CN"/>
        </w:rPr>
      </w:pPr>
      <w:r>
        <w:rPr>
          <w:rFonts w:hint="eastAsia" w:ascii="仿宋_GB2312" w:hAnsi="华文中宋" w:eastAsia="仿宋_GB2312"/>
          <w:sz w:val="28"/>
          <w:szCs w:val="28"/>
          <w:lang w:val="en-US" w:eastAsia="zh-CN"/>
        </w:rPr>
        <w:t>供方（乙方）：</w:t>
      </w:r>
    </w:p>
    <w:p w14:paraId="341B2683">
      <w:pPr>
        <w:ind w:firstLine="537" w:firstLineChars="192"/>
        <w:rPr>
          <w:rFonts w:hint="eastAsia" w:ascii="仿宋_GB2312" w:hAnsi="华文中宋" w:eastAsia="仿宋_GB2312"/>
          <w:sz w:val="28"/>
          <w:szCs w:val="28"/>
          <w:lang w:val="en-US" w:eastAsia="zh-CN"/>
        </w:rPr>
      </w:pPr>
      <w:r>
        <w:rPr>
          <w:rFonts w:hint="eastAsia" w:ascii="仿宋_GB2312" w:hAnsi="华文中宋" w:eastAsia="仿宋_GB2312"/>
          <w:sz w:val="28"/>
          <w:szCs w:val="28"/>
          <w:lang w:val="en-US" w:eastAsia="zh-CN"/>
        </w:rPr>
        <w:t>就甘肃东兴铝业有限公司陇西分公司铝电解用陶瓷纤维板所涉及的质量技术要求及其他使用要求进行标前技术沟通，达成一致形成以下条款：</w:t>
      </w:r>
    </w:p>
    <w:p w14:paraId="139316EB">
      <w:pPr>
        <w:numPr>
          <w:ilvl w:val="0"/>
          <w:numId w:val="0"/>
        </w:numPr>
        <w:ind w:firstLine="560" w:firstLineChars="200"/>
        <w:rPr>
          <w:rFonts w:hint="eastAsia" w:ascii="仿宋_GB2312" w:hAnsi="华文中宋" w:eastAsia="仿宋_GB2312"/>
          <w:sz w:val="28"/>
          <w:szCs w:val="28"/>
          <w:lang w:val="en-US" w:eastAsia="zh-CN"/>
        </w:rPr>
      </w:pPr>
      <w:r>
        <w:rPr>
          <w:rFonts w:hint="eastAsia" w:ascii="仿宋_GB2312" w:hAnsi="华文中宋" w:eastAsia="仿宋_GB2312"/>
          <w:sz w:val="28"/>
          <w:szCs w:val="28"/>
          <w:lang w:val="en-US" w:eastAsia="zh-CN"/>
        </w:rPr>
        <w:t>1.供货范围</w:t>
      </w:r>
    </w:p>
    <w:tbl>
      <w:tblPr>
        <w:tblStyle w:val="6"/>
        <w:tblpPr w:leftFromText="180" w:rightFromText="180" w:vertAnchor="text" w:horzAnchor="page" w:tblpX="2665" w:tblpY="669"/>
        <w:tblOverlap w:val="never"/>
        <w:tblW w:w="6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9"/>
        <w:gridCol w:w="2037"/>
        <w:gridCol w:w="870"/>
        <w:gridCol w:w="2130"/>
      </w:tblGrid>
      <w:tr w14:paraId="4E5B0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9" w:type="dxa"/>
          </w:tcPr>
          <w:p w14:paraId="4A9D3F5C">
            <w:pPr>
              <w:numPr>
                <w:ilvl w:val="0"/>
                <w:numId w:val="0"/>
              </w:numPr>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产品名称</w:t>
            </w:r>
          </w:p>
        </w:tc>
        <w:tc>
          <w:tcPr>
            <w:tcW w:w="2037" w:type="dxa"/>
          </w:tcPr>
          <w:p w14:paraId="4AF4D362">
            <w:pPr>
              <w:numPr>
                <w:ilvl w:val="0"/>
                <w:numId w:val="0"/>
              </w:numPr>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规格型号（mm）</w:t>
            </w:r>
          </w:p>
        </w:tc>
        <w:tc>
          <w:tcPr>
            <w:tcW w:w="870" w:type="dxa"/>
          </w:tcPr>
          <w:p w14:paraId="3A2967FB">
            <w:pPr>
              <w:numPr>
                <w:ilvl w:val="0"/>
                <w:numId w:val="0"/>
              </w:numPr>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单位</w:t>
            </w:r>
          </w:p>
        </w:tc>
        <w:tc>
          <w:tcPr>
            <w:tcW w:w="2130" w:type="dxa"/>
          </w:tcPr>
          <w:p w14:paraId="492B47B3">
            <w:pPr>
              <w:numPr>
                <w:ilvl w:val="0"/>
                <w:numId w:val="0"/>
              </w:numPr>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数量</w:t>
            </w:r>
          </w:p>
        </w:tc>
      </w:tr>
      <w:tr w14:paraId="455A4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1739" w:type="dxa"/>
          </w:tcPr>
          <w:p w14:paraId="127C555C">
            <w:pPr>
              <w:numPr>
                <w:ilvl w:val="0"/>
                <w:numId w:val="0"/>
              </w:numP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陶瓷纤维板</w:t>
            </w:r>
          </w:p>
        </w:tc>
        <w:tc>
          <w:tcPr>
            <w:tcW w:w="2037" w:type="dxa"/>
            <w:vAlign w:val="center"/>
          </w:tcPr>
          <w:p w14:paraId="65457EC9">
            <w:pPr>
              <w:keepNext w:val="0"/>
              <w:keepLines w:val="0"/>
              <w:widowControl/>
              <w:suppressLineNumbers w:val="0"/>
              <w:jc w:val="center"/>
              <w:textAlignment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i w:val="0"/>
                <w:color w:val="000000"/>
                <w:kern w:val="0"/>
                <w:sz w:val="28"/>
                <w:szCs w:val="28"/>
                <w:u w:val="none"/>
                <w:lang w:val="en-US" w:eastAsia="zh-CN" w:bidi="ar"/>
              </w:rPr>
              <w:t>δ30</w:t>
            </w:r>
          </w:p>
        </w:tc>
        <w:tc>
          <w:tcPr>
            <w:tcW w:w="870" w:type="dxa"/>
          </w:tcPr>
          <w:p w14:paraId="45E6CB0B">
            <w:pPr>
              <w:numPr>
                <w:ilvl w:val="0"/>
                <w:numId w:val="0"/>
              </w:numPr>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千克</w:t>
            </w:r>
          </w:p>
        </w:tc>
        <w:tc>
          <w:tcPr>
            <w:tcW w:w="2130" w:type="dxa"/>
            <w:vAlign w:val="center"/>
          </w:tcPr>
          <w:p w14:paraId="71B987C8">
            <w:pPr>
              <w:keepNext w:val="0"/>
              <w:keepLines w:val="0"/>
              <w:widowControl/>
              <w:suppressLineNumbers w:val="0"/>
              <w:jc w:val="center"/>
              <w:textAlignment w:val="center"/>
              <w:rPr>
                <w:rFonts w:hint="default"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3500</w:t>
            </w:r>
          </w:p>
        </w:tc>
      </w:tr>
      <w:tr w14:paraId="4A89A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1739" w:type="dxa"/>
            <w:shd w:val="clear" w:color="auto" w:fill="auto"/>
            <w:vAlign w:val="top"/>
          </w:tcPr>
          <w:p w14:paraId="279CAC4B">
            <w:pPr>
              <w:numPr>
                <w:ilvl w:val="0"/>
                <w:numId w:val="0"/>
              </w:numPr>
              <w:ind w:left="0" w:leftChars="0" w:firstLine="0" w:firstLineChars="0"/>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sz w:val="28"/>
                <w:szCs w:val="28"/>
                <w:vertAlign w:val="baseline"/>
                <w:lang w:val="en-US" w:eastAsia="zh-CN"/>
              </w:rPr>
              <w:t>陶瓷纤维板</w:t>
            </w:r>
          </w:p>
        </w:tc>
        <w:tc>
          <w:tcPr>
            <w:tcW w:w="2037" w:type="dxa"/>
            <w:shd w:val="clear" w:color="auto" w:fill="auto"/>
            <w:vAlign w:val="center"/>
          </w:tcPr>
          <w:p w14:paraId="37CA7AFC">
            <w:pPr>
              <w:keepNext w:val="0"/>
              <w:keepLines w:val="0"/>
              <w:widowControl/>
              <w:suppressLineNumbers w:val="0"/>
              <w:jc w:val="center"/>
              <w:textAlignment w:val="center"/>
              <w:rPr>
                <w:rFonts w:hint="default"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i w:val="0"/>
                <w:color w:val="000000"/>
                <w:kern w:val="0"/>
                <w:sz w:val="28"/>
                <w:szCs w:val="28"/>
                <w:u w:val="none"/>
                <w:lang w:val="en-US" w:eastAsia="zh-CN" w:bidi="ar"/>
              </w:rPr>
              <w:t>δ15</w:t>
            </w:r>
          </w:p>
        </w:tc>
        <w:tc>
          <w:tcPr>
            <w:tcW w:w="870" w:type="dxa"/>
            <w:shd w:val="clear" w:color="auto" w:fill="auto"/>
            <w:vAlign w:val="top"/>
          </w:tcPr>
          <w:p w14:paraId="1B2F9D4B">
            <w:pPr>
              <w:numPr>
                <w:ilvl w:val="0"/>
                <w:numId w:val="0"/>
              </w:numPr>
              <w:ind w:left="0" w:leftChars="0" w:firstLine="0" w:firstLineChars="0"/>
              <w:jc w:val="center"/>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sz w:val="28"/>
                <w:szCs w:val="28"/>
                <w:vertAlign w:val="baseline"/>
                <w:lang w:val="en-US" w:eastAsia="zh-CN"/>
              </w:rPr>
              <w:t>千克</w:t>
            </w:r>
          </w:p>
        </w:tc>
        <w:tc>
          <w:tcPr>
            <w:tcW w:w="2130" w:type="dxa"/>
            <w:shd w:val="clear" w:color="auto" w:fill="auto"/>
            <w:vAlign w:val="center"/>
          </w:tcPr>
          <w:p w14:paraId="51E74B3A">
            <w:pPr>
              <w:keepNext w:val="0"/>
              <w:keepLines w:val="0"/>
              <w:widowControl/>
              <w:suppressLineNumbers w:val="0"/>
              <w:jc w:val="center"/>
              <w:textAlignment w:val="center"/>
              <w:rPr>
                <w:rFonts w:hint="default"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4500</w:t>
            </w:r>
          </w:p>
        </w:tc>
      </w:tr>
    </w:tbl>
    <w:p w14:paraId="6BFD79AE">
      <w:pPr>
        <w:widowControl w:val="0"/>
        <w:numPr>
          <w:ilvl w:val="0"/>
          <w:numId w:val="0"/>
        </w:numPr>
        <w:tabs>
          <w:tab w:val="left" w:pos="312"/>
        </w:tabs>
        <w:jc w:val="both"/>
        <w:rPr>
          <w:rFonts w:hint="eastAsia" w:ascii="仿宋_GB2312" w:hAnsi="华文中宋" w:eastAsia="仿宋_GB2312"/>
          <w:sz w:val="28"/>
          <w:szCs w:val="28"/>
          <w:lang w:val="en-US" w:eastAsia="zh-CN"/>
        </w:rPr>
      </w:pPr>
    </w:p>
    <w:p w14:paraId="3CFAAAF7">
      <w:pPr>
        <w:widowControl w:val="0"/>
        <w:numPr>
          <w:ilvl w:val="0"/>
          <w:numId w:val="0"/>
        </w:numPr>
        <w:tabs>
          <w:tab w:val="left" w:pos="312"/>
        </w:tabs>
        <w:jc w:val="both"/>
        <w:rPr>
          <w:rFonts w:hint="eastAsia" w:ascii="仿宋_GB2312" w:hAnsi="华文中宋" w:eastAsia="仿宋_GB2312"/>
          <w:sz w:val="28"/>
          <w:szCs w:val="28"/>
          <w:lang w:val="en-US" w:eastAsia="zh-CN"/>
        </w:rPr>
      </w:pPr>
    </w:p>
    <w:p w14:paraId="5493A9E0">
      <w:pPr>
        <w:widowControl w:val="0"/>
        <w:numPr>
          <w:ilvl w:val="0"/>
          <w:numId w:val="0"/>
        </w:numPr>
        <w:tabs>
          <w:tab w:val="left" w:pos="312"/>
        </w:tabs>
        <w:jc w:val="both"/>
        <w:rPr>
          <w:rFonts w:hint="eastAsia" w:ascii="仿宋_GB2312" w:hAnsi="华文中宋" w:eastAsia="仿宋_GB2312"/>
          <w:sz w:val="28"/>
          <w:szCs w:val="28"/>
          <w:lang w:val="en-US" w:eastAsia="zh-CN"/>
        </w:rPr>
      </w:pPr>
    </w:p>
    <w:p w14:paraId="3B937DB9">
      <w:pPr>
        <w:widowControl w:val="0"/>
        <w:numPr>
          <w:ilvl w:val="0"/>
          <w:numId w:val="0"/>
        </w:numPr>
        <w:tabs>
          <w:tab w:val="left" w:pos="312"/>
        </w:tabs>
        <w:jc w:val="both"/>
        <w:rPr>
          <w:rFonts w:hint="eastAsia" w:ascii="仿宋_GB2312" w:hAnsi="华文中宋" w:eastAsia="仿宋_GB2312"/>
          <w:sz w:val="28"/>
          <w:szCs w:val="28"/>
          <w:lang w:val="en-US" w:eastAsia="zh-CN"/>
        </w:rPr>
      </w:pPr>
      <w:bookmarkStart w:id="0" w:name="_GoBack"/>
      <w:bookmarkEnd w:id="0"/>
    </w:p>
    <w:p w14:paraId="0EE65EC4">
      <w:pPr>
        <w:widowControl w:val="0"/>
        <w:numPr>
          <w:ilvl w:val="0"/>
          <w:numId w:val="0"/>
        </w:numPr>
        <w:tabs>
          <w:tab w:val="left" w:pos="312"/>
        </w:tabs>
        <w:jc w:val="both"/>
        <w:rPr>
          <w:rFonts w:hint="eastAsia" w:ascii="仿宋_GB2312" w:hAnsi="华文中宋" w:eastAsia="仿宋_GB2312"/>
          <w:sz w:val="28"/>
          <w:szCs w:val="28"/>
          <w:lang w:val="en-US" w:eastAsia="zh-CN"/>
        </w:rPr>
      </w:pPr>
    </w:p>
    <w:p w14:paraId="2B60D8E1">
      <w:pPr>
        <w:widowControl w:val="0"/>
        <w:numPr>
          <w:ilvl w:val="0"/>
          <w:numId w:val="0"/>
        </w:numPr>
        <w:tabs>
          <w:tab w:val="left" w:pos="312"/>
        </w:tabs>
        <w:jc w:val="both"/>
        <w:rPr>
          <w:rFonts w:hint="eastAsia" w:ascii="仿宋_GB2312" w:hAnsi="华文中宋" w:eastAsia="仿宋_GB2312"/>
          <w:sz w:val="28"/>
          <w:szCs w:val="28"/>
          <w:lang w:val="en-US" w:eastAsia="zh-CN"/>
        </w:rPr>
      </w:pPr>
    </w:p>
    <w:p w14:paraId="2BE45936">
      <w:pPr>
        <w:widowControl w:val="0"/>
        <w:numPr>
          <w:ilvl w:val="0"/>
          <w:numId w:val="0"/>
        </w:numPr>
        <w:tabs>
          <w:tab w:val="left" w:pos="312"/>
        </w:tabs>
        <w:jc w:val="both"/>
        <w:rPr>
          <w:rFonts w:hint="eastAsia" w:ascii="仿宋_GB2312" w:hAnsi="华文中宋" w:eastAsia="仿宋_GB2312"/>
          <w:sz w:val="28"/>
          <w:szCs w:val="28"/>
          <w:lang w:val="en-US" w:eastAsia="zh-CN"/>
        </w:rPr>
      </w:pPr>
    </w:p>
    <w:p w14:paraId="089C19DB">
      <w:pPr>
        <w:numPr>
          <w:ilvl w:val="0"/>
          <w:numId w:val="0"/>
        </w:numPr>
        <w:ind w:firstLine="560" w:firstLineChars="200"/>
        <w:rPr>
          <w:rFonts w:hint="default" w:ascii="仿宋_GB2312" w:hAnsi="华文中宋" w:eastAsia="仿宋_GB2312"/>
          <w:sz w:val="28"/>
          <w:szCs w:val="28"/>
          <w:lang w:val="en-US" w:eastAsia="zh-CN"/>
        </w:rPr>
      </w:pPr>
      <w:r>
        <w:rPr>
          <w:rFonts w:hint="eastAsia" w:ascii="仿宋_GB2312" w:hAnsi="华文中宋" w:eastAsia="仿宋_GB2312"/>
          <w:sz w:val="28"/>
          <w:szCs w:val="28"/>
          <w:lang w:val="en-US" w:eastAsia="zh-CN"/>
        </w:rPr>
        <w:t>2.产品质量要求</w:t>
      </w:r>
    </w:p>
    <w:p w14:paraId="6C29DDF0">
      <w:pPr>
        <w:numPr>
          <w:ilvl w:val="0"/>
          <w:numId w:val="0"/>
        </w:numPr>
        <w:ind w:leftChars="192"/>
        <w:rPr>
          <w:rFonts w:hint="eastAsia" w:ascii="仿宋_GB2312" w:hAnsi="华文中宋" w:eastAsia="仿宋_GB2312"/>
          <w:sz w:val="28"/>
          <w:szCs w:val="28"/>
          <w:lang w:val="en-US" w:eastAsia="zh-CN"/>
        </w:rPr>
      </w:pPr>
    </w:p>
    <w:tbl>
      <w:tblPr>
        <w:tblStyle w:val="5"/>
        <w:tblpPr w:leftFromText="180" w:rightFromText="180" w:vertAnchor="text" w:horzAnchor="page" w:tblpX="2872" w:tblpY="306"/>
        <w:tblOverlap w:val="never"/>
        <w:tblW w:w="63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445"/>
        <w:gridCol w:w="3486"/>
        <w:gridCol w:w="1464"/>
      </w:tblGrid>
      <w:tr w14:paraId="7BA87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75" w:hRule="atLeast"/>
        </w:trPr>
        <w:tc>
          <w:tcPr>
            <w:tcW w:w="14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BE34A">
            <w:pPr>
              <w:keepNext w:val="0"/>
              <w:keepLines w:val="0"/>
              <w:widowControl/>
              <w:suppressLineNumbers w:val="0"/>
              <w:jc w:val="center"/>
              <w:textAlignment w:val="center"/>
              <w:rPr>
                <w:rFonts w:hint="eastAsia" w:ascii="仿宋_GB2312" w:hAnsi="仿宋_GB2312" w:eastAsia="仿宋_GB2312" w:cs="仿宋_GB2312"/>
                <w:i w:val="0"/>
                <w:color w:val="auto"/>
                <w:sz w:val="28"/>
                <w:szCs w:val="28"/>
                <w:u w:val="none"/>
              </w:rPr>
            </w:pPr>
            <w:r>
              <w:rPr>
                <w:rFonts w:hint="eastAsia" w:ascii="仿宋_GB2312" w:hAnsi="仿宋_GB2312" w:eastAsia="仿宋_GB2312" w:cs="仿宋_GB2312"/>
                <w:i w:val="0"/>
                <w:color w:val="auto"/>
                <w:kern w:val="0"/>
                <w:sz w:val="28"/>
                <w:szCs w:val="28"/>
                <w:u w:val="none"/>
                <w:lang w:val="en-US" w:eastAsia="zh-CN" w:bidi="ar"/>
              </w:rPr>
              <w:t xml:space="preserve">陶瓷纤维板 </w:t>
            </w:r>
          </w:p>
        </w:tc>
        <w:tc>
          <w:tcPr>
            <w:tcW w:w="3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BCB20">
            <w:pPr>
              <w:keepNext w:val="0"/>
              <w:keepLines w:val="0"/>
              <w:widowControl/>
              <w:suppressLineNumbers w:val="0"/>
              <w:jc w:val="left"/>
              <w:textAlignment w:val="center"/>
              <w:rPr>
                <w:rFonts w:hint="eastAsia" w:ascii="仿宋_GB2312" w:hAnsi="仿宋_GB2312" w:eastAsia="仿宋_GB2312" w:cs="仿宋_GB2312"/>
                <w:i w:val="0"/>
                <w:color w:val="auto"/>
                <w:sz w:val="28"/>
                <w:szCs w:val="28"/>
                <w:u w:val="none"/>
              </w:rPr>
            </w:pPr>
            <w:r>
              <w:rPr>
                <w:rFonts w:hint="eastAsia" w:ascii="仿宋_GB2312" w:hAnsi="仿宋_GB2312" w:eastAsia="仿宋_GB2312" w:cs="仿宋_GB2312"/>
                <w:i w:val="0"/>
                <w:color w:val="auto"/>
                <w:kern w:val="0"/>
                <w:sz w:val="28"/>
                <w:szCs w:val="28"/>
                <w:u w:val="none"/>
                <w:lang w:val="en-US" w:eastAsia="zh-CN" w:bidi="ar"/>
              </w:rPr>
              <w:t>加热永久线变化1000℃*24（%）</w:t>
            </w:r>
          </w:p>
        </w:tc>
        <w:tc>
          <w:tcPr>
            <w:tcW w:w="14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B62635">
            <w:pPr>
              <w:keepNext w:val="0"/>
              <w:keepLines w:val="0"/>
              <w:widowControl/>
              <w:suppressLineNumbers w:val="0"/>
              <w:jc w:val="center"/>
              <w:textAlignment w:val="center"/>
              <w:rPr>
                <w:rFonts w:hint="eastAsia" w:ascii="仿宋_GB2312" w:hAnsi="仿宋_GB2312" w:eastAsia="仿宋_GB2312" w:cs="仿宋_GB2312"/>
                <w:i w:val="0"/>
                <w:color w:val="auto"/>
                <w:sz w:val="28"/>
                <w:szCs w:val="28"/>
                <w:u w:val="none"/>
              </w:rPr>
            </w:pPr>
            <w:r>
              <w:rPr>
                <w:rFonts w:hint="eastAsia" w:ascii="仿宋_GB2312" w:hAnsi="仿宋_GB2312" w:eastAsia="仿宋_GB2312" w:cs="仿宋_GB2312"/>
                <w:i w:val="0"/>
                <w:color w:val="auto"/>
                <w:kern w:val="0"/>
                <w:sz w:val="28"/>
                <w:szCs w:val="28"/>
                <w:u w:val="none"/>
                <w:lang w:val="en-US" w:eastAsia="zh-CN" w:bidi="ar"/>
              </w:rPr>
              <w:t>≥-2</w:t>
            </w:r>
          </w:p>
        </w:tc>
      </w:tr>
      <w:tr w14:paraId="2E3C1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75" w:hRule="atLeast"/>
        </w:trPr>
        <w:tc>
          <w:tcPr>
            <w:tcW w:w="14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C9F3B">
            <w:pPr>
              <w:jc w:val="center"/>
              <w:rPr>
                <w:rFonts w:hint="eastAsia" w:ascii="仿宋_GB2312" w:hAnsi="仿宋_GB2312" w:eastAsia="仿宋_GB2312" w:cs="仿宋_GB2312"/>
                <w:i w:val="0"/>
                <w:color w:val="auto"/>
                <w:sz w:val="28"/>
                <w:szCs w:val="28"/>
                <w:u w:val="none"/>
              </w:rPr>
            </w:pPr>
          </w:p>
        </w:tc>
        <w:tc>
          <w:tcPr>
            <w:tcW w:w="34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96252D">
            <w:pPr>
              <w:keepNext w:val="0"/>
              <w:keepLines w:val="0"/>
              <w:widowControl/>
              <w:suppressLineNumbers w:val="0"/>
              <w:jc w:val="left"/>
              <w:textAlignment w:val="center"/>
              <w:rPr>
                <w:rFonts w:hint="eastAsia" w:ascii="仿宋_GB2312" w:hAnsi="仿宋_GB2312" w:eastAsia="仿宋_GB2312" w:cs="仿宋_GB2312"/>
                <w:i w:val="0"/>
                <w:color w:val="auto"/>
                <w:sz w:val="28"/>
                <w:szCs w:val="28"/>
                <w:u w:val="none"/>
              </w:rPr>
            </w:pPr>
            <w:r>
              <w:rPr>
                <w:rFonts w:hint="eastAsia" w:ascii="仿宋_GB2312" w:hAnsi="仿宋_GB2312" w:eastAsia="仿宋_GB2312" w:cs="仿宋_GB2312"/>
                <w:i w:val="0"/>
                <w:color w:val="auto"/>
                <w:kern w:val="0"/>
                <w:sz w:val="28"/>
                <w:szCs w:val="28"/>
                <w:u w:val="none"/>
                <w:lang w:val="en-US" w:eastAsia="zh-CN" w:bidi="ar"/>
              </w:rPr>
              <w:t>导热系数 (1000℃) (W/m.k)</w:t>
            </w:r>
          </w:p>
        </w:tc>
        <w:tc>
          <w:tcPr>
            <w:tcW w:w="14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632C27">
            <w:pPr>
              <w:keepNext w:val="0"/>
              <w:keepLines w:val="0"/>
              <w:widowControl/>
              <w:suppressLineNumbers w:val="0"/>
              <w:jc w:val="center"/>
              <w:textAlignment w:val="center"/>
              <w:rPr>
                <w:rFonts w:hint="eastAsia" w:ascii="仿宋_GB2312" w:hAnsi="仿宋_GB2312" w:eastAsia="仿宋_GB2312" w:cs="仿宋_GB2312"/>
                <w:i w:val="0"/>
                <w:color w:val="auto"/>
                <w:sz w:val="28"/>
                <w:szCs w:val="28"/>
                <w:u w:val="none"/>
              </w:rPr>
            </w:pPr>
            <w:r>
              <w:rPr>
                <w:rFonts w:hint="eastAsia" w:ascii="仿宋_GB2312" w:hAnsi="仿宋_GB2312" w:eastAsia="仿宋_GB2312" w:cs="仿宋_GB2312"/>
                <w:i w:val="0"/>
                <w:color w:val="auto"/>
                <w:kern w:val="0"/>
                <w:sz w:val="28"/>
                <w:szCs w:val="28"/>
                <w:u w:val="none"/>
                <w:lang w:val="en-US" w:eastAsia="zh-CN" w:bidi="ar"/>
              </w:rPr>
              <w:t>≤0.135</w:t>
            </w:r>
          </w:p>
        </w:tc>
      </w:tr>
      <w:tr w14:paraId="27CC1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atLeast"/>
        </w:trPr>
        <w:tc>
          <w:tcPr>
            <w:tcW w:w="14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E3EB7">
            <w:pPr>
              <w:jc w:val="center"/>
              <w:rPr>
                <w:rFonts w:hint="eastAsia" w:ascii="仿宋_GB2312" w:hAnsi="仿宋_GB2312" w:eastAsia="仿宋_GB2312" w:cs="仿宋_GB2312"/>
                <w:i w:val="0"/>
                <w:color w:val="auto"/>
                <w:sz w:val="28"/>
                <w:szCs w:val="28"/>
                <w:u w:val="none"/>
              </w:rPr>
            </w:pPr>
          </w:p>
        </w:tc>
        <w:tc>
          <w:tcPr>
            <w:tcW w:w="3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DA300">
            <w:pPr>
              <w:keepNext w:val="0"/>
              <w:keepLines w:val="0"/>
              <w:widowControl/>
              <w:suppressLineNumbers w:val="0"/>
              <w:jc w:val="left"/>
              <w:textAlignment w:val="center"/>
              <w:rPr>
                <w:rFonts w:hint="eastAsia" w:ascii="仿宋_GB2312" w:hAnsi="仿宋_GB2312" w:eastAsia="仿宋_GB2312" w:cs="仿宋_GB2312"/>
                <w:i w:val="0"/>
                <w:color w:val="auto"/>
                <w:sz w:val="28"/>
                <w:szCs w:val="28"/>
                <w:u w:val="none"/>
              </w:rPr>
            </w:pPr>
            <w:r>
              <w:rPr>
                <w:rFonts w:hint="eastAsia" w:ascii="仿宋_GB2312" w:hAnsi="仿宋_GB2312" w:eastAsia="仿宋_GB2312" w:cs="仿宋_GB2312"/>
                <w:i w:val="0"/>
                <w:color w:val="auto"/>
                <w:kern w:val="0"/>
                <w:sz w:val="28"/>
                <w:szCs w:val="28"/>
                <w:u w:val="none"/>
                <w:lang w:val="en-US" w:eastAsia="zh-CN" w:bidi="ar"/>
              </w:rPr>
              <w:t>压缩强度（厚度方向压缩10%）(Mpa)</w:t>
            </w:r>
          </w:p>
        </w:tc>
        <w:tc>
          <w:tcPr>
            <w:tcW w:w="14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6A8474">
            <w:pPr>
              <w:keepNext w:val="0"/>
              <w:keepLines w:val="0"/>
              <w:widowControl/>
              <w:suppressLineNumbers w:val="0"/>
              <w:jc w:val="center"/>
              <w:textAlignment w:val="center"/>
              <w:rPr>
                <w:rFonts w:hint="eastAsia" w:ascii="仿宋_GB2312" w:hAnsi="仿宋_GB2312" w:eastAsia="仿宋_GB2312" w:cs="仿宋_GB2312"/>
                <w:i w:val="0"/>
                <w:color w:val="auto"/>
                <w:sz w:val="28"/>
                <w:szCs w:val="28"/>
                <w:u w:val="none"/>
              </w:rPr>
            </w:pPr>
            <w:r>
              <w:rPr>
                <w:rFonts w:hint="eastAsia" w:ascii="仿宋_GB2312" w:hAnsi="仿宋_GB2312" w:eastAsia="仿宋_GB2312" w:cs="仿宋_GB2312"/>
                <w:i w:val="0"/>
                <w:color w:val="auto"/>
                <w:kern w:val="0"/>
                <w:sz w:val="28"/>
                <w:szCs w:val="28"/>
                <w:u w:val="none"/>
                <w:lang w:val="en-US" w:eastAsia="zh-CN" w:bidi="ar"/>
              </w:rPr>
              <w:t>≥0.25</w:t>
            </w:r>
          </w:p>
        </w:tc>
      </w:tr>
      <w:tr w14:paraId="64FEF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5" w:hRule="atLeast"/>
        </w:trPr>
        <w:tc>
          <w:tcPr>
            <w:tcW w:w="14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91CF1">
            <w:pPr>
              <w:jc w:val="center"/>
              <w:rPr>
                <w:rFonts w:hint="eastAsia" w:ascii="仿宋_GB2312" w:hAnsi="仿宋_GB2312" w:eastAsia="仿宋_GB2312" w:cs="仿宋_GB2312"/>
                <w:i w:val="0"/>
                <w:color w:val="auto"/>
                <w:sz w:val="28"/>
                <w:szCs w:val="28"/>
                <w:u w:val="none"/>
              </w:rPr>
            </w:pPr>
          </w:p>
        </w:tc>
        <w:tc>
          <w:tcPr>
            <w:tcW w:w="34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23AB69">
            <w:pPr>
              <w:keepNext w:val="0"/>
              <w:keepLines w:val="0"/>
              <w:widowControl/>
              <w:suppressLineNumbers w:val="0"/>
              <w:jc w:val="left"/>
              <w:textAlignment w:val="center"/>
              <w:rPr>
                <w:rFonts w:hint="eastAsia" w:ascii="仿宋_GB2312" w:hAnsi="仿宋_GB2312" w:eastAsia="仿宋_GB2312" w:cs="仿宋_GB2312"/>
                <w:i w:val="0"/>
                <w:color w:val="auto"/>
                <w:sz w:val="28"/>
                <w:szCs w:val="28"/>
                <w:u w:val="none"/>
              </w:rPr>
            </w:pPr>
            <w:r>
              <w:rPr>
                <w:rFonts w:hint="eastAsia" w:ascii="仿宋_GB2312" w:hAnsi="仿宋_GB2312" w:eastAsia="仿宋_GB2312" w:cs="仿宋_GB2312"/>
                <w:i w:val="0"/>
                <w:color w:val="auto"/>
                <w:kern w:val="0"/>
                <w:sz w:val="28"/>
                <w:szCs w:val="28"/>
                <w:u w:val="none"/>
                <w:lang w:val="en-US" w:eastAsia="zh-CN" w:bidi="ar"/>
              </w:rPr>
              <w:t>体积密度(kg/m</w:t>
            </w:r>
            <w:r>
              <w:rPr>
                <w:rFonts w:hint="eastAsia" w:ascii="仿宋_GB2312" w:hAnsi="仿宋_GB2312" w:eastAsia="仿宋_GB2312" w:cs="仿宋_GB2312"/>
                <w:i w:val="0"/>
                <w:color w:val="auto"/>
                <w:kern w:val="0"/>
                <w:sz w:val="28"/>
                <w:szCs w:val="28"/>
                <w:u w:val="none"/>
                <w:vertAlign w:val="superscript"/>
                <w:lang w:val="en-US" w:eastAsia="zh-CN" w:bidi="ar"/>
              </w:rPr>
              <w:t>3</w:t>
            </w:r>
            <w:r>
              <w:rPr>
                <w:rFonts w:hint="eastAsia" w:ascii="仿宋_GB2312" w:hAnsi="仿宋_GB2312" w:eastAsia="仿宋_GB2312" w:cs="仿宋_GB2312"/>
                <w:i w:val="0"/>
                <w:color w:val="auto"/>
                <w:kern w:val="0"/>
                <w:sz w:val="28"/>
                <w:szCs w:val="28"/>
                <w:u w:val="none"/>
                <w:lang w:val="en-US" w:eastAsia="zh-CN" w:bidi="ar"/>
              </w:rPr>
              <w:t>)</w:t>
            </w:r>
          </w:p>
        </w:tc>
        <w:tc>
          <w:tcPr>
            <w:tcW w:w="14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A1116D">
            <w:pPr>
              <w:keepNext w:val="0"/>
              <w:keepLines w:val="0"/>
              <w:widowControl/>
              <w:suppressLineNumbers w:val="0"/>
              <w:jc w:val="center"/>
              <w:textAlignment w:val="center"/>
              <w:rPr>
                <w:rFonts w:hint="eastAsia" w:ascii="仿宋_GB2312" w:hAnsi="仿宋_GB2312" w:eastAsia="仿宋_GB2312" w:cs="仿宋_GB2312"/>
                <w:i w:val="0"/>
                <w:color w:val="auto"/>
                <w:sz w:val="28"/>
                <w:szCs w:val="28"/>
                <w:u w:val="none"/>
              </w:rPr>
            </w:pPr>
            <w:r>
              <w:rPr>
                <w:rFonts w:hint="eastAsia" w:ascii="仿宋_GB2312" w:hAnsi="仿宋_GB2312" w:eastAsia="仿宋_GB2312" w:cs="仿宋_GB2312"/>
                <w:i w:val="0"/>
                <w:color w:val="auto"/>
                <w:kern w:val="0"/>
                <w:sz w:val="28"/>
                <w:szCs w:val="28"/>
                <w:u w:val="none"/>
                <w:lang w:val="en-US" w:eastAsia="zh-CN" w:bidi="ar"/>
              </w:rPr>
              <w:t>360</w:t>
            </w:r>
          </w:p>
        </w:tc>
      </w:tr>
      <w:tr w14:paraId="7233C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D99FE">
            <w:pPr>
              <w:jc w:val="center"/>
              <w:rPr>
                <w:rFonts w:hint="eastAsia" w:ascii="仿宋_GB2312" w:hAnsi="仿宋_GB2312" w:eastAsia="仿宋_GB2312" w:cs="仿宋_GB2312"/>
                <w:i w:val="0"/>
                <w:color w:val="auto"/>
                <w:sz w:val="28"/>
                <w:szCs w:val="28"/>
                <w:u w:val="none"/>
              </w:rPr>
            </w:pPr>
          </w:p>
        </w:tc>
        <w:tc>
          <w:tcPr>
            <w:tcW w:w="34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654102">
            <w:pPr>
              <w:keepNext w:val="0"/>
              <w:keepLines w:val="0"/>
              <w:widowControl/>
              <w:suppressLineNumbers w:val="0"/>
              <w:jc w:val="left"/>
              <w:textAlignment w:val="center"/>
              <w:rPr>
                <w:rFonts w:hint="eastAsia" w:ascii="仿宋_GB2312" w:hAnsi="仿宋_GB2312" w:eastAsia="仿宋_GB2312" w:cs="仿宋_GB2312"/>
                <w:i w:val="0"/>
                <w:color w:val="auto"/>
                <w:sz w:val="28"/>
                <w:szCs w:val="28"/>
                <w:u w:val="none"/>
              </w:rPr>
            </w:pPr>
            <w:r>
              <w:rPr>
                <w:rFonts w:hint="eastAsia" w:ascii="仿宋_GB2312" w:hAnsi="仿宋_GB2312" w:eastAsia="仿宋_GB2312" w:cs="仿宋_GB2312"/>
                <w:i w:val="0"/>
                <w:color w:val="auto"/>
                <w:kern w:val="0"/>
                <w:sz w:val="28"/>
                <w:szCs w:val="28"/>
                <w:u w:val="none"/>
                <w:lang w:val="en-US" w:eastAsia="zh-CN" w:bidi="ar"/>
              </w:rPr>
              <w:t>含水率（%）</w:t>
            </w:r>
          </w:p>
        </w:tc>
        <w:tc>
          <w:tcPr>
            <w:tcW w:w="14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6A2DBD6">
            <w:pPr>
              <w:keepNext w:val="0"/>
              <w:keepLines w:val="0"/>
              <w:widowControl/>
              <w:suppressLineNumbers w:val="0"/>
              <w:jc w:val="center"/>
              <w:textAlignment w:val="center"/>
              <w:rPr>
                <w:rFonts w:hint="eastAsia" w:ascii="仿宋_GB2312" w:hAnsi="仿宋_GB2312" w:eastAsia="仿宋_GB2312" w:cs="仿宋_GB2312"/>
                <w:i w:val="0"/>
                <w:color w:val="auto"/>
                <w:sz w:val="28"/>
                <w:szCs w:val="28"/>
                <w:u w:val="none"/>
              </w:rPr>
            </w:pPr>
            <w:r>
              <w:rPr>
                <w:rFonts w:hint="eastAsia" w:ascii="仿宋_GB2312" w:hAnsi="仿宋_GB2312" w:eastAsia="仿宋_GB2312" w:cs="仿宋_GB2312"/>
                <w:i w:val="0"/>
                <w:color w:val="auto"/>
                <w:kern w:val="0"/>
                <w:sz w:val="28"/>
                <w:szCs w:val="28"/>
                <w:u w:val="none"/>
                <w:lang w:val="en-US" w:eastAsia="zh-CN" w:bidi="ar"/>
              </w:rPr>
              <w:t>≤1</w:t>
            </w:r>
          </w:p>
        </w:tc>
      </w:tr>
      <w:tr w14:paraId="00594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66250">
            <w:pPr>
              <w:jc w:val="center"/>
              <w:rPr>
                <w:rFonts w:hint="eastAsia" w:ascii="仿宋_GB2312" w:hAnsi="仿宋_GB2312" w:eastAsia="仿宋_GB2312" w:cs="仿宋_GB2312"/>
                <w:i w:val="0"/>
                <w:color w:val="auto"/>
                <w:sz w:val="28"/>
                <w:szCs w:val="28"/>
                <w:u w:val="none"/>
              </w:rPr>
            </w:pPr>
          </w:p>
        </w:tc>
        <w:tc>
          <w:tcPr>
            <w:tcW w:w="34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C45C46">
            <w:pPr>
              <w:keepNext w:val="0"/>
              <w:keepLines w:val="0"/>
              <w:widowControl/>
              <w:suppressLineNumbers w:val="0"/>
              <w:jc w:val="left"/>
              <w:textAlignment w:val="center"/>
              <w:rPr>
                <w:rFonts w:hint="eastAsia" w:ascii="仿宋_GB2312" w:hAnsi="仿宋_GB2312" w:eastAsia="仿宋_GB2312" w:cs="仿宋_GB2312"/>
                <w:i w:val="0"/>
                <w:color w:val="auto"/>
                <w:sz w:val="28"/>
                <w:szCs w:val="28"/>
                <w:u w:val="none"/>
              </w:rPr>
            </w:pPr>
            <w:r>
              <w:rPr>
                <w:rFonts w:hint="eastAsia" w:ascii="仿宋_GB2312" w:hAnsi="仿宋_GB2312" w:eastAsia="仿宋_GB2312" w:cs="仿宋_GB2312"/>
                <w:i w:val="0"/>
                <w:color w:val="auto"/>
                <w:kern w:val="0"/>
                <w:sz w:val="28"/>
                <w:szCs w:val="28"/>
                <w:u w:val="none"/>
                <w:lang w:val="en-US" w:eastAsia="zh-CN" w:bidi="ar"/>
              </w:rPr>
              <w:t>有机物含量（%）</w:t>
            </w:r>
          </w:p>
        </w:tc>
        <w:tc>
          <w:tcPr>
            <w:tcW w:w="14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6B9079">
            <w:pPr>
              <w:keepNext w:val="0"/>
              <w:keepLines w:val="0"/>
              <w:widowControl/>
              <w:suppressLineNumbers w:val="0"/>
              <w:jc w:val="center"/>
              <w:textAlignment w:val="center"/>
              <w:rPr>
                <w:rFonts w:hint="eastAsia" w:ascii="仿宋_GB2312" w:hAnsi="仿宋_GB2312" w:eastAsia="仿宋_GB2312" w:cs="仿宋_GB2312"/>
                <w:i w:val="0"/>
                <w:color w:val="auto"/>
                <w:sz w:val="28"/>
                <w:szCs w:val="28"/>
                <w:u w:val="none"/>
              </w:rPr>
            </w:pPr>
            <w:r>
              <w:rPr>
                <w:rFonts w:hint="eastAsia" w:ascii="仿宋_GB2312" w:hAnsi="仿宋_GB2312" w:eastAsia="仿宋_GB2312" w:cs="仿宋_GB2312"/>
                <w:i w:val="0"/>
                <w:color w:val="auto"/>
                <w:kern w:val="0"/>
                <w:sz w:val="28"/>
                <w:szCs w:val="28"/>
                <w:u w:val="none"/>
                <w:lang w:val="en-US" w:eastAsia="zh-CN" w:bidi="ar"/>
              </w:rPr>
              <w:t>≤8</w:t>
            </w:r>
          </w:p>
        </w:tc>
      </w:tr>
    </w:tbl>
    <w:p w14:paraId="12CAC901">
      <w:pPr>
        <w:numPr>
          <w:ilvl w:val="0"/>
          <w:numId w:val="0"/>
        </w:numPr>
        <w:ind w:leftChars="192"/>
        <w:rPr>
          <w:rFonts w:hint="eastAsia" w:ascii="仿宋_GB2312" w:hAnsi="华文中宋" w:eastAsia="仿宋_GB2312"/>
          <w:sz w:val="28"/>
          <w:szCs w:val="28"/>
          <w:lang w:val="en-US" w:eastAsia="zh-CN"/>
        </w:rPr>
      </w:pPr>
      <w:r>
        <w:rPr>
          <w:rFonts w:hint="eastAsia" w:ascii="仿宋_GB2312" w:hAnsi="仿宋_GB2312" w:eastAsia="仿宋_GB2312" w:cs="仿宋_GB2312"/>
          <w:color w:val="auto"/>
          <w:sz w:val="28"/>
          <w:szCs w:val="28"/>
          <w:lang w:val="en-US" w:eastAsia="zh-CN"/>
        </w:rPr>
        <w:t xml:space="preserve">     </w:t>
      </w:r>
    </w:p>
    <w:p w14:paraId="6F7DFD05">
      <w:pPr>
        <w:numPr>
          <w:ilvl w:val="0"/>
          <w:numId w:val="0"/>
        </w:numPr>
        <w:ind w:leftChars="192"/>
        <w:rPr>
          <w:rFonts w:hint="default" w:ascii="仿宋_GB2312" w:hAnsi="华文中宋" w:eastAsia="仿宋_GB2312"/>
          <w:sz w:val="28"/>
          <w:szCs w:val="28"/>
          <w:lang w:val="en-US" w:eastAsia="zh-CN"/>
        </w:rPr>
      </w:pPr>
    </w:p>
    <w:p w14:paraId="675F9BAC">
      <w:pPr>
        <w:numPr>
          <w:ilvl w:val="0"/>
          <w:numId w:val="0"/>
        </w:numPr>
        <w:ind w:leftChars="192"/>
        <w:rPr>
          <w:rFonts w:hint="eastAsia" w:ascii="仿宋_GB2312" w:hAnsi="华文中宋" w:eastAsia="仿宋_GB2312"/>
          <w:sz w:val="28"/>
          <w:szCs w:val="28"/>
          <w:lang w:val="en-US" w:eastAsia="zh-CN"/>
        </w:rPr>
      </w:pPr>
    </w:p>
    <w:p w14:paraId="3EE2D132">
      <w:pPr>
        <w:numPr>
          <w:ilvl w:val="0"/>
          <w:numId w:val="0"/>
        </w:numPr>
        <w:ind w:leftChars="192"/>
        <w:rPr>
          <w:rFonts w:hint="eastAsia" w:ascii="仿宋_GB2312" w:hAnsi="华文中宋" w:eastAsia="仿宋_GB2312"/>
          <w:sz w:val="28"/>
          <w:szCs w:val="28"/>
          <w:lang w:val="en-US" w:eastAsia="zh-CN"/>
        </w:rPr>
      </w:pPr>
    </w:p>
    <w:p w14:paraId="5B2120E3">
      <w:pPr>
        <w:numPr>
          <w:ilvl w:val="0"/>
          <w:numId w:val="0"/>
        </w:numPr>
        <w:ind w:leftChars="192"/>
        <w:rPr>
          <w:rFonts w:hint="eastAsia" w:ascii="仿宋_GB2312" w:hAnsi="华文中宋" w:eastAsia="仿宋_GB2312"/>
          <w:sz w:val="28"/>
          <w:szCs w:val="28"/>
          <w:lang w:val="en-US" w:eastAsia="zh-CN"/>
        </w:rPr>
      </w:pPr>
    </w:p>
    <w:p w14:paraId="1B6D0D83">
      <w:pPr>
        <w:numPr>
          <w:ilvl w:val="0"/>
          <w:numId w:val="0"/>
        </w:numPr>
        <w:ind w:firstLine="560" w:firstLineChars="200"/>
        <w:rPr>
          <w:rStyle w:val="9"/>
          <w:rFonts w:hint="eastAsia" w:ascii="仿宋_GB2312" w:hAnsi="宋体" w:eastAsia="仿宋_GB2312"/>
          <w:sz w:val="28"/>
          <w:szCs w:val="28"/>
          <w:lang w:eastAsia="zh-CN"/>
        </w:rPr>
      </w:pPr>
      <w:r>
        <w:rPr>
          <w:rFonts w:hint="eastAsia" w:ascii="仿宋_GB2312" w:hAnsi="华文中宋" w:eastAsia="仿宋_GB2312"/>
          <w:sz w:val="28"/>
          <w:szCs w:val="28"/>
          <w:lang w:val="en-US" w:eastAsia="zh-CN"/>
        </w:rPr>
        <w:t>3.产品</w:t>
      </w:r>
      <w:r>
        <w:rPr>
          <w:rStyle w:val="9"/>
          <w:rFonts w:hint="eastAsia" w:ascii="仿宋_GB2312" w:hAnsi="宋体" w:eastAsia="仿宋_GB2312"/>
          <w:sz w:val="28"/>
          <w:szCs w:val="28"/>
          <w:lang w:eastAsia="zh-CN"/>
        </w:rPr>
        <w:t>售后</w:t>
      </w:r>
      <w:r>
        <w:rPr>
          <w:rStyle w:val="9"/>
          <w:rFonts w:hint="eastAsia" w:ascii="仿宋_GB2312" w:hAnsi="宋体" w:eastAsia="仿宋_GB2312"/>
          <w:sz w:val="28"/>
          <w:szCs w:val="28"/>
        </w:rPr>
        <w:t>服务</w:t>
      </w:r>
      <w:r>
        <w:rPr>
          <w:rStyle w:val="9"/>
          <w:rFonts w:hint="eastAsia" w:ascii="仿宋_GB2312" w:hAnsi="宋体" w:eastAsia="仿宋_GB2312"/>
          <w:sz w:val="28"/>
          <w:szCs w:val="28"/>
          <w:lang w:eastAsia="zh-CN"/>
        </w:rPr>
        <w:t>要求</w:t>
      </w:r>
    </w:p>
    <w:p w14:paraId="14302098">
      <w:pPr>
        <w:tabs>
          <w:tab w:val="left" w:pos="8280"/>
        </w:tabs>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供方</w:t>
      </w:r>
      <w:r>
        <w:rPr>
          <w:rFonts w:hint="eastAsia" w:ascii="仿宋_GB2312" w:hAnsi="宋体" w:eastAsia="仿宋_GB2312"/>
          <w:sz w:val="28"/>
          <w:szCs w:val="28"/>
          <w:lang w:eastAsia="zh-CN"/>
        </w:rPr>
        <w:t>产品在需方使用及投入生产过程中出现质量异议时</w:t>
      </w:r>
      <w:r>
        <w:rPr>
          <w:rFonts w:hint="eastAsia" w:ascii="仿宋_GB2312" w:hAnsi="宋体" w:eastAsia="仿宋_GB2312"/>
          <w:sz w:val="28"/>
          <w:szCs w:val="28"/>
        </w:rPr>
        <w:t>应</w:t>
      </w:r>
      <w:r>
        <w:rPr>
          <w:rFonts w:hint="eastAsia" w:ascii="仿宋_GB2312" w:hAnsi="宋体" w:eastAsia="仿宋_GB2312"/>
          <w:sz w:val="28"/>
          <w:szCs w:val="28"/>
          <w:lang w:eastAsia="zh-CN"/>
        </w:rPr>
        <w:t>及时</w:t>
      </w:r>
      <w:r>
        <w:rPr>
          <w:rFonts w:hint="eastAsia" w:ascii="仿宋_GB2312" w:hAnsi="宋体" w:eastAsia="仿宋_GB2312"/>
          <w:sz w:val="28"/>
          <w:szCs w:val="28"/>
        </w:rPr>
        <w:t>派技术</w:t>
      </w:r>
      <w:r>
        <w:rPr>
          <w:rFonts w:hint="eastAsia" w:ascii="仿宋_GB2312" w:hAnsi="宋体" w:eastAsia="仿宋_GB2312"/>
          <w:sz w:val="28"/>
          <w:szCs w:val="28"/>
          <w:lang w:eastAsia="zh-CN"/>
        </w:rPr>
        <w:t>人员</w:t>
      </w:r>
      <w:r>
        <w:rPr>
          <w:rFonts w:hint="eastAsia" w:ascii="仿宋_GB2312" w:hAnsi="宋体" w:eastAsia="仿宋_GB2312"/>
          <w:sz w:val="28"/>
          <w:szCs w:val="28"/>
        </w:rPr>
        <w:t>来现场进行技术交流并跟踪其产品使用情况。</w:t>
      </w:r>
    </w:p>
    <w:p w14:paraId="3E114F4F">
      <w:pPr>
        <w:numPr>
          <w:ilvl w:val="0"/>
          <w:numId w:val="0"/>
        </w:numPr>
        <w:ind w:left="0" w:leftChars="0" w:firstLine="560"/>
        <w:rPr>
          <w:rStyle w:val="9"/>
          <w:rFonts w:hint="eastAsia" w:ascii="仿宋_GB2312" w:hAnsi="宋体" w:eastAsia="仿宋_GB2312"/>
          <w:sz w:val="28"/>
          <w:szCs w:val="28"/>
          <w:lang w:val="en-US" w:eastAsia="zh-CN"/>
        </w:rPr>
      </w:pPr>
      <w:r>
        <w:rPr>
          <w:rStyle w:val="9"/>
          <w:rFonts w:hint="eastAsia" w:ascii="仿宋_GB2312" w:hAnsi="宋体" w:eastAsia="仿宋_GB2312"/>
          <w:sz w:val="28"/>
          <w:szCs w:val="28"/>
          <w:lang w:val="en-US" w:eastAsia="zh-CN"/>
        </w:rPr>
        <w:t>4.产品供货期限：2025年12月15日前完成全部供货。</w:t>
      </w:r>
    </w:p>
    <w:p w14:paraId="5AB4B422">
      <w:pPr>
        <w:numPr>
          <w:ilvl w:val="0"/>
          <w:numId w:val="0"/>
        </w:numPr>
        <w:ind w:firstLine="560" w:firstLineChars="200"/>
        <w:rPr>
          <w:rStyle w:val="9"/>
          <w:rFonts w:hint="eastAsia" w:ascii="仿宋_GB2312" w:hAnsi="宋体" w:eastAsia="仿宋_GB2312"/>
          <w:sz w:val="28"/>
          <w:szCs w:val="28"/>
          <w:lang w:val="en-US" w:eastAsia="zh-CN"/>
        </w:rPr>
      </w:pPr>
      <w:r>
        <w:rPr>
          <w:rStyle w:val="9"/>
          <w:rFonts w:hint="eastAsia" w:ascii="仿宋_GB2312" w:hAnsi="宋体" w:eastAsia="仿宋_GB2312"/>
          <w:sz w:val="28"/>
          <w:szCs w:val="28"/>
          <w:lang w:val="en-US" w:eastAsia="zh-CN"/>
        </w:rPr>
        <w:t>5.产品验收</w:t>
      </w:r>
    </w:p>
    <w:p w14:paraId="54E26F75">
      <w:pPr>
        <w:numPr>
          <w:ilvl w:val="0"/>
          <w:numId w:val="0"/>
        </w:numPr>
        <w:rPr>
          <w:rStyle w:val="9"/>
          <w:rFonts w:hint="default" w:ascii="仿宋_GB2312" w:hAnsi="宋体" w:eastAsia="仿宋_GB2312"/>
          <w:sz w:val="28"/>
          <w:szCs w:val="28"/>
          <w:lang w:val="en-US" w:eastAsia="zh-CN"/>
        </w:rPr>
      </w:pPr>
      <w:r>
        <w:rPr>
          <w:rStyle w:val="9"/>
          <w:rFonts w:hint="eastAsia" w:ascii="仿宋_GB2312" w:hAnsi="宋体" w:eastAsia="仿宋_GB2312"/>
          <w:sz w:val="28"/>
          <w:szCs w:val="28"/>
          <w:lang w:val="en-US" w:eastAsia="zh-CN"/>
        </w:rPr>
        <w:t xml:space="preserve">    5.1数量验收：以买方过磅数量为准（包装不计重、不计价、不回收）。</w:t>
      </w:r>
    </w:p>
    <w:p w14:paraId="27B96C6B">
      <w:pPr>
        <w:numPr>
          <w:ilvl w:val="0"/>
          <w:numId w:val="0"/>
        </w:numPr>
        <w:ind w:left="0" w:leftChars="0" w:firstLine="560" w:firstLineChars="200"/>
        <w:rPr>
          <w:rStyle w:val="9"/>
          <w:rFonts w:hint="default" w:ascii="仿宋_GB2312" w:hAnsi="仿宋_GB2312" w:eastAsia="仿宋_GB2312" w:cs="仿宋_GB2312"/>
          <w:sz w:val="28"/>
          <w:szCs w:val="28"/>
          <w:lang w:val="en-US" w:eastAsia="zh-CN"/>
        </w:rPr>
      </w:pPr>
      <w:r>
        <w:rPr>
          <w:rStyle w:val="9"/>
          <w:rFonts w:hint="eastAsia" w:ascii="仿宋_GB2312" w:hAnsi="宋体" w:eastAsia="仿宋_GB2312"/>
          <w:sz w:val="28"/>
          <w:szCs w:val="28"/>
          <w:lang w:val="en-US" w:eastAsia="zh-CN"/>
        </w:rPr>
        <w:t>5.2质量验收：物资到货后，由需方在5日内进行外在质量验收；如有外在质量问题，需方应在物资到货5日内向供方提出异议，供方应在接到异议通知3日内给予明确答复，过期则视为对异议的认可，需方可据此验收资料向卖方索赔。内在质量在货物交付后由供需双方取样送至第三方专业机构检验，检验费用由供方承担。如需在供方处取样，</w:t>
      </w:r>
      <w:r>
        <w:rPr>
          <w:rStyle w:val="9"/>
          <w:rFonts w:hint="eastAsia" w:ascii="仿宋_GB2312" w:hAnsi="仿宋_GB2312" w:eastAsia="仿宋_GB2312" w:cs="仿宋_GB2312"/>
          <w:sz w:val="28"/>
          <w:szCs w:val="28"/>
          <w:lang w:val="en-US" w:eastAsia="zh-CN"/>
        </w:rPr>
        <w:t>需方提前电话通知。检验质量不合格时</w:t>
      </w:r>
      <w:r>
        <w:rPr>
          <w:rStyle w:val="9"/>
          <w:rFonts w:hint="eastAsia" w:ascii="仿宋_GB2312" w:hAnsi="宋体" w:eastAsia="仿宋_GB2312" w:cs="Times New Roman"/>
          <w:color w:val="auto"/>
          <w:sz w:val="28"/>
          <w:szCs w:val="28"/>
          <w:lang w:val="en-US" w:eastAsia="zh-CN"/>
        </w:rPr>
        <w:t>按买方《电解槽大修材料评判标准》降价或退货处理。</w:t>
      </w:r>
      <w:r>
        <w:rPr>
          <w:rStyle w:val="9"/>
          <w:rFonts w:hint="eastAsia" w:ascii="仿宋_GB2312" w:hAnsi="宋体" w:eastAsia="仿宋_GB2312"/>
          <w:sz w:val="28"/>
          <w:szCs w:val="28"/>
          <w:lang w:val="en-US" w:eastAsia="zh-CN"/>
        </w:rPr>
        <w:t>供方若对第三方专业机构检验有异议而要求复检，复检费用仍由供方承担。</w:t>
      </w:r>
    </w:p>
    <w:p w14:paraId="1A6B87A5">
      <w:pPr>
        <w:numPr>
          <w:ilvl w:val="0"/>
          <w:numId w:val="0"/>
        </w:numPr>
        <w:ind w:firstLine="560" w:firstLineChars="200"/>
        <w:rPr>
          <w:rFonts w:hint="eastAsia" w:ascii="仿宋_GB2312" w:hAnsi="仿宋_GB2312" w:eastAsia="仿宋_GB2312" w:cs="仿宋_GB2312"/>
          <w:color w:val="auto"/>
          <w:sz w:val="28"/>
          <w:szCs w:val="28"/>
          <w:lang w:val="en-US" w:eastAsia="zh-CN"/>
        </w:rPr>
      </w:pPr>
      <w:r>
        <w:rPr>
          <w:rStyle w:val="9"/>
          <w:rFonts w:hint="eastAsia" w:ascii="仿宋_GB2312" w:hAnsi="宋体" w:eastAsia="仿宋_GB2312"/>
          <w:sz w:val="28"/>
          <w:szCs w:val="28"/>
          <w:lang w:val="en-US" w:eastAsia="zh-CN"/>
        </w:rPr>
        <w:t>5.3</w:t>
      </w:r>
      <w:r>
        <w:rPr>
          <w:rStyle w:val="9"/>
          <w:rFonts w:hint="eastAsia" w:ascii="仿宋_GB2312" w:hAnsi="仿宋_GB2312" w:eastAsia="仿宋_GB2312" w:cs="仿宋_GB2312"/>
          <w:color w:val="auto"/>
          <w:sz w:val="28"/>
          <w:szCs w:val="28"/>
          <w:lang w:val="en-US" w:eastAsia="zh-CN"/>
        </w:rPr>
        <w:t>取样标准：</w:t>
      </w:r>
      <w:r>
        <w:rPr>
          <w:rFonts w:hint="eastAsia" w:ascii="仿宋_GB2312" w:hAnsi="仿宋_GB2312" w:eastAsia="仿宋_GB2312" w:cs="仿宋_GB2312"/>
          <w:color w:val="auto"/>
          <w:sz w:val="28"/>
          <w:szCs w:val="28"/>
          <w:lang w:val="en-US" w:eastAsia="zh-CN"/>
        </w:rPr>
        <w:t xml:space="preserve"> 依据国家标准陶瓷纤维制品GB/T3003-2006</w:t>
      </w:r>
      <w:r>
        <w:rPr>
          <w:rFonts w:hint="eastAsia" w:ascii="仿宋_GB2312" w:hAnsi="仿宋_GB2312" w:eastAsia="仿宋_GB2312" w:cs="仿宋_GB2312"/>
          <w:color w:val="auto"/>
          <w:sz w:val="28"/>
          <w:szCs w:val="28"/>
          <w:lang w:eastAsia="zh-CN"/>
        </w:rPr>
        <w:t>和公司大修材料评判标准进行外观质量和理化指标检验判定</w:t>
      </w:r>
      <w:r>
        <w:rPr>
          <w:rFonts w:hint="eastAsia" w:ascii="仿宋_GB2312" w:hAnsi="仿宋_GB2312" w:eastAsia="仿宋_GB2312" w:cs="仿宋_GB2312"/>
          <w:color w:val="auto"/>
          <w:sz w:val="28"/>
          <w:szCs w:val="28"/>
          <w:lang w:val="en-US" w:eastAsia="zh-CN"/>
        </w:rPr>
        <w:t>,外观尺寸允许偏差及表面质量的抽查按照国标选取</w:t>
      </w:r>
      <w:r>
        <w:rPr>
          <w:rFonts w:hint="eastAsia" w:ascii="仿宋_GB2312" w:hAnsi="仿宋_GB2312" w:eastAsia="仿宋_GB2312" w:cs="仿宋_GB2312"/>
          <w:b w:val="0"/>
          <w:bCs/>
          <w:color w:val="auto"/>
          <w:sz w:val="28"/>
          <w:szCs w:val="28"/>
        </w:rPr>
        <w:t>规定的采样单元数</w:t>
      </w:r>
      <w:r>
        <w:rPr>
          <w:rFonts w:hint="eastAsia" w:ascii="仿宋_GB2312" w:hAnsi="仿宋_GB2312" w:eastAsia="仿宋_GB2312" w:cs="仿宋_GB2312"/>
          <w:b w:val="0"/>
          <w:bCs/>
          <w:color w:val="auto"/>
          <w:sz w:val="28"/>
          <w:szCs w:val="28"/>
          <w:lang w:eastAsia="zh-CN"/>
        </w:rPr>
        <w:t>和抽样方案</w:t>
      </w:r>
      <w:r>
        <w:rPr>
          <w:rFonts w:hint="eastAsia" w:ascii="仿宋_GB2312" w:hAnsi="仿宋_GB2312" w:eastAsia="仿宋_GB2312" w:cs="仿宋_GB2312"/>
          <w:color w:val="auto"/>
          <w:sz w:val="28"/>
          <w:szCs w:val="28"/>
          <w:lang w:val="en-US" w:eastAsia="zh-CN"/>
        </w:rPr>
        <w:t>进行抽查判定</w:t>
      </w:r>
      <w:r>
        <w:rPr>
          <w:rFonts w:hint="eastAsia" w:ascii="仿宋_GB2312" w:hAnsi="仿宋_GB2312" w:eastAsia="仿宋_GB2312" w:cs="仿宋_GB2312"/>
          <w:color w:val="auto"/>
          <w:sz w:val="28"/>
          <w:szCs w:val="28"/>
          <w:lang w:eastAsia="zh-CN"/>
        </w:rPr>
        <w:t>，理化指标的检验</w:t>
      </w:r>
      <w:r>
        <w:rPr>
          <w:rFonts w:hint="eastAsia" w:ascii="仿宋_GB2312" w:hAnsi="仿宋_GB2312" w:eastAsia="仿宋_GB2312" w:cs="仿宋_GB2312"/>
          <w:color w:val="auto"/>
          <w:sz w:val="28"/>
          <w:szCs w:val="28"/>
          <w:lang w:val="en-US" w:eastAsia="zh-CN"/>
        </w:rPr>
        <w:t>取样按照每批次20吨。</w:t>
      </w:r>
    </w:p>
    <w:p w14:paraId="7175285D">
      <w:pPr>
        <w:numPr>
          <w:ilvl w:val="0"/>
          <w:numId w:val="0"/>
        </w:numPr>
        <w:ind w:firstLine="560" w:firstLineChars="200"/>
        <w:rPr>
          <w:rStyle w:val="9"/>
          <w:rFonts w:hint="eastAsia" w:ascii="仿宋_GB2312" w:hAnsi="宋体" w:eastAsia="仿宋_GB2312"/>
          <w:sz w:val="28"/>
          <w:szCs w:val="28"/>
          <w:lang w:val="en-US" w:eastAsia="zh-CN"/>
        </w:rPr>
      </w:pPr>
      <w:r>
        <w:rPr>
          <w:rStyle w:val="9"/>
          <w:rFonts w:hint="eastAsia" w:ascii="仿宋_GB2312" w:hAnsi="宋体" w:eastAsia="仿宋_GB2312"/>
          <w:sz w:val="28"/>
          <w:szCs w:val="28"/>
          <w:lang w:val="en-US" w:eastAsia="zh-CN"/>
        </w:rPr>
        <w:t>6.协议有效期：自签订日起12个月。</w:t>
      </w:r>
    </w:p>
    <w:p w14:paraId="099F52E5">
      <w:pPr>
        <w:numPr>
          <w:ilvl w:val="0"/>
          <w:numId w:val="0"/>
        </w:numPr>
        <w:ind w:left="0" w:leftChars="0" w:firstLine="560"/>
        <w:rPr>
          <w:rStyle w:val="9"/>
          <w:rFonts w:hint="eastAsia" w:ascii="仿宋_GB2312" w:hAnsi="宋体" w:eastAsia="仿宋_GB2312"/>
          <w:sz w:val="28"/>
          <w:szCs w:val="28"/>
          <w:lang w:val="en-US" w:eastAsia="zh-CN"/>
        </w:rPr>
      </w:pPr>
      <w:r>
        <w:rPr>
          <w:rStyle w:val="9"/>
          <w:rFonts w:hint="eastAsia" w:ascii="仿宋_GB2312" w:hAnsi="宋体" w:eastAsia="仿宋_GB2312"/>
          <w:sz w:val="28"/>
          <w:szCs w:val="28"/>
          <w:lang w:val="en-US" w:eastAsia="zh-CN"/>
        </w:rPr>
        <w:t>7.本协议与对应合同具有同等法律效力，经双方授权代表人或委托代理人签字盖章后正式生效。</w:t>
      </w:r>
    </w:p>
    <w:p w14:paraId="6CFB74A8">
      <w:pPr>
        <w:widowControl/>
        <w:spacing w:line="480" w:lineRule="atLeast"/>
        <w:ind w:firstLine="537" w:firstLineChars="192"/>
        <w:rPr>
          <w:rFonts w:hint="eastAsia" w:ascii="仿宋_GB2312" w:hAnsi="华文中宋" w:eastAsia="仿宋_GB2312"/>
          <w:sz w:val="28"/>
          <w:szCs w:val="28"/>
        </w:rPr>
      </w:pPr>
      <w:r>
        <w:rPr>
          <w:rFonts w:hint="eastAsia" w:ascii="仿宋_GB2312" w:eastAsia="仿宋_GB2312"/>
          <w:kern w:val="0"/>
          <w:sz w:val="28"/>
          <w:szCs w:val="28"/>
        </w:rPr>
        <w:t>需方（甲方）：</w:t>
      </w:r>
      <w:r>
        <w:rPr>
          <w:rFonts w:hint="eastAsia" w:ascii="仿宋_GB2312" w:hAnsi="华文中宋" w:eastAsia="仿宋_GB2312"/>
          <w:sz w:val="28"/>
          <w:szCs w:val="28"/>
        </w:rPr>
        <w:t>甘肃东兴铝业有限公司陇西分公司</w:t>
      </w:r>
    </w:p>
    <w:p w14:paraId="6F8E059C">
      <w:pPr>
        <w:widowControl/>
        <w:spacing w:line="480" w:lineRule="atLeast"/>
        <w:ind w:firstLine="537" w:firstLineChars="192"/>
        <w:rPr>
          <w:rFonts w:hint="eastAsia" w:ascii="仿宋_GB2312" w:eastAsia="仿宋_GB2312"/>
          <w:kern w:val="0"/>
          <w:sz w:val="28"/>
          <w:szCs w:val="28"/>
        </w:rPr>
      </w:pPr>
      <w:r>
        <w:rPr>
          <w:rFonts w:hint="eastAsia" w:ascii="仿宋_GB2312" w:eastAsia="仿宋_GB2312"/>
          <w:kern w:val="0"/>
          <w:sz w:val="28"/>
          <w:szCs w:val="28"/>
        </w:rPr>
        <w:t>需方（甲方）授权代表或委托代理人：</w:t>
      </w:r>
    </w:p>
    <w:p w14:paraId="406B9020">
      <w:pPr>
        <w:widowControl/>
        <w:spacing w:line="480" w:lineRule="atLeast"/>
        <w:ind w:firstLine="537" w:firstLineChars="192"/>
        <w:rPr>
          <w:rFonts w:hint="eastAsia" w:ascii="仿宋_GB2312" w:eastAsia="仿宋_GB2312"/>
          <w:kern w:val="0"/>
          <w:sz w:val="28"/>
          <w:szCs w:val="28"/>
        </w:rPr>
      </w:pPr>
      <w:r>
        <w:rPr>
          <w:rFonts w:hint="eastAsia" w:ascii="仿宋_GB2312" w:eastAsia="仿宋_GB2312"/>
          <w:kern w:val="0"/>
          <w:sz w:val="28"/>
          <w:szCs w:val="28"/>
        </w:rPr>
        <w:t>签订日期：</w:t>
      </w:r>
      <w:r>
        <w:rPr>
          <w:rFonts w:hint="eastAsia" w:ascii="仿宋_GB2312" w:eastAsia="仿宋_GB2312"/>
          <w:kern w:val="0"/>
          <w:sz w:val="28"/>
          <w:szCs w:val="28"/>
          <w:lang w:val="en-US" w:eastAsia="zh-CN"/>
        </w:rPr>
        <w:t xml:space="preserve">   </w:t>
      </w:r>
      <w:r>
        <w:rPr>
          <w:rFonts w:hint="eastAsia" w:ascii="仿宋_GB2312" w:eastAsia="仿宋_GB2312"/>
          <w:kern w:val="0"/>
          <w:sz w:val="28"/>
          <w:szCs w:val="28"/>
        </w:rPr>
        <w:t>年  月   日</w:t>
      </w:r>
    </w:p>
    <w:p w14:paraId="07097A90">
      <w:pPr>
        <w:widowControl/>
        <w:spacing w:line="480" w:lineRule="atLeast"/>
        <w:rPr>
          <w:rFonts w:hint="eastAsia" w:ascii="仿宋_GB2312" w:eastAsia="仿宋_GB2312"/>
          <w:kern w:val="0"/>
          <w:sz w:val="11"/>
          <w:szCs w:val="28"/>
        </w:rPr>
      </w:pPr>
    </w:p>
    <w:p w14:paraId="02B04968">
      <w:pPr>
        <w:widowControl/>
        <w:spacing w:line="480" w:lineRule="atLeast"/>
        <w:ind w:firstLine="537" w:firstLineChars="192"/>
        <w:rPr>
          <w:rFonts w:hint="eastAsia" w:ascii="仿宋_GB2312" w:eastAsia="仿宋_GB2312"/>
          <w:kern w:val="0"/>
          <w:sz w:val="28"/>
          <w:szCs w:val="28"/>
        </w:rPr>
      </w:pPr>
      <w:r>
        <w:rPr>
          <w:rFonts w:hint="eastAsia" w:ascii="仿宋_GB2312" w:eastAsia="仿宋_GB2312"/>
          <w:kern w:val="0"/>
          <w:sz w:val="28"/>
          <w:szCs w:val="28"/>
        </w:rPr>
        <w:t>供方（乙方）：</w:t>
      </w:r>
    </w:p>
    <w:p w14:paraId="325BF3AA">
      <w:pPr>
        <w:widowControl/>
        <w:spacing w:line="480" w:lineRule="atLeast"/>
        <w:ind w:firstLine="537" w:firstLineChars="192"/>
        <w:rPr>
          <w:rFonts w:hint="eastAsia" w:ascii="仿宋_GB2312" w:eastAsia="仿宋_GB2312"/>
          <w:kern w:val="0"/>
          <w:sz w:val="28"/>
          <w:szCs w:val="28"/>
        </w:rPr>
      </w:pPr>
      <w:r>
        <w:rPr>
          <w:rFonts w:hint="eastAsia" w:ascii="仿宋_GB2312" w:eastAsia="仿宋_GB2312"/>
          <w:kern w:val="0"/>
          <w:sz w:val="28"/>
          <w:szCs w:val="28"/>
        </w:rPr>
        <w:t>供方（乙方）授权代表或委托代理人：</w:t>
      </w:r>
    </w:p>
    <w:p w14:paraId="6AB131C9">
      <w:pPr>
        <w:widowControl/>
        <w:spacing w:line="480" w:lineRule="atLeast"/>
        <w:ind w:firstLine="537" w:firstLineChars="192"/>
        <w:rPr>
          <w:rFonts w:hint="eastAsia" w:ascii="仿宋_GB2312" w:eastAsia="仿宋_GB2312"/>
          <w:kern w:val="0"/>
          <w:sz w:val="28"/>
          <w:szCs w:val="28"/>
        </w:rPr>
      </w:pPr>
      <w:r>
        <w:rPr>
          <w:rFonts w:hint="eastAsia" w:ascii="仿宋_GB2312" w:eastAsia="仿宋_GB2312"/>
          <w:kern w:val="0"/>
          <w:sz w:val="28"/>
          <w:szCs w:val="28"/>
        </w:rPr>
        <w:t>签订日期：</w:t>
      </w:r>
      <w:r>
        <w:rPr>
          <w:rFonts w:hint="eastAsia" w:ascii="仿宋_GB2312" w:eastAsia="仿宋_GB2312"/>
          <w:kern w:val="0"/>
          <w:sz w:val="28"/>
          <w:szCs w:val="28"/>
          <w:lang w:val="en-US" w:eastAsia="zh-CN"/>
        </w:rPr>
        <w:t xml:space="preserve">   </w:t>
      </w:r>
      <w:r>
        <w:rPr>
          <w:rFonts w:hint="eastAsia" w:ascii="仿宋_GB2312" w:eastAsia="仿宋_GB2312"/>
          <w:kern w:val="0"/>
          <w:sz w:val="28"/>
          <w:szCs w:val="28"/>
        </w:rPr>
        <w:t>年  月   日</w:t>
      </w:r>
    </w:p>
    <w:p w14:paraId="0352BE62">
      <w:pPr>
        <w:jc w:val="both"/>
        <w:rPr>
          <w:rFonts w:hint="default" w:ascii="仿宋_GB2312" w:hAnsi="华文中宋" w:eastAsia="仿宋_GB2312"/>
          <w:sz w:val="28"/>
          <w:szCs w:val="28"/>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B8DCB">
    <w:pPr>
      <w:pStyle w:val="3"/>
      <w:rPr>
        <w:rFonts w:hint="eastAsia" w:eastAsiaTheme="minorEastAsia"/>
        <w:lang w:eastAsia="zh-CN"/>
      </w:rPr>
    </w:pPr>
    <w:r>
      <w:rPr>
        <w:rFonts w:hint="eastAsia" w:eastAsiaTheme="minorEastAsia"/>
        <w:lang w:eastAsia="zh-CN"/>
      </w:rPr>
      <w:drawing>
        <wp:inline distT="0" distB="0" distL="114300" distR="114300">
          <wp:extent cx="2000250" cy="514350"/>
          <wp:effectExtent l="0" t="0" r="0" b="0"/>
          <wp:docPr id="4" name="图片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logo"/>
                  <pic:cNvPicPr>
                    <a:picLocks noChangeAspect="1"/>
                  </pic:cNvPicPr>
                </pic:nvPicPr>
                <pic:blipFill>
                  <a:blip r:embed="rId1"/>
                  <a:stretch>
                    <a:fillRect/>
                  </a:stretch>
                </pic:blipFill>
                <pic:spPr>
                  <a:xfrm>
                    <a:off x="0" y="0"/>
                    <a:ext cx="2000250" cy="51435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417C33"/>
    <w:rsid w:val="032C5527"/>
    <w:rsid w:val="0B1533D3"/>
    <w:rsid w:val="0EB1447F"/>
    <w:rsid w:val="13883547"/>
    <w:rsid w:val="14F62D0D"/>
    <w:rsid w:val="19DE56D2"/>
    <w:rsid w:val="1AC25072"/>
    <w:rsid w:val="1DD62D9C"/>
    <w:rsid w:val="219C7B45"/>
    <w:rsid w:val="27470D32"/>
    <w:rsid w:val="27F51106"/>
    <w:rsid w:val="2931135E"/>
    <w:rsid w:val="29891C69"/>
    <w:rsid w:val="2C417C33"/>
    <w:rsid w:val="30DF26B6"/>
    <w:rsid w:val="325E4ED7"/>
    <w:rsid w:val="35A75880"/>
    <w:rsid w:val="3EB046A7"/>
    <w:rsid w:val="48B3161C"/>
    <w:rsid w:val="5D7D569B"/>
    <w:rsid w:val="5D8649AF"/>
    <w:rsid w:val="60E861AE"/>
    <w:rsid w:val="61940429"/>
    <w:rsid w:val="65477084"/>
    <w:rsid w:val="67384E38"/>
    <w:rsid w:val="6BDA1B25"/>
    <w:rsid w:val="6C9B483D"/>
    <w:rsid w:val="6EA1250E"/>
    <w:rsid w:val="750A1478"/>
    <w:rsid w:val="7DF00B14"/>
    <w:rsid w:val="7FD50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customStyle="1" w:styleId="9">
    <w:name w:val="spnmessagetext"/>
    <w:basedOn w:val="7"/>
    <w:qFormat/>
    <w:uiPriority w:val="0"/>
  </w:style>
  <w:style w:type="character" w:customStyle="1" w:styleId="10">
    <w:name w:val="font01"/>
    <w:basedOn w:val="7"/>
    <w:qFormat/>
    <w:uiPriority w:val="0"/>
    <w:rPr>
      <w:rFonts w:hint="eastAsia" w:ascii="宋体" w:hAnsi="宋体" w:eastAsia="宋体" w:cs="宋体"/>
      <w:color w:val="000000"/>
      <w:sz w:val="24"/>
      <w:szCs w:val="24"/>
      <w:u w:val="none"/>
      <w:vertAlign w:val="superscript"/>
    </w:rPr>
  </w:style>
  <w:style w:type="character" w:customStyle="1" w:styleId="11">
    <w:name w:val="font51"/>
    <w:basedOn w:val="7"/>
    <w:qFormat/>
    <w:uiPriority w:val="0"/>
    <w:rPr>
      <w:rFonts w:hint="eastAsia" w:ascii="宋体" w:hAnsi="宋体" w:eastAsia="宋体" w:cs="宋体"/>
      <w:color w:val="000000"/>
      <w:sz w:val="24"/>
      <w:szCs w:val="24"/>
      <w:u w:val="none"/>
    </w:rPr>
  </w:style>
  <w:style w:type="character" w:customStyle="1" w:styleId="12">
    <w:name w:val="font11"/>
    <w:basedOn w:val="7"/>
    <w:qFormat/>
    <w:uiPriority w:val="0"/>
    <w:rPr>
      <w:rFonts w:hint="eastAsia" w:ascii="宋体" w:hAnsi="宋体" w:eastAsia="宋体" w:cs="宋体"/>
      <w:color w:val="000000"/>
      <w:sz w:val="24"/>
      <w:szCs w:val="24"/>
      <w:u w:val="none"/>
      <w:vertAlign w:val="subscript"/>
    </w:rPr>
  </w:style>
  <w:style w:type="character" w:customStyle="1" w:styleId="13">
    <w:name w:val="font41"/>
    <w:basedOn w:val="7"/>
    <w:qFormat/>
    <w:uiPriority w:val="0"/>
    <w:rPr>
      <w:rFonts w:hint="eastAsia" w:ascii="宋体" w:hAnsi="宋体" w:eastAsia="宋体" w:cs="宋体"/>
      <w:color w:val="000000"/>
      <w:sz w:val="24"/>
      <w:szCs w:val="24"/>
      <w:u w:val="none"/>
      <w:vertAlign w:val="subscript"/>
    </w:rPr>
  </w:style>
  <w:style w:type="character" w:customStyle="1" w:styleId="14">
    <w:name w:val="font61"/>
    <w:basedOn w:val="7"/>
    <w:qFormat/>
    <w:uiPriority w:val="0"/>
    <w:rPr>
      <w:rFonts w:hint="eastAsia" w:ascii="宋体" w:hAnsi="宋体" w:eastAsia="宋体" w:cs="宋体"/>
      <w:color w:val="000000"/>
      <w:sz w:val="24"/>
      <w:szCs w:val="24"/>
      <w:u w:val="none"/>
    </w:rPr>
  </w:style>
  <w:style w:type="character" w:customStyle="1" w:styleId="15">
    <w:name w:val="font31"/>
    <w:basedOn w:val="7"/>
    <w:qFormat/>
    <w:uiPriority w:val="0"/>
    <w:rPr>
      <w:rFonts w:hint="eastAsia" w:ascii="宋体" w:hAnsi="宋体" w:eastAsia="宋体" w:cs="宋体"/>
      <w:color w:val="0000FF"/>
      <w:sz w:val="24"/>
      <w:szCs w:val="24"/>
      <w:u w:val="none"/>
      <w:vertAlign w:val="superscript"/>
    </w:rPr>
  </w:style>
  <w:style w:type="character" w:customStyle="1" w:styleId="16">
    <w:name w:val="font21"/>
    <w:basedOn w:val="7"/>
    <w:qFormat/>
    <w:uiPriority w:val="0"/>
    <w:rPr>
      <w:rFonts w:hint="eastAsia" w:ascii="宋体" w:hAnsi="宋体" w:eastAsia="宋体" w:cs="宋体"/>
      <w:color w:val="0000FF"/>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819</Words>
  <Characters>899</Characters>
  <Lines>0</Lines>
  <Paragraphs>0</Paragraphs>
  <TotalTime>1</TotalTime>
  <ScaleCrop>false</ScaleCrop>
  <LinksUpToDate>false</LinksUpToDate>
  <CharactersWithSpaces>928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2020-02-15T06:52:00Z</dcterms:created>
  <dc:creator>wsj</dc:creator>
  <cp:lastModifiedBy>相濡以沫</cp:lastModifiedBy>
  <dcterms:modified xsi:type="dcterms:W3CDTF">2025-10-21T01:39:08Z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eyJoZGlkIjoiNWZmM2QyZWQ3YTNhMGZkNjcxMjRiMjliZDM4M2JjYTkiLCJ1c2VySWQiOiIyNDg1NDI5MjAifQ==</vt:lpwstr>
  </property>
  <property fmtid="{D5CDD505-2E9C-101B-9397-08002B2CF9AE}" pid="4" name="ICV">
    <vt:lpwstr>C8CC5786770340E8916BB25DFC3BF997_13</vt:lpwstr>
  </property>
</Properties>
</file>