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left="1"/>
        <w:rPr>
          <w:rFonts w:hint="eastAsia" w:ascii="宋体" w:hAnsi="宋体" w:cs="Arial"/>
          <w:sz w:val="24"/>
        </w:rPr>
      </w:pPr>
    </w:p>
    <w:p>
      <w:pPr>
        <w:spacing w:line="440" w:lineRule="exact"/>
        <w:ind w:left="1"/>
        <w:rPr>
          <w:rFonts w:hint="eastAsia" w:ascii="宋体" w:hAnsi="宋体" w:cs="Arial"/>
          <w:sz w:val="24"/>
        </w:rPr>
      </w:pPr>
    </w:p>
    <w:p>
      <w:pPr>
        <w:spacing w:line="440" w:lineRule="exact"/>
        <w:ind w:left="1"/>
        <w:rPr>
          <w:rFonts w:hint="eastAsia" w:ascii="宋体" w:hAnsi="宋体" w:cs="Arial"/>
          <w:sz w:val="24"/>
        </w:rPr>
      </w:pPr>
    </w:p>
    <w:p>
      <w:pPr>
        <w:spacing w:line="440" w:lineRule="exact"/>
        <w:ind w:left="1"/>
        <w:rPr>
          <w:rFonts w:hint="eastAsia" w:ascii="宋体" w:hAnsi="宋体" w:cs="Arial"/>
          <w:sz w:val="24"/>
        </w:rPr>
      </w:pPr>
    </w:p>
    <w:p>
      <w:pPr>
        <w:spacing w:line="440" w:lineRule="exact"/>
        <w:ind w:left="1"/>
        <w:rPr>
          <w:rFonts w:hint="eastAsia" w:ascii="宋体" w:hAnsi="宋体" w:cs="Arial"/>
          <w:sz w:val="24"/>
        </w:rPr>
      </w:pPr>
    </w:p>
    <w:p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52"/>
          <w:szCs w:val="52"/>
        </w:rPr>
        <w:t>东兴铝业净化一作业区永磁交流伺服电机</w:t>
      </w:r>
    </w:p>
    <w:p>
      <w:pPr>
        <w:spacing w:line="440" w:lineRule="exact"/>
        <w:ind w:left="1"/>
        <w:rPr>
          <w:rFonts w:hint="eastAsia" w:ascii="宋体" w:hAnsi="宋体" w:cs="Arial"/>
          <w:sz w:val="24"/>
        </w:rPr>
      </w:pPr>
    </w:p>
    <w:p>
      <w:pPr>
        <w:spacing w:line="440" w:lineRule="exact"/>
        <w:ind w:left="1"/>
        <w:rPr>
          <w:rFonts w:hint="eastAsia" w:ascii="宋体" w:hAnsi="宋体" w:cs="Arial"/>
          <w:sz w:val="24"/>
        </w:rPr>
      </w:pPr>
    </w:p>
    <w:p>
      <w:pPr>
        <w:spacing w:line="720" w:lineRule="auto"/>
        <w:jc w:val="center"/>
        <w:rPr>
          <w:rFonts w:hint="eastAsia" w:ascii="黑体" w:hAnsi="黑体" w:eastAsia="黑体" w:cs="Arial"/>
          <w:sz w:val="52"/>
          <w:szCs w:val="52"/>
        </w:rPr>
      </w:pPr>
      <w:r>
        <w:rPr>
          <w:rFonts w:hint="eastAsia" w:ascii="黑体" w:hAnsi="黑体" w:eastAsia="黑体" w:cs="Arial"/>
          <w:sz w:val="52"/>
          <w:szCs w:val="52"/>
        </w:rPr>
        <w:t>技</w:t>
      </w:r>
    </w:p>
    <w:p>
      <w:pPr>
        <w:spacing w:line="720" w:lineRule="auto"/>
        <w:jc w:val="center"/>
        <w:rPr>
          <w:rFonts w:hint="eastAsia" w:ascii="黑体" w:hAnsi="黑体" w:eastAsia="黑体" w:cs="Arial"/>
          <w:sz w:val="52"/>
          <w:szCs w:val="52"/>
        </w:rPr>
      </w:pPr>
      <w:r>
        <w:rPr>
          <w:rFonts w:hint="eastAsia" w:ascii="黑体" w:hAnsi="黑体" w:eastAsia="黑体" w:cs="Arial"/>
          <w:sz w:val="52"/>
          <w:szCs w:val="52"/>
        </w:rPr>
        <w:t>术</w:t>
      </w:r>
    </w:p>
    <w:p>
      <w:pPr>
        <w:spacing w:line="720" w:lineRule="auto"/>
        <w:jc w:val="center"/>
        <w:rPr>
          <w:rFonts w:hint="eastAsia" w:ascii="黑体" w:hAnsi="黑体" w:eastAsia="黑体" w:cs="Arial"/>
          <w:sz w:val="52"/>
          <w:szCs w:val="52"/>
        </w:rPr>
      </w:pPr>
      <w:r>
        <w:rPr>
          <w:rFonts w:hint="eastAsia" w:ascii="黑体" w:hAnsi="黑体" w:eastAsia="黑体" w:cs="Arial"/>
          <w:sz w:val="52"/>
          <w:szCs w:val="52"/>
        </w:rPr>
        <w:t>规</w:t>
      </w:r>
    </w:p>
    <w:p>
      <w:pPr>
        <w:spacing w:line="720" w:lineRule="auto"/>
        <w:jc w:val="center"/>
        <w:rPr>
          <w:rFonts w:hint="eastAsia" w:ascii="黑体" w:hAnsi="黑体" w:eastAsia="黑体" w:cs="Arial"/>
          <w:sz w:val="52"/>
          <w:szCs w:val="52"/>
        </w:rPr>
      </w:pPr>
      <w:r>
        <w:rPr>
          <w:rFonts w:hint="eastAsia" w:ascii="黑体" w:hAnsi="黑体" w:eastAsia="黑体" w:cs="Arial"/>
          <w:sz w:val="52"/>
          <w:szCs w:val="52"/>
        </w:rPr>
        <w:t>格</w:t>
      </w:r>
    </w:p>
    <w:p>
      <w:pPr>
        <w:spacing w:line="720" w:lineRule="auto"/>
        <w:jc w:val="center"/>
        <w:rPr>
          <w:rFonts w:hint="eastAsia" w:ascii="黑体" w:hAnsi="黑体" w:eastAsia="黑体" w:cs="Arial"/>
          <w:sz w:val="52"/>
          <w:szCs w:val="52"/>
        </w:rPr>
      </w:pPr>
      <w:r>
        <w:rPr>
          <w:rFonts w:hint="eastAsia" w:ascii="黑体" w:hAnsi="黑体" w:eastAsia="黑体" w:cs="Arial"/>
          <w:sz w:val="52"/>
          <w:szCs w:val="52"/>
        </w:rPr>
        <w:t>书</w:t>
      </w:r>
    </w:p>
    <w:p>
      <w:pPr>
        <w:spacing w:line="720" w:lineRule="auto"/>
        <w:jc w:val="center"/>
        <w:rPr>
          <w:rFonts w:hint="eastAsia" w:ascii="黑体" w:hAnsi="黑体" w:eastAsia="黑体" w:cs="Arial"/>
          <w:sz w:val="52"/>
          <w:szCs w:val="52"/>
        </w:rPr>
      </w:pPr>
    </w:p>
    <w:p>
      <w:pPr>
        <w:spacing w:line="440" w:lineRule="exact"/>
        <w:ind w:left="1"/>
        <w:rPr>
          <w:rFonts w:hint="eastAsia" w:ascii="宋体" w:hAnsi="宋体" w:cs="Arial"/>
          <w:sz w:val="24"/>
        </w:rPr>
      </w:pPr>
    </w:p>
    <w:p>
      <w:pPr>
        <w:spacing w:line="440" w:lineRule="exact"/>
        <w:rPr>
          <w:rFonts w:hint="eastAsia" w:ascii="宋体" w:hAnsi="宋体" w:cs="Arial"/>
          <w:sz w:val="24"/>
        </w:rPr>
      </w:pPr>
    </w:p>
    <w:p>
      <w:pPr>
        <w:spacing w:line="440" w:lineRule="exact"/>
        <w:ind w:left="1" w:firstLine="723" w:firstLineChars="300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b/>
          <w:bCs/>
          <w:sz w:val="24"/>
        </w:rPr>
        <w:t>甲方：</w:t>
      </w:r>
      <w:r>
        <w:rPr>
          <w:rFonts w:ascii="宋体" w:hAnsi="宋体" w:cs="宋体"/>
          <w:sz w:val="24"/>
        </w:rPr>
        <w:t xml:space="preserve">甘肃东兴铝业有限公司嘉峪关分公司 </w:t>
      </w:r>
    </w:p>
    <w:p>
      <w:pPr>
        <w:spacing w:line="440" w:lineRule="exact"/>
        <w:ind w:firstLine="723" w:firstLineChars="300"/>
        <w:rPr>
          <w:rFonts w:hint="eastAsia" w:ascii="宋体" w:hAnsi="宋体" w:cs="宋体"/>
          <w:b/>
          <w:bCs/>
          <w:sz w:val="24"/>
        </w:rPr>
      </w:pPr>
    </w:p>
    <w:p>
      <w:pPr>
        <w:spacing w:line="440" w:lineRule="exact"/>
        <w:ind w:firstLine="723" w:firstLineChars="300"/>
        <w:rPr>
          <w:rFonts w:hint="eastAsia" w:ascii="宋体" w:hAnsi="宋体" w:cs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乙方：</w:t>
      </w:r>
    </w:p>
    <w:p>
      <w:pPr>
        <w:spacing w:line="440" w:lineRule="exact"/>
        <w:ind w:left="1"/>
        <w:rPr>
          <w:rFonts w:hint="eastAsia" w:ascii="宋体" w:hAnsi="宋体" w:cs="宋体"/>
          <w:b/>
          <w:bCs/>
          <w:sz w:val="24"/>
        </w:rPr>
      </w:pPr>
    </w:p>
    <w:p>
      <w:pPr>
        <w:spacing w:line="440" w:lineRule="exact"/>
        <w:ind w:left="1"/>
        <w:rPr>
          <w:rFonts w:hint="eastAsia" w:ascii="宋体" w:hAnsi="宋体" w:cs="宋体"/>
          <w:b/>
          <w:bCs/>
          <w:sz w:val="24"/>
        </w:rPr>
      </w:pPr>
    </w:p>
    <w:p>
      <w:pPr>
        <w:spacing w:line="440" w:lineRule="exact"/>
        <w:ind w:left="1"/>
        <w:rPr>
          <w:rFonts w:hint="eastAsia" w:ascii="宋体" w:hAnsi="宋体" w:cs="Arial"/>
          <w:sz w:val="24"/>
        </w:rPr>
      </w:pPr>
    </w:p>
    <w:p>
      <w:pPr>
        <w:spacing w:line="440" w:lineRule="exact"/>
        <w:ind w:left="1"/>
        <w:rPr>
          <w:rFonts w:hint="eastAsia" w:ascii="宋体" w:hAnsi="宋体" w:cs="Arial"/>
          <w:sz w:val="24"/>
        </w:rPr>
      </w:pPr>
    </w:p>
    <w:p>
      <w:pPr>
        <w:spacing w:line="440" w:lineRule="exact"/>
        <w:rPr>
          <w:rFonts w:hint="eastAsia" w:ascii="宋体" w:hAnsi="宋体" w:cs="Arial"/>
          <w:sz w:val="2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总则</w:t>
      </w:r>
    </w:p>
    <w:p>
      <w:pPr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1.本技术规格书适用于甘肃东兴铝业嘉峪关45万吨净化一作业区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伺服液压站永磁交流伺服电机</w:t>
      </w:r>
      <w:r>
        <w:rPr>
          <w:rFonts w:hint="eastAsia" w:ascii="仿宋_GB2312" w:hAnsi="仿宋_GB2312" w:eastAsia="仿宋_GB2312" w:cs="仿宋_GB2312"/>
          <w:sz w:val="28"/>
          <w:szCs w:val="28"/>
        </w:rPr>
        <w:t>供货方面的技术要求。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2.本技术规格书提出的是最低限度的要求，并未对一切细节做出规定，也未充分引述有关标准和规范的条文。乙方保证提供符合本技术规格书和有关最新国家及工业标准的产品。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3.如乙方没有以书面形式对本协议的条文提出异议，那么甲方可以认为乙方提供的产品完全满足本文件的要求。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4.在签订合同之后，甲方有权提出因规范标准和规程发生变化而产生的一些补充要求，乙方应予以配合。具体项目由双方共同商定。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5.技术规格书所使用的标准如与乙方所执行的标准发生矛盾时，按较高标准执行。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6.乙方提供的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永磁交流伺服电机</w:t>
      </w:r>
      <w:r>
        <w:rPr>
          <w:rFonts w:hint="eastAsia" w:ascii="仿宋_GB2312" w:hAnsi="仿宋_GB2312" w:eastAsia="仿宋_GB2312" w:cs="仿宋_GB2312"/>
          <w:sz w:val="28"/>
          <w:szCs w:val="28"/>
        </w:rPr>
        <w:t>，应该是制作技术先进、具有制造经验的成熟产品，而不是试制品。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 、供货范围</w:t>
      </w:r>
    </w:p>
    <w:tbl>
      <w:tblPr>
        <w:tblStyle w:val="8"/>
        <w:tblW w:w="4999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8"/>
        <w:gridCol w:w="1208"/>
        <w:gridCol w:w="2830"/>
        <w:gridCol w:w="1208"/>
        <w:gridCol w:w="1209"/>
        <w:gridCol w:w="1209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14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物料描述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采购数量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atLeast"/>
        </w:trPr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70450677</w:t>
            </w:r>
          </w:p>
        </w:tc>
        <w:tc>
          <w:tcPr>
            <w:tcW w:w="14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永磁交流伺服电机\SM15-0290R6FEDF-380V/38.8KW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套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 xml:space="preserve">三、 制造和验收要求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textAlignment w:val="auto"/>
        <w:rPr>
          <w:rFonts w:hint="eastAsia" w:ascii="仿宋_GB2312" w:hAnsi="仿宋_GB2312" w:eastAsia="仿宋_GB2312" w:cs="仿宋_GB2312"/>
          <w:i w:val="0"/>
          <w:color w:val="000000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机型号：</w:t>
      </w:r>
      <w:r>
        <w:rPr>
          <w:rFonts w:hint="eastAsia" w:ascii="仿宋_GB2312" w:hAnsi="仿宋_GB2312" w:eastAsia="仿宋_GB2312" w:cs="仿宋_GB2312"/>
          <w:i w:val="0"/>
          <w:color w:val="000000"/>
          <w:sz w:val="32"/>
          <w:szCs w:val="32"/>
          <w:u w:val="none"/>
        </w:rPr>
        <w:t>SM15-0290R6FEDF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额定功率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38.8kw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额定电流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68.9A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额定转矩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218Nm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额定电压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380v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额定转速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1700r/min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额定频率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113.3HZ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8、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绝缘等级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F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9、防护等级：IP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54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10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、传感器类型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PTC*KTY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11.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品牌：参照或相当于白云液压。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 xml:space="preserve">四：工况条件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环境温度：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极限温升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现场粉尘：金属粉尘较大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3.现场存在强磁，对备件使用寿命等极易产生影响。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五：外观质量要求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乙方可自行选择产品包装形式，但应确保货物到达现场后完好无损，对于出现由于运输造成的产品质量问题，乙方应在甲方要求的期限内重新提供质量合格的永磁交流伺服电机，同时甲方保留对乙方索赔的权利。根据设备各部件的具体要求，乙方可自行选择包装形式，但确保货物到达现场后外观完好无损，对于出现由于运输造成的设备质量问题，乙方应在收到甲方通知后30天内，免费负责修理或更换备件，同时甲方保留对乙方保留索赔的权利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六、质量保证及售后服务</w:t>
      </w:r>
      <w:bookmarkStart w:id="0" w:name="_GoBack"/>
      <w:bookmarkEnd w:id="0"/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6.1合同设备的保证期为投运现场使用之日起12个月。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6.2乙方应对所提供产品和附件的制造质量、技术规格负有完全责任。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6.3乙方保证所提供的产品全部都是经过厂家测试合格的产品，乙方保证所提供的产品是全新的，未被使用过的，是用一流的工艺生产的，并完全符合买方规定的质量规格和性能的要求。乙方应保证其设备在正确安装、正常使用和保养条件下，在其使用寿命内应具有良好的性能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6.4在质保期内，因备件质量问题造成的备件损坏、乙方应及时免费更换损坏部件或更换新品，用来更换的部件应当是全新的，在质保期内，卖方应对设备自身设计、材料及生产工艺中的缺陷而产生的后果负责。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6.5乙方所生产制造的产品应与甲方提报的备件的规格型号一致，且与在线所使用设备具有互换性。</w:t>
      </w:r>
    </w:p>
    <w:p>
      <w:pPr>
        <w:tabs>
          <w:tab w:val="left" w:pos="1943"/>
        </w:tabs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.6、附电机铭牌及实物照片</w:t>
      </w:r>
    </w:p>
    <w:p>
      <w:pPr>
        <w:tabs>
          <w:tab w:val="left" w:pos="1943"/>
        </w:tabs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214620" cy="3618865"/>
            <wp:effectExtent l="0" t="0" r="5080" b="635"/>
            <wp:docPr id="2" name="图片 2" descr="421b3bf55eb11c61154fad82cc236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21b3bf55eb11c61154fad82cc236037.jp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14620" cy="3618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588000" cy="2566035"/>
            <wp:effectExtent l="0" t="0" r="12700" b="5715"/>
            <wp:docPr id="3" name="图片 3" descr="1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42.jp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88000" cy="2566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七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交货时间及地点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7.1交货时间：   年    月    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7.2交货地点：东兴铝业嘉峪关公司一期45万吨备件库房.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并在设备上带有铭牌。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 w:bidi="ar-SA"/>
        </w:rPr>
        <w:t>八、其它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8.1投标方在投标中所提供的系统必须是完整的、无缺项的。无论何时发现缺项、漏项，投标方都必须无偿补足。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8.2本协议为合同附件，与合同具有同等法律效力。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8.3提供中文操作说明手册。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8.4其它未尽事宜，甲乙双方协商解决。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8.5本协议一式四份，甲方三份，乙方一份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8.6本协议内容经由甲乙双方    年   月   日  时通过    方式商定。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8.7甲乙双方应当就签订本协议的相关事宜宜保密，不得将签订主体、时间内容等信息透露给其他第三人。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宋体"/>
          <w:szCs w:val="21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8.8若              单位不中标，本技术规格书自动失效，双方互不承担任何责任。</w:t>
      </w:r>
    </w:p>
    <w:p>
      <w:pPr>
        <w:tabs>
          <w:tab w:val="left" w:pos="540"/>
          <w:tab w:val="left" w:pos="840"/>
          <w:tab w:val="left" w:pos="1080"/>
        </w:tabs>
        <w:spacing w:line="360" w:lineRule="auto"/>
        <w:rPr>
          <w:rFonts w:ascii="宋体"/>
          <w:szCs w:val="21"/>
        </w:rPr>
      </w:pPr>
    </w:p>
    <w:p>
      <w:pPr>
        <w:autoSpaceDE w:val="0"/>
        <w:autoSpaceDN w:val="0"/>
        <w:spacing w:line="360" w:lineRule="auto"/>
        <w:ind w:firstLine="562" w:firstLineChars="200"/>
        <w:rPr>
          <w:rFonts w:ascii="宋体"/>
          <w:b/>
          <w:szCs w:val="21"/>
        </w:rPr>
      </w:pPr>
      <w:r>
        <w:rPr>
          <w:rFonts w:hint="eastAsia" w:ascii="宋体" w:hAnsi="宋体"/>
          <w:b/>
          <w:sz w:val="28"/>
          <w:szCs w:val="28"/>
        </w:rPr>
        <w:t>甲方：</w:t>
      </w:r>
      <w:r>
        <w:rPr>
          <w:rFonts w:hint="eastAsia" w:ascii="宋体" w:hAnsi="宋体"/>
          <w:bCs/>
          <w:szCs w:val="21"/>
        </w:rPr>
        <w:t xml:space="preserve">酒钢集团东兴铝业有限公司           </w:t>
      </w:r>
      <w:r>
        <w:rPr>
          <w:rFonts w:hint="eastAsia" w:ascii="宋体" w:hAnsi="宋体"/>
          <w:b/>
          <w:szCs w:val="21"/>
        </w:rPr>
        <w:t xml:space="preserve">     </w:t>
      </w:r>
      <w:r>
        <w:rPr>
          <w:rFonts w:hint="eastAsia" w:ascii="宋体" w:hAnsi="宋体"/>
          <w:b/>
          <w:szCs w:val="21"/>
          <w:lang w:val="en-US" w:eastAsia="zh-CN"/>
        </w:rPr>
        <w:t xml:space="preserve">  </w:t>
      </w:r>
      <w:r>
        <w:rPr>
          <w:rFonts w:hint="eastAsia" w:ascii="宋体" w:hAnsi="宋体"/>
          <w:b/>
          <w:sz w:val="28"/>
          <w:szCs w:val="28"/>
        </w:rPr>
        <w:t>乙方：</w:t>
      </w:r>
    </w:p>
    <w:p>
      <w:pPr>
        <w:tabs>
          <w:tab w:val="left" w:pos="1943"/>
        </w:tabs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甲方代表：</w:t>
      </w:r>
      <w:r>
        <w:rPr>
          <w:rFonts w:ascii="宋体"/>
          <w:b/>
          <w:sz w:val="28"/>
          <w:szCs w:val="28"/>
        </w:rPr>
        <w:tab/>
      </w:r>
      <w:r>
        <w:rPr>
          <w:rFonts w:ascii="宋体" w:hAnsi="宋体"/>
          <w:b/>
          <w:sz w:val="28"/>
          <w:szCs w:val="28"/>
        </w:rPr>
        <w:t xml:space="preserve">                          </w:t>
      </w:r>
      <w:r>
        <w:rPr>
          <w:rFonts w:hint="eastAsia" w:ascii="宋体" w:hAnsi="宋体"/>
          <w:b/>
          <w:sz w:val="28"/>
          <w:szCs w:val="28"/>
        </w:rPr>
        <w:t>乙方代表：</w:t>
      </w:r>
    </w:p>
    <w:p>
      <w:pPr>
        <w:tabs>
          <w:tab w:val="left" w:pos="1943"/>
        </w:tabs>
        <w:ind w:firstLine="562" w:firstLineChars="200"/>
        <w:rPr>
          <w:rFonts w:hint="default" w:ascii="宋体" w:hAnsi="宋体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签订时间：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                          </w:t>
      </w:r>
      <w:r>
        <w:rPr>
          <w:rFonts w:hint="eastAsia" w:ascii="宋体" w:hAnsi="宋体"/>
          <w:b/>
          <w:sz w:val="28"/>
          <w:szCs w:val="28"/>
          <w:lang w:eastAsia="zh-CN"/>
        </w:rPr>
        <w:t>签订时间：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   </w:t>
      </w:r>
    </w:p>
    <w:p>
      <w:pPr>
        <w:tabs>
          <w:tab w:val="left" w:pos="1943"/>
        </w:tabs>
        <w:rPr>
          <w:rFonts w:hint="eastAsia" w:ascii="宋体" w:hAnsi="宋体"/>
          <w:b/>
          <w:sz w:val="28"/>
          <w:szCs w:val="28"/>
        </w:rPr>
      </w:pPr>
    </w:p>
    <w:sectPr>
      <w:pgSz w:w="11906" w:h="16838"/>
      <w:pgMar w:top="1644" w:right="1531" w:bottom="164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yMjE4OTFhZWU4Y2JiMTRmNmE4YmVjMjcxNjIzYjMifQ=="/>
  </w:docVars>
  <w:rsids>
    <w:rsidRoot w:val="5A3D051D"/>
    <w:rsid w:val="00065D11"/>
    <w:rsid w:val="000E6990"/>
    <w:rsid w:val="001621AF"/>
    <w:rsid w:val="003C78E4"/>
    <w:rsid w:val="004277C9"/>
    <w:rsid w:val="0053077B"/>
    <w:rsid w:val="00622B6E"/>
    <w:rsid w:val="007528E9"/>
    <w:rsid w:val="007A13A3"/>
    <w:rsid w:val="00874AE0"/>
    <w:rsid w:val="008D5E50"/>
    <w:rsid w:val="00927867"/>
    <w:rsid w:val="009A33D6"/>
    <w:rsid w:val="009D7D00"/>
    <w:rsid w:val="00B73202"/>
    <w:rsid w:val="00C85FD0"/>
    <w:rsid w:val="00CA3F0C"/>
    <w:rsid w:val="00DD51A2"/>
    <w:rsid w:val="00EA39C8"/>
    <w:rsid w:val="01FE492F"/>
    <w:rsid w:val="0EAA4EB7"/>
    <w:rsid w:val="12C64913"/>
    <w:rsid w:val="1824234F"/>
    <w:rsid w:val="20602FB7"/>
    <w:rsid w:val="242E4A6B"/>
    <w:rsid w:val="2D430559"/>
    <w:rsid w:val="3A4D337A"/>
    <w:rsid w:val="3D4A4F6C"/>
    <w:rsid w:val="3D87623F"/>
    <w:rsid w:val="3FCB4B8D"/>
    <w:rsid w:val="403E21E9"/>
    <w:rsid w:val="41E91DBE"/>
    <w:rsid w:val="4A6056F9"/>
    <w:rsid w:val="4B007631"/>
    <w:rsid w:val="51BD002A"/>
    <w:rsid w:val="57386826"/>
    <w:rsid w:val="5A3D051D"/>
    <w:rsid w:val="5B394CFF"/>
    <w:rsid w:val="5B8653C9"/>
    <w:rsid w:val="5F2107D3"/>
    <w:rsid w:val="61FD2769"/>
    <w:rsid w:val="67E22141"/>
    <w:rsid w:val="6A7F48E8"/>
    <w:rsid w:val="6DD12559"/>
    <w:rsid w:val="71DD4E56"/>
    <w:rsid w:val="76CE5CF3"/>
    <w:rsid w:val="7803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tabs>
        <w:tab w:val="left" w:pos="1134"/>
      </w:tabs>
      <w:snapToGrid w:val="0"/>
      <w:spacing w:line="360" w:lineRule="auto"/>
      <w:outlineLvl w:val="0"/>
    </w:pPr>
    <w:rPr>
      <w:rFonts w:ascii="Arial" w:hAnsi="Arial"/>
      <w:b/>
      <w:kern w:val="0"/>
      <w:sz w:val="28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1">
    <w:name w:val="页眉 字符"/>
    <w:basedOn w:val="9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9"/>
    <w:link w:val="5"/>
    <w:uiPriority w:val="0"/>
    <w:rPr>
      <w:kern w:val="2"/>
      <w:sz w:val="18"/>
      <w:szCs w:val="18"/>
    </w:rPr>
  </w:style>
  <w:style w:type="character" w:customStyle="1" w:styleId="13">
    <w:name w:val="批注框文本 字符"/>
    <w:basedOn w:val="9"/>
    <w:link w:val="4"/>
    <w:uiPriority w:val="0"/>
    <w:rPr>
      <w:kern w:val="2"/>
      <w:sz w:val="18"/>
      <w:szCs w:val="18"/>
    </w:rPr>
  </w:style>
  <w:style w:type="paragraph" w:customStyle="1" w:styleId="14">
    <w:name w:val="列出段落1"/>
    <w:basedOn w:val="1"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1517</Words>
  <Characters>1635</Characters>
  <Lines>13</Lines>
  <Paragraphs>3</Paragraphs>
  <TotalTime>110</TotalTime>
  <ScaleCrop>false</ScaleCrop>
  <LinksUpToDate>false</LinksUpToDate>
  <CharactersWithSpaces>1752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2025-09-11T01:54:00Z</dcterms:created>
  <dc:creator>常兆亮</dc:creator>
  <cp:lastModifiedBy>〆過客°ン〞</cp:lastModifiedBy>
  <dcterms:modified xsi:type="dcterms:W3CDTF">2026-06-15T09:47:46Z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  <property fmtid="{D5CDD505-2E9C-101B-9397-08002B2CF9AE}" pid="3" name="ICV">
    <vt:lpwstr>7600BAA9160545BB89D3B9BCF0AA1994_13</vt:lpwstr>
  </property>
  <property fmtid="{D5CDD505-2E9C-101B-9397-08002B2CF9AE}" pid="4" name="KSOTemplateDocerSaveRecord">
    <vt:lpwstr>eyJoZGlkIjoiZDkyYzUwZDI0YmRlNTU5ZDI0NGMzYWNlMWExNDAzNWEiLCJ1c2VySWQiOiI4MTA3MDQ5MTgifQ==</vt:lpwstr>
  </property>
</Properties>
</file>