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09468">
      <w:pPr>
        <w:jc w:val="center"/>
        <w:rPr>
          <w:rFonts w:asciiTheme="minorEastAsia" w:hAnsiTheme="minorEastAsia" w:cstheme="minorEastAsia"/>
          <w:sz w:val="44"/>
          <w:szCs w:val="44"/>
        </w:rPr>
      </w:pPr>
    </w:p>
    <w:p w14:paraId="790288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华文中宋" w:hAnsi="华文中宋" w:eastAsia="华文中宋" w:cs="华文中宋"/>
          <w:b w:val="0"/>
          <w:bCs w:val="0"/>
          <w:color w:val="auto"/>
          <w:sz w:val="36"/>
          <w:szCs w:val="36"/>
          <w:lang w:val="en-US" w:eastAsia="zh-CN"/>
        </w:rPr>
      </w:pPr>
    </w:p>
    <w:p w14:paraId="16990A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华文中宋" w:hAnsi="华文中宋" w:eastAsia="华文中宋" w:cs="华文中宋"/>
          <w:b w:val="0"/>
          <w:bCs w:val="0"/>
          <w:color w:val="auto"/>
          <w:sz w:val="36"/>
          <w:szCs w:val="36"/>
          <w:lang w:val="en-US" w:eastAsia="zh-CN"/>
        </w:rPr>
      </w:pPr>
    </w:p>
    <w:p w14:paraId="61575D57">
      <w:pPr>
        <w:widowControl/>
        <w:wordWrap w:val="0"/>
        <w:spacing w:before="100" w:beforeAutospacing="1" w:after="100" w:afterAutospacing="1"/>
        <w:jc w:val="center"/>
        <w:rPr>
          <w:rFonts w:hint="eastAsia" w:ascii="华文中宋" w:hAnsi="华文中宋" w:eastAsia="华文中宋" w:cs="华文中宋"/>
          <w:b/>
          <w:color w:val="auto"/>
          <w:kern w:val="0"/>
          <w:sz w:val="36"/>
          <w:szCs w:val="36"/>
          <w:highlight w:val="none"/>
          <w:lang w:eastAsia="zh-CN"/>
        </w:rPr>
      </w:pPr>
      <w:r>
        <w:rPr>
          <w:rFonts w:hint="eastAsia" w:ascii="华文中宋" w:hAnsi="华文中宋" w:eastAsia="华文中宋" w:cs="华文中宋"/>
          <w:b/>
          <w:color w:val="auto"/>
          <w:kern w:val="0"/>
          <w:sz w:val="36"/>
          <w:szCs w:val="36"/>
          <w:highlight w:val="none"/>
          <w:lang w:eastAsia="zh-CN"/>
        </w:rPr>
        <w:t>甘肃宏基检测有限公司</w:t>
      </w:r>
      <w:r>
        <w:rPr>
          <w:rFonts w:hint="eastAsia" w:ascii="华文中宋" w:hAnsi="华文中宋" w:eastAsia="华文中宋" w:cs="华文中宋"/>
          <w:b/>
          <w:color w:val="auto"/>
          <w:kern w:val="0"/>
          <w:sz w:val="36"/>
          <w:szCs w:val="36"/>
          <w:highlight w:val="none"/>
          <w:lang w:val="en-US" w:eastAsia="zh-CN"/>
        </w:rPr>
        <w:t>2025年抽风橱及气体汇流装置维修</w:t>
      </w:r>
      <w:r>
        <w:rPr>
          <w:rFonts w:hint="eastAsia" w:ascii="华文中宋" w:hAnsi="华文中宋" w:eastAsia="华文中宋" w:cs="华文中宋"/>
          <w:b/>
          <w:color w:val="auto"/>
          <w:kern w:val="0"/>
          <w:sz w:val="36"/>
          <w:szCs w:val="36"/>
          <w:highlight w:val="none"/>
          <w:lang w:eastAsia="zh-CN"/>
        </w:rPr>
        <w:t>技术规格书</w:t>
      </w:r>
    </w:p>
    <w:p w14:paraId="08FA640E">
      <w:pPr>
        <w:jc w:val="center"/>
        <w:rPr>
          <w:rFonts w:hint="eastAsia" w:ascii="创艺简仿宋" w:eastAsia="创艺简仿宋"/>
          <w:color w:val="auto"/>
          <w:sz w:val="28"/>
          <w:szCs w:val="28"/>
          <w:lang w:eastAsia="zh-CN"/>
        </w:rPr>
      </w:pPr>
      <w:bookmarkStart w:id="18" w:name="_GoBack"/>
      <w:bookmarkEnd w:id="18"/>
    </w:p>
    <w:p w14:paraId="2B973841">
      <w:pPr>
        <w:jc w:val="center"/>
        <w:rPr>
          <w:rFonts w:hint="eastAsia" w:ascii="创艺简仿宋" w:eastAsia="创艺简仿宋"/>
          <w:color w:val="auto"/>
          <w:sz w:val="28"/>
          <w:szCs w:val="28"/>
        </w:rPr>
      </w:pPr>
    </w:p>
    <w:p w14:paraId="6C94C108">
      <w:pPr>
        <w:pStyle w:val="30"/>
        <w:rPr>
          <w:rFonts w:hint="eastAsia"/>
        </w:rPr>
      </w:pPr>
    </w:p>
    <w:p w14:paraId="0F8A4E11">
      <w:pPr>
        <w:jc w:val="center"/>
        <w:rPr>
          <w:rFonts w:hint="eastAsia" w:ascii="创艺简仿宋" w:eastAsia="创艺简仿宋"/>
          <w:color w:val="auto"/>
          <w:sz w:val="28"/>
          <w:szCs w:val="28"/>
        </w:rPr>
      </w:pPr>
    </w:p>
    <w:p w14:paraId="6C13C8AF">
      <w:pPr>
        <w:jc w:val="center"/>
        <w:rPr>
          <w:rFonts w:hint="eastAsia" w:ascii="创艺简仿宋" w:eastAsia="创艺简仿宋"/>
          <w:color w:val="auto"/>
          <w:sz w:val="28"/>
          <w:szCs w:val="28"/>
        </w:rPr>
      </w:pPr>
    </w:p>
    <w:p w14:paraId="05CFCB4B">
      <w:pPr>
        <w:ind w:firstLine="900" w:firstLineChars="300"/>
        <w:rPr>
          <w:rFonts w:hint="eastAsia" w:ascii="楷体" w:hAnsi="楷体" w:eastAsia="楷体" w:cs="楷体"/>
          <w:color w:val="auto"/>
          <w:sz w:val="30"/>
          <w:szCs w:val="30"/>
          <w:u w:val="single"/>
        </w:rPr>
      </w:pPr>
      <w:r>
        <w:rPr>
          <w:rFonts w:hint="eastAsia" w:ascii="楷体" w:hAnsi="楷体" w:eastAsia="楷体" w:cs="楷体"/>
          <w:color w:val="auto"/>
          <w:sz w:val="30"/>
          <w:szCs w:val="30"/>
          <w:lang w:val="en-US" w:eastAsia="zh-CN"/>
        </w:rPr>
        <w:t>委托</w:t>
      </w:r>
      <w:r>
        <w:rPr>
          <w:rFonts w:hint="eastAsia" w:ascii="楷体" w:hAnsi="楷体" w:eastAsia="楷体" w:cs="楷体"/>
          <w:color w:val="auto"/>
          <w:sz w:val="30"/>
          <w:szCs w:val="30"/>
        </w:rPr>
        <w:t>方（甲方）：</w:t>
      </w:r>
      <w:r>
        <w:rPr>
          <w:rFonts w:hint="eastAsia" w:ascii="楷体" w:hAnsi="楷体" w:eastAsia="楷体" w:cs="楷体"/>
          <w:color w:val="auto"/>
          <w:sz w:val="30"/>
          <w:szCs w:val="30"/>
          <w:u w:val="single"/>
        </w:rPr>
        <w:t>甘肃宏基检测有限公司</w:t>
      </w:r>
    </w:p>
    <w:p w14:paraId="1B060FD4">
      <w:pPr>
        <w:ind w:firstLine="1050" w:firstLineChars="350"/>
        <w:rPr>
          <w:rFonts w:hint="eastAsia" w:ascii="楷体" w:hAnsi="楷体" w:eastAsia="楷体" w:cs="楷体"/>
          <w:color w:val="auto"/>
          <w:sz w:val="30"/>
          <w:szCs w:val="30"/>
          <w:u w:val="single"/>
        </w:rPr>
      </w:pPr>
    </w:p>
    <w:p w14:paraId="17900756">
      <w:pPr>
        <w:ind w:firstLine="900" w:firstLineChars="300"/>
        <w:rPr>
          <w:rFonts w:hint="default" w:ascii="楷体" w:hAnsi="楷体" w:eastAsia="楷体" w:cs="楷体"/>
          <w:color w:val="auto"/>
          <w:sz w:val="30"/>
          <w:szCs w:val="30"/>
          <w:u w:val="single"/>
          <w:lang w:val="en-US"/>
        </w:rPr>
      </w:pPr>
      <w:r>
        <w:rPr>
          <w:rFonts w:hint="eastAsia" w:ascii="楷体" w:hAnsi="楷体" w:eastAsia="楷体" w:cs="楷体"/>
          <w:color w:val="auto"/>
          <w:sz w:val="30"/>
          <w:szCs w:val="30"/>
        </w:rPr>
        <w:t>承揽方（乙方）：</w:t>
      </w:r>
      <w:r>
        <w:rPr>
          <w:rFonts w:hint="eastAsia" w:ascii="楷体" w:hAnsi="楷体" w:eastAsia="楷体" w:cs="楷体"/>
          <w:color w:val="auto"/>
          <w:kern w:val="0"/>
          <w:sz w:val="30"/>
          <w:szCs w:val="30"/>
          <w:highlight w:val="none"/>
          <w:u w:val="single"/>
          <w:lang w:val="en-US" w:eastAsia="zh-CN"/>
        </w:rPr>
        <w:t xml:space="preserve">                    </w:t>
      </w:r>
    </w:p>
    <w:p w14:paraId="18252D83">
      <w:pPr>
        <w:ind w:firstLine="1600" w:firstLineChars="500"/>
        <w:jc w:val="left"/>
        <w:rPr>
          <w:rFonts w:hint="eastAsia" w:ascii="仿宋_GB2312" w:hAnsi="仿宋_GB2312" w:eastAsia="仿宋_GB2312" w:cs="仿宋_GB2312"/>
          <w:sz w:val="32"/>
          <w:szCs w:val="32"/>
        </w:rPr>
      </w:pPr>
    </w:p>
    <w:p w14:paraId="24A2265A">
      <w:pPr>
        <w:ind w:firstLine="1600" w:firstLineChars="500"/>
        <w:jc w:val="left"/>
        <w:rPr>
          <w:rFonts w:hint="eastAsia" w:ascii="仿宋_GB2312" w:hAnsi="仿宋_GB2312" w:eastAsia="仿宋_GB2312" w:cs="仿宋_GB2312"/>
          <w:sz w:val="32"/>
          <w:szCs w:val="32"/>
        </w:rPr>
      </w:pPr>
    </w:p>
    <w:p w14:paraId="7F188C78">
      <w:pPr>
        <w:ind w:firstLine="1600" w:firstLineChars="500"/>
        <w:jc w:val="left"/>
        <w:rPr>
          <w:rFonts w:hint="eastAsia" w:ascii="仿宋_GB2312" w:hAnsi="仿宋_GB2312" w:eastAsia="仿宋_GB2312" w:cs="仿宋_GB2312"/>
          <w:sz w:val="32"/>
          <w:szCs w:val="32"/>
        </w:rPr>
      </w:pPr>
    </w:p>
    <w:p w14:paraId="3A9B7096">
      <w:pPr>
        <w:ind w:firstLine="1600" w:firstLineChars="500"/>
        <w:jc w:val="left"/>
        <w:rPr>
          <w:rFonts w:hint="eastAsia" w:ascii="仿宋_GB2312" w:hAnsi="仿宋_GB2312" w:eastAsia="仿宋_GB2312" w:cs="仿宋_GB2312"/>
          <w:sz w:val="32"/>
          <w:szCs w:val="32"/>
        </w:rPr>
      </w:pPr>
    </w:p>
    <w:p w14:paraId="150ABBA9">
      <w:pPr>
        <w:ind w:firstLine="1600" w:firstLineChars="500"/>
        <w:jc w:val="left"/>
        <w:rPr>
          <w:rFonts w:hint="eastAsia" w:ascii="仿宋_GB2312" w:hAnsi="仿宋_GB2312" w:eastAsia="仿宋_GB2312" w:cs="仿宋_GB2312"/>
          <w:sz w:val="32"/>
          <w:szCs w:val="32"/>
        </w:rPr>
      </w:pPr>
    </w:p>
    <w:p w14:paraId="403C2641">
      <w:pPr>
        <w:ind w:firstLine="1600" w:firstLineChars="500"/>
        <w:jc w:val="left"/>
        <w:rPr>
          <w:rFonts w:hint="eastAsia" w:ascii="仿宋_GB2312" w:hAnsi="仿宋_GB2312" w:eastAsia="仿宋_GB2312" w:cs="仿宋_GB2312"/>
          <w:sz w:val="32"/>
          <w:szCs w:val="32"/>
        </w:rPr>
      </w:pPr>
    </w:p>
    <w:p w14:paraId="3F5C4E4C">
      <w:pPr>
        <w:ind w:firstLine="1600" w:firstLineChars="500"/>
        <w:jc w:val="left"/>
        <w:rPr>
          <w:rFonts w:hint="eastAsia" w:ascii="仿宋_GB2312" w:hAnsi="仿宋_GB2312" w:eastAsia="仿宋_GB2312" w:cs="仿宋_GB2312"/>
          <w:sz w:val="32"/>
          <w:szCs w:val="32"/>
        </w:rPr>
      </w:pPr>
    </w:p>
    <w:p w14:paraId="11C59D0B">
      <w:pPr>
        <w:ind w:firstLine="1600" w:firstLineChars="500"/>
        <w:jc w:val="left"/>
        <w:rPr>
          <w:rFonts w:hint="eastAsia" w:ascii="仿宋_GB2312" w:hAnsi="仿宋_GB2312" w:eastAsia="仿宋_GB2312" w:cs="仿宋_GB2312"/>
          <w:sz w:val="32"/>
          <w:szCs w:val="32"/>
        </w:rPr>
      </w:pPr>
    </w:p>
    <w:p w14:paraId="4ED243FB">
      <w:pPr>
        <w:tabs>
          <w:tab w:val="left" w:pos="627"/>
        </w:tabs>
        <w:adjustRightInd w:val="0"/>
        <w:snapToGrid w:val="0"/>
        <w:spacing w:line="360" w:lineRule="auto"/>
        <w:ind w:firstLine="480"/>
        <w:rPr>
          <w:rFonts w:hint="eastAsia" w:ascii="仿宋_GB2312" w:hAnsi="仿宋_GB2312" w:eastAsia="仿宋_GB2312" w:cs="仿宋_GB2312"/>
          <w:sz w:val="28"/>
          <w:szCs w:val="28"/>
          <w:lang w:eastAsia="zh-CN"/>
        </w:rPr>
      </w:pPr>
      <w:bookmarkStart w:id="0" w:name="_Toc18603"/>
      <w:r>
        <w:rPr>
          <w:rFonts w:hint="eastAsia" w:ascii="仿宋_GB2312" w:hAnsi="仿宋_GB2312" w:eastAsia="仿宋_GB2312" w:cs="仿宋_GB2312"/>
          <w:sz w:val="28"/>
          <w:szCs w:val="28"/>
          <w:lang w:val="en-US" w:eastAsia="zh-CN"/>
        </w:rPr>
        <w:t>甘肃宏基检测有限公司（以下简称“甲方”</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（以下称为“乙方”），双方就</w:t>
      </w:r>
      <w:r>
        <w:rPr>
          <w:rFonts w:hint="eastAsia" w:ascii="仿宋_GB2312" w:eastAsia="仿宋_GB2312" w:cs="Times New Roman"/>
          <w:color w:val="auto"/>
          <w:sz w:val="28"/>
          <w:szCs w:val="28"/>
          <w:lang w:val="en-US" w:eastAsia="zh-CN"/>
        </w:rPr>
        <w:t>甘肃宏基检测</w:t>
      </w:r>
      <w:r>
        <w:rPr>
          <w:rFonts w:hint="eastAsia" w:ascii="仿宋_GB2312" w:hAnsi="仿宋_GB2312" w:eastAsia="仿宋_GB2312" w:cs="仿宋_GB2312"/>
          <w:sz w:val="28"/>
          <w:szCs w:val="28"/>
          <w:lang w:val="en-US" w:eastAsia="zh-CN"/>
        </w:rPr>
        <w:t>有限公司抽风橱、气体汇流装置维修</w:t>
      </w:r>
      <w:r>
        <w:rPr>
          <w:rFonts w:hint="eastAsia" w:ascii="仿宋_GB2312" w:hAnsi="仿宋_GB2312" w:eastAsia="仿宋_GB2312" w:cs="仿宋_GB2312"/>
          <w:sz w:val="28"/>
          <w:szCs w:val="28"/>
          <w:lang w:eastAsia="zh-CN"/>
        </w:rPr>
        <w:t>项目相关技术问题经友好协商，达成如下</w:t>
      </w:r>
      <w:r>
        <w:rPr>
          <w:rFonts w:hint="eastAsia" w:ascii="仿宋_GB2312" w:hAnsi="仿宋_GB2312" w:eastAsia="仿宋_GB2312" w:cs="仿宋_GB2312"/>
          <w:sz w:val="28"/>
          <w:szCs w:val="28"/>
          <w:lang w:val="en-US" w:eastAsia="zh-CN"/>
        </w:rPr>
        <w:t>技术规格书</w:t>
      </w:r>
      <w:r>
        <w:rPr>
          <w:rFonts w:hint="eastAsia" w:ascii="仿宋_GB2312" w:hAnsi="仿宋_GB2312" w:eastAsia="仿宋_GB2312" w:cs="仿宋_GB2312"/>
          <w:sz w:val="28"/>
          <w:szCs w:val="28"/>
          <w:lang w:eastAsia="zh-CN"/>
        </w:rPr>
        <w:t>。</w:t>
      </w:r>
    </w:p>
    <w:p w14:paraId="1A111A96">
      <w:pPr>
        <w:pStyle w:val="2"/>
        <w:keepNext w:val="0"/>
        <w:adjustRightInd w:val="0"/>
        <w:snapToGrid w:val="0"/>
        <w:spacing w:line="360" w:lineRule="auto"/>
        <w:rPr>
          <w:rFonts w:hint="eastAsia" w:ascii="仿宋_GB2312" w:hAnsi="仿宋_GB2312" w:eastAsia="仿宋_GB2312" w:cs="仿宋_GB2312"/>
          <w:sz w:val="28"/>
          <w:szCs w:val="28"/>
        </w:rPr>
      </w:pPr>
      <w:bookmarkStart w:id="1" w:name="_Toc75100706"/>
      <w:bookmarkStart w:id="2" w:name="_Toc6858"/>
      <w:bookmarkStart w:id="3" w:name="_Toc7578"/>
      <w:r>
        <w:rPr>
          <w:rFonts w:hint="eastAsia" w:ascii="仿宋_GB2312" w:hAnsi="仿宋_GB2312" w:eastAsia="仿宋_GB2312" w:cs="仿宋_GB2312"/>
          <w:sz w:val="28"/>
          <w:szCs w:val="28"/>
        </w:rPr>
        <w:t>一、总则</w:t>
      </w:r>
      <w:bookmarkEnd w:id="1"/>
      <w:bookmarkEnd w:id="2"/>
      <w:bookmarkEnd w:id="3"/>
    </w:p>
    <w:p w14:paraId="0F449C0E">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技术规格书</w:t>
      </w:r>
      <w:r>
        <w:rPr>
          <w:rFonts w:hint="eastAsia" w:ascii="仿宋_GB2312" w:hAnsi="仿宋_GB2312" w:eastAsia="仿宋_GB2312" w:cs="仿宋_GB2312"/>
          <w:sz w:val="28"/>
          <w:szCs w:val="28"/>
          <w:lang w:val="en-US" w:eastAsia="zh-CN"/>
        </w:rPr>
        <w:t>作为甘肃宏基检测有限公司抽风橱、气体汇流装置维修</w:t>
      </w:r>
      <w:r>
        <w:rPr>
          <w:rFonts w:hint="eastAsia" w:ascii="仿宋_GB2312" w:hAnsi="仿宋_GB2312" w:eastAsia="仿宋_GB2312" w:cs="仿宋_GB2312"/>
          <w:sz w:val="28"/>
          <w:szCs w:val="28"/>
        </w:rPr>
        <w:t>合同的附件，与合同同时生效，具有同等法律效力。合同执行期间双方再协商形成的补充协议和追加条款也具有同等法律效力。</w:t>
      </w:r>
    </w:p>
    <w:p w14:paraId="28D47D94">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技术规格书</w:t>
      </w:r>
      <w:r>
        <w:rPr>
          <w:rFonts w:hint="eastAsia" w:ascii="仿宋_GB2312" w:hAnsi="仿宋_GB2312" w:eastAsia="仿宋_GB2312" w:cs="仿宋_GB2312"/>
          <w:sz w:val="28"/>
          <w:szCs w:val="28"/>
        </w:rPr>
        <w:t>所提出的是最低标准的技术要求，并未对一切技术细节做出规定，也未充分引述有关标准和规范的条文，乙方应保证提供产品符合有关国家或行业标准</w:t>
      </w:r>
      <w:r>
        <w:rPr>
          <w:rFonts w:hint="eastAsia" w:ascii="仿宋_GB2312" w:hAnsi="仿宋_GB2312" w:eastAsia="仿宋_GB2312" w:cs="仿宋_GB2312"/>
          <w:sz w:val="28"/>
          <w:szCs w:val="28"/>
          <w:lang w:eastAsia="zh-CN"/>
        </w:rPr>
        <w:t>的产品。</w:t>
      </w:r>
    </w:p>
    <w:p w14:paraId="385DCDEE">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乙方对所提供设备的制造质量、供货、技术规格、文件图纸资料、技术服务、包装运输、开箱检验、安装、设备调试、设备运行等各个环节负有完全责任。</w:t>
      </w:r>
    </w:p>
    <w:p w14:paraId="5683E5AF">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乙方应对所提供的设备材料的型号及各项技术指标负责，乙方提供的设备设施必须是全新、规范、先进的高质量可靠产品，能够确保连续稳定生产使用需要。</w:t>
      </w:r>
    </w:p>
    <w:p w14:paraId="1F405C96">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乙方提供货物的制造，材料的选择，都应按照国内外通用的现行标准和相应的技术规范执行。</w:t>
      </w:r>
    </w:p>
    <w:p w14:paraId="4F2154BA">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乙方应按照本</w:t>
      </w:r>
      <w:r>
        <w:rPr>
          <w:rFonts w:hint="eastAsia" w:ascii="仿宋_GB2312" w:hAnsi="仿宋_GB2312" w:eastAsia="仿宋_GB2312" w:cs="仿宋_GB2312"/>
          <w:sz w:val="28"/>
          <w:szCs w:val="28"/>
          <w:lang w:eastAsia="zh-CN"/>
        </w:rPr>
        <w:t>技术规格书</w:t>
      </w:r>
      <w:r>
        <w:rPr>
          <w:rFonts w:hint="eastAsia" w:ascii="仿宋_GB2312" w:hAnsi="仿宋_GB2312" w:eastAsia="仿宋_GB2312" w:cs="仿宋_GB2312"/>
          <w:sz w:val="28"/>
          <w:szCs w:val="28"/>
        </w:rPr>
        <w:t>的要求完成项目应用</w:t>
      </w:r>
      <w:r>
        <w:rPr>
          <w:rFonts w:hint="eastAsia" w:ascii="仿宋_GB2312" w:hAnsi="仿宋_GB2312" w:eastAsia="仿宋_GB2312" w:cs="仿宋_GB2312"/>
          <w:sz w:val="28"/>
          <w:szCs w:val="28"/>
          <w:lang w:eastAsia="zh-CN"/>
        </w:rPr>
        <w:t>软</w:t>
      </w:r>
      <w:r>
        <w:rPr>
          <w:rFonts w:hint="eastAsia" w:ascii="仿宋_GB2312" w:hAnsi="仿宋_GB2312" w:eastAsia="仿宋_GB2312" w:cs="仿宋_GB2312"/>
          <w:sz w:val="28"/>
          <w:szCs w:val="28"/>
        </w:rPr>
        <w:t>硬件的安装、调试、现场施工及培训服务工作。</w:t>
      </w:r>
    </w:p>
    <w:p w14:paraId="081B8381">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乙方负责设备（如主机、辅助设备）调试，设备调试及所需的材料、人工等产生费用均由乙方承担。</w:t>
      </w:r>
    </w:p>
    <w:p w14:paraId="46A06817">
      <w:p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乙方所提供设备，属于计量范围的，必须提供具有国家资质的计量检定或校准证书，由此产生的计量检定费用由乙方负责。</w:t>
      </w:r>
    </w:p>
    <w:p w14:paraId="53F8C1D2">
      <w:pPr>
        <w:numPr>
          <w:ilvl w:val="0"/>
          <w:numId w:val="2"/>
        </w:numPr>
        <w:tabs>
          <w:tab w:val="left" w:pos="627"/>
        </w:tabs>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乙方依据本协议所供产品中，发生侵犯专利或授权的行为时，其侵权责任与甲方无关。</w:t>
      </w:r>
    </w:p>
    <w:p w14:paraId="6D59F6BB">
      <w:pPr>
        <w:pStyle w:val="2"/>
        <w:keepNext w:val="0"/>
        <w:adjustRightInd w:val="0"/>
        <w:snapToGrid w:val="0"/>
        <w:spacing w:line="360" w:lineRule="auto"/>
        <w:rPr>
          <w:rFonts w:hint="eastAsia" w:ascii="仿宋_GB2312" w:hAnsi="仿宋_GB2312" w:eastAsia="仿宋_GB2312" w:cs="仿宋_GB2312"/>
          <w:b/>
          <w:bCs/>
          <w:color w:val="auto"/>
          <w:sz w:val="28"/>
          <w:szCs w:val="28"/>
          <w:highlight w:val="none"/>
          <w:lang w:val="en-US" w:eastAsia="zh-CN"/>
        </w:rPr>
      </w:pPr>
      <w:bookmarkStart w:id="4" w:name="_Toc3175"/>
      <w:r>
        <w:rPr>
          <w:rFonts w:hint="eastAsia" w:ascii="仿宋_GB2312" w:hAnsi="仿宋_GB2312" w:eastAsia="仿宋_GB2312" w:cs="仿宋_GB2312"/>
          <w:b/>
          <w:bCs/>
          <w:color w:val="auto"/>
          <w:sz w:val="28"/>
          <w:szCs w:val="28"/>
          <w:highlight w:val="none"/>
          <w:lang w:val="en-US" w:eastAsia="zh-CN"/>
        </w:rPr>
        <w:t>二、维修内容</w:t>
      </w:r>
    </w:p>
    <w:p w14:paraId="53B34778">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default" w:ascii="宋体" w:hAnsi="宋体" w:cs="Times New Roman"/>
          <w:sz w:val="28"/>
          <w:szCs w:val="28"/>
          <w:lang w:val="en-US" w:eastAsia="zh-CN"/>
        </w:rPr>
      </w:pPr>
      <w:r>
        <w:rPr>
          <w:rFonts w:hint="eastAsia" w:ascii="仿宋_GB2312" w:hAnsi="仿宋_GB2312" w:eastAsia="仿宋_GB2312" w:cs="仿宋_GB2312"/>
          <w:color w:val="auto"/>
          <w:kern w:val="2"/>
          <w:sz w:val="28"/>
          <w:szCs w:val="28"/>
          <w:lang w:val="en-US" w:eastAsia="zh-CN" w:bidi="ar-SA"/>
        </w:rPr>
        <w:t>（一）</w:t>
      </w:r>
      <w:r>
        <w:rPr>
          <w:rFonts w:hint="eastAsia" w:ascii="仿宋_GB2312" w:hAnsi="Times New Roman" w:eastAsia="仿宋_GB2312" w:cs="Times New Roman"/>
          <w:color w:val="auto"/>
          <w:kern w:val="2"/>
          <w:sz w:val="28"/>
          <w:szCs w:val="28"/>
          <w:lang w:val="en-US" w:eastAsia="zh-CN" w:bidi="ar-SA"/>
        </w:rPr>
        <w:t>黑色金属检验站炼钢区域气体汇流装置</w:t>
      </w:r>
    </w:p>
    <w:p w14:paraId="74887B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1.对炼钢区域氩气气体管路进行维修改造，将现有气瓶暂存间搬迁至1楼气瓶室，增加气体汇流装置并安装固定式氧气报警器、固定式一氧化碳报警器。</w:t>
      </w:r>
    </w:p>
    <w:p w14:paraId="31FB3A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28"/>
          <w:szCs w:val="28"/>
          <w:lang w:val="en-US" w:eastAsia="zh-CN" w:bidi="ar-SA"/>
        </w:rPr>
        <w:t>2.高纯氩气系统气路要求：</w:t>
      </w:r>
    </w:p>
    <w:p w14:paraId="1C6681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drawing>
          <wp:inline distT="0" distB="0" distL="114300" distR="114300">
            <wp:extent cx="5283200" cy="3261360"/>
            <wp:effectExtent l="0" t="0" r="12700"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5"/>
                    <a:stretch>
                      <a:fillRect/>
                    </a:stretch>
                  </pic:blipFill>
                  <pic:spPr>
                    <a:xfrm>
                      <a:off x="0" y="0"/>
                      <a:ext cx="5283200" cy="3261360"/>
                    </a:xfrm>
                    <a:prstGeom prst="rect">
                      <a:avLst/>
                    </a:prstGeom>
                    <a:noFill/>
                    <a:ln w="9525">
                      <a:noFill/>
                    </a:ln>
                  </pic:spPr>
                </pic:pic>
              </a:graphicData>
            </a:graphic>
          </wp:inline>
        </w:drawing>
      </w:r>
    </w:p>
    <w:p w14:paraId="770079B5">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3.组成和配置要求</w:t>
      </w:r>
    </w:p>
    <w:p w14:paraId="50591F01">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分析用氩气系统配置2只液氩杜瓦瓶，气体管路系统包括带有集气功能的气体汇流排、钢瓶支架、截止阀，减压阀，氩气净化器及不锈钢管道（主管道直径10mm，分支管道直径6mm，不锈钢材质316L，钝化处理）等。所需气体种类为氩气带在线压力、流量监测及报警装置。</w:t>
      </w:r>
    </w:p>
    <w:p w14:paraId="40A72AF9">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（2）液氩汇流到一起后再减压，减压后的氩气再进入氩气分配系统，功能具备单一管路供应每台光谱，也具备同一管路同时供2台直读光谱分析仪使用。</w:t>
      </w:r>
    </w:p>
    <w:p w14:paraId="635F7C0D">
      <w:pPr>
        <w:spacing w:line="360" w:lineRule="auto"/>
        <w:ind w:firstLine="42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（3）氩气在进入直读光谱仪前均设置</w:t>
      </w:r>
      <w:r>
        <w:rPr>
          <w:rFonts w:hint="eastAsia" w:ascii="仿宋_GB2312" w:hAnsi="仿宋_GB2312" w:eastAsia="仿宋_GB2312" w:cs="仿宋_GB2312"/>
          <w:color w:val="auto"/>
          <w:kern w:val="2"/>
          <w:sz w:val="28"/>
          <w:szCs w:val="28"/>
          <w:lang w:val="en-GB" w:eastAsia="zh-CN" w:bidi="ar-SA"/>
        </w:rPr>
        <w:t>调压稳压阀、氩气净化机、不锈钢波纹管截止阀；可稳定每一路氩气的压力、纯度、</w:t>
      </w:r>
      <w:r>
        <w:rPr>
          <w:rFonts w:hint="eastAsia" w:ascii="仿宋_GB2312" w:hAnsi="仿宋_GB2312" w:eastAsia="仿宋_GB2312" w:cs="仿宋_GB2312"/>
          <w:color w:val="auto"/>
          <w:kern w:val="2"/>
          <w:sz w:val="28"/>
          <w:szCs w:val="28"/>
          <w:lang w:val="en-US" w:eastAsia="zh-CN" w:bidi="ar-SA"/>
        </w:rPr>
        <w:t>流量，</w:t>
      </w:r>
      <w:r>
        <w:rPr>
          <w:rFonts w:hint="eastAsia" w:ascii="仿宋_GB2312" w:hAnsi="仿宋_GB2312" w:eastAsia="仿宋_GB2312" w:cs="仿宋_GB2312"/>
          <w:color w:val="auto"/>
          <w:kern w:val="2"/>
          <w:sz w:val="28"/>
          <w:szCs w:val="28"/>
          <w:lang w:val="en-GB" w:eastAsia="zh-CN" w:bidi="ar-SA"/>
        </w:rPr>
        <w:t>满足各设备不同压力、不同流量的需求。</w:t>
      </w:r>
      <w:r>
        <w:rPr>
          <w:rFonts w:hint="eastAsia" w:ascii="仿宋_GB2312" w:hAnsi="仿宋_GB2312" w:eastAsia="仿宋_GB2312" w:cs="仿宋_GB2312"/>
          <w:color w:val="auto"/>
          <w:kern w:val="2"/>
          <w:sz w:val="28"/>
          <w:szCs w:val="28"/>
          <w:lang w:val="en-US" w:eastAsia="zh-CN" w:bidi="ar-SA"/>
        </w:rPr>
        <w:t xml:space="preserve"> </w:t>
      </w:r>
    </w:p>
    <w:p w14:paraId="128652D7">
      <w:pPr>
        <w:spacing w:line="360" w:lineRule="auto"/>
        <w:ind w:firstLine="42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（4）每台氩气净化机均配置有旁路，以方便氩气净化机的维护与保养。</w:t>
      </w:r>
    </w:p>
    <w:p w14:paraId="6905D240">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bookmarkStart w:id="5" w:name="OLE_LINK2"/>
      <w:r>
        <w:rPr>
          <w:rFonts w:hint="eastAsia" w:ascii="仿宋_GB2312" w:hAnsi="仿宋_GB2312" w:eastAsia="仿宋_GB2312" w:cs="仿宋_GB2312"/>
          <w:color w:val="auto"/>
          <w:kern w:val="2"/>
          <w:sz w:val="28"/>
          <w:szCs w:val="28"/>
          <w:lang w:val="en-US" w:eastAsia="zh-CN" w:bidi="ar-SA"/>
        </w:rPr>
        <w:t>（5）氩气气瓶间及光谱仪室均配置有氧气含量在线监测装置，当气瓶间或光谱仪室氧气含量异常时及时给出声光报警，提示值班人员及时处理。</w:t>
      </w:r>
      <w:bookmarkEnd w:id="5"/>
    </w:p>
    <w:p w14:paraId="793A3560">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（6）气瓶室内安装换气装置，确保室内通风，通风装置具备定时功能。</w:t>
      </w:r>
    </w:p>
    <w:p w14:paraId="48ECC3BA">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4.主要技术参数</w:t>
      </w:r>
    </w:p>
    <w:p w14:paraId="04357301">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 最大输入压力3000psi；输出压力： 50psi、75psi、100psi、150psi、250psi。</w:t>
      </w:r>
    </w:p>
    <w:p w14:paraId="4A03C0CF">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（2）工作温度： -40℃～60℃。</w:t>
      </w:r>
    </w:p>
    <w:p w14:paraId="36A4ACD8">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（3）减压器泄漏率：2×10-8scc/sec He。</w:t>
      </w:r>
    </w:p>
    <w:p w14:paraId="2CD2D680">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（4）材质：截止阀、减压阀、管道采用不锈钢316L，管道钝化处理。</w:t>
      </w:r>
    </w:p>
    <w:p w14:paraId="1A8A7C4D">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（5）所有管道保压试验时，保压压力不低于最大使用压力的1.5倍，保压时间≥24h，保压管道仅限于本次安装的管道。管道系统压力试验：保压压力：（0.7-0.8）MPa, 保压≥24h，压降≤1%试验压力值。</w:t>
      </w:r>
    </w:p>
    <w:p w14:paraId="7F08E3B2">
      <w:pPr>
        <w:pStyle w:val="5"/>
        <w:keepNext w:val="0"/>
        <w:keepLines w:val="0"/>
        <w:pageBreakBefore w:val="0"/>
        <w:widowControl/>
        <w:kinsoku/>
        <w:wordWrap/>
        <w:overflowPunct/>
        <w:topLinePunct w:val="0"/>
        <w:autoSpaceDE/>
        <w:autoSpaceDN/>
        <w:bidi w:val="0"/>
        <w:adjustRightInd w:val="0"/>
        <w:snapToGrid/>
        <w:spacing w:line="360" w:lineRule="auto"/>
        <w:ind w:firstLine="560" w:firstLineChars="200"/>
        <w:textAlignment w:val="baseline"/>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5.气体系统配置清单</w:t>
      </w:r>
    </w:p>
    <w:tbl>
      <w:tblPr>
        <w:tblStyle w:val="16"/>
        <w:tblW w:w="81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92"/>
        <w:gridCol w:w="2490"/>
        <w:gridCol w:w="675"/>
        <w:gridCol w:w="720"/>
        <w:gridCol w:w="1434"/>
      </w:tblGrid>
      <w:tr w14:paraId="345C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B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A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18AF">
            <w:pPr>
              <w:keepNext w:val="0"/>
              <w:keepLines w:val="0"/>
              <w:widowControl/>
              <w:suppressLineNumbers w:val="0"/>
              <w:tabs>
                <w:tab w:val="left" w:pos="215"/>
              </w:tabs>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3137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A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42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D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3/8″316L内外抛光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A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DC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6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1/4″316L内外抛光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7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1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气体汇流排</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GKH-2DNP25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8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9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A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气体分配器</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GKF-2NB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D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5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81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气体分配器</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GKF-1WNP16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A7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A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管配件</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E1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C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08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7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钢瓶固定支架</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BGP-2A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0E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10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管道固定支架</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BGG-1A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满足现场施工需求</w:t>
            </w:r>
          </w:p>
        </w:tc>
      </w:tr>
      <w:tr w14:paraId="2BCB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75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安装辅材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120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C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8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满足现场施工需求</w:t>
            </w:r>
          </w:p>
        </w:tc>
      </w:tr>
    </w:tbl>
    <w:p w14:paraId="70262BD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黑色金属检验站焦化区域抽风橱</w:t>
      </w:r>
    </w:p>
    <w:p w14:paraId="3120C8D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1.对4台抽风橱（无锡三本）进行维修，更换老化电气线路、控制系统、PVC管道。对防爆风机进行维护保养。</w:t>
      </w:r>
    </w:p>
    <w:p w14:paraId="4961CF0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2.对现有柜体进行拆解后搬迁至二楼气相色谱室后进行重新安装、调试。</w:t>
      </w:r>
    </w:p>
    <w:bookmarkEnd w:id="0"/>
    <w:bookmarkEnd w:id="4"/>
    <w:p w14:paraId="11A2569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bookmarkStart w:id="6" w:name="_Toc229454058"/>
      <w:r>
        <w:rPr>
          <w:rFonts w:hint="eastAsia" w:ascii="仿宋_GB2312" w:hAnsi="仿宋_GB2312" w:eastAsia="仿宋_GB2312" w:cs="仿宋_GB2312"/>
          <w:color w:val="auto"/>
          <w:kern w:val="2"/>
          <w:sz w:val="28"/>
          <w:szCs w:val="28"/>
          <w:lang w:val="en-US" w:eastAsia="zh-CN" w:bidi="ar-SA"/>
        </w:rPr>
        <w:t>3.搬迁、安装内容</w:t>
      </w:r>
    </w:p>
    <w:p w14:paraId="41921F2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（1）拆卸前双方对设备现运行状态、设备配件进行确认，形成确认记录，甲乙双方共同签字；</w:t>
      </w:r>
    </w:p>
    <w:p w14:paraId="2F90AF6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（2）拆卸过程全程切断设备电源，悬挂安全警示标识，动电作业、动火作业必须按甲方要求办理工作票，作业人员必须具备专业职业资格证；</w:t>
      </w:r>
    </w:p>
    <w:p w14:paraId="07686CE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（3）拆卸过程不得损坏原抽风橱备件（包括内侧板/后背板/拐角型导流板/台面/连接管等），保持原抽风橱备件完好性；</w:t>
      </w:r>
    </w:p>
    <w:p w14:paraId="0D649A2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 拆卸完成，对管道洞口进行封堵，对管道内壁进行油垢清除，将抽风橱配件搬运至安装地点。</w:t>
      </w:r>
    </w:p>
    <w:p w14:paraId="606DA50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4.安装标准</w:t>
      </w:r>
    </w:p>
    <w:p w14:paraId="3D37EFE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（1）乙方按甲方提供安装地点对抽风橱配件组装、管道连接、电器线路进行维修安装；</w:t>
      </w:r>
    </w:p>
    <w:p w14:paraId="43D0C94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（2）安装过程涉电作业、动火作业必须按甲方要求办理工作票，作业人员必须具备专业职业资格证；</w:t>
      </w:r>
    </w:p>
    <w:p w14:paraId="3EBE0D0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（3）安装过程确保设备水平度、管道密封性、设备接地有效可靠；</w:t>
      </w:r>
    </w:p>
    <w:p w14:paraId="7A8488D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（4）安装完成调试后需达到原设备性能指标（风量、噪声、净化效率、稳定性等）。</w:t>
      </w:r>
    </w:p>
    <w:bookmarkEnd w:id="6"/>
    <w:p w14:paraId="43855993">
      <w:pPr>
        <w:pStyle w:val="2"/>
        <w:keepNext w:val="0"/>
        <w:pageBreakBefore w:val="0"/>
        <w:widowControl w:val="0"/>
        <w:kinsoku/>
        <w:wordWrap/>
        <w:overflowPunct/>
        <w:topLinePunct w:val="0"/>
        <w:autoSpaceDE/>
        <w:autoSpaceDN/>
        <w:bidi w:val="0"/>
        <w:adjustRightInd w:val="0"/>
        <w:snapToGrid/>
        <w:spacing w:line="600" w:lineRule="exact"/>
        <w:textAlignment w:val="auto"/>
        <w:rPr>
          <w:rFonts w:hint="eastAsia" w:ascii="仿宋_GB2312" w:hAnsi="仿宋_GB2312" w:eastAsia="仿宋_GB2312" w:cs="仿宋_GB2312"/>
          <w:b/>
          <w:bCs/>
          <w:color w:val="auto"/>
          <w:kern w:val="2"/>
          <w:sz w:val="28"/>
          <w:szCs w:val="28"/>
          <w:lang w:val="en-US" w:eastAsia="zh-CN" w:bidi="ar-SA"/>
        </w:rPr>
      </w:pPr>
      <w:bookmarkStart w:id="7" w:name="_Toc23250"/>
      <w:bookmarkStart w:id="8" w:name="_Toc6365"/>
      <w:r>
        <w:rPr>
          <w:rFonts w:hint="eastAsia" w:ascii="仿宋_GB2312" w:hAnsi="仿宋_GB2312" w:eastAsia="仿宋_GB2312" w:cs="仿宋_GB2312"/>
          <w:b/>
          <w:bCs/>
          <w:color w:val="auto"/>
          <w:kern w:val="2"/>
          <w:sz w:val="28"/>
          <w:szCs w:val="28"/>
          <w:lang w:val="en-US" w:eastAsia="zh-CN" w:bidi="ar-SA"/>
        </w:rPr>
        <w:t>三、售后服务及培训</w:t>
      </w:r>
      <w:bookmarkEnd w:id="7"/>
      <w:bookmarkEnd w:id="8"/>
    </w:p>
    <w:p w14:paraId="6E7ED7CC">
      <w:pPr>
        <w:keepNext w:val="0"/>
        <w:pageBreakBefore w:val="0"/>
        <w:widowControl w:val="0"/>
        <w:tabs>
          <w:tab w:val="left" w:pos="540"/>
          <w:tab w:val="left" w:pos="1080"/>
        </w:tabs>
        <w:kinsoku/>
        <w:wordWrap/>
        <w:overflowPunct/>
        <w:topLinePunct w:val="0"/>
        <w:autoSpaceDE/>
        <w:autoSpaceDN/>
        <w:bidi w:val="0"/>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bookmarkStart w:id="9" w:name="_Toc30592"/>
      <w:bookmarkStart w:id="10" w:name="_Toc6081"/>
      <w:r>
        <w:rPr>
          <w:rFonts w:hint="eastAsia" w:ascii="仿宋_GB2312" w:hAnsi="仿宋_GB2312" w:eastAsia="仿宋_GB2312" w:cs="仿宋_GB2312"/>
          <w:b w:val="0"/>
          <w:bCs w:val="0"/>
          <w:color w:val="auto"/>
          <w:kern w:val="2"/>
          <w:sz w:val="28"/>
          <w:szCs w:val="28"/>
          <w:lang w:val="en-US" w:eastAsia="zh-CN" w:bidi="ar-SA"/>
        </w:rPr>
        <w:t>1.</w:t>
      </w:r>
      <w:bookmarkEnd w:id="9"/>
      <w:bookmarkEnd w:id="10"/>
      <w:r>
        <w:rPr>
          <w:rFonts w:hint="eastAsia" w:ascii="仿宋_GB2312" w:hAnsi="仿宋_GB2312" w:eastAsia="仿宋_GB2312" w:cs="仿宋_GB2312"/>
          <w:b w:val="0"/>
          <w:bCs w:val="0"/>
          <w:color w:val="auto"/>
          <w:kern w:val="2"/>
          <w:sz w:val="28"/>
          <w:szCs w:val="28"/>
          <w:lang w:val="en-US" w:eastAsia="zh-CN" w:bidi="ar-SA"/>
        </w:rPr>
        <w:t>乙方对设备整体性能、工艺要求和技术负责，对设备的完整性、可靠性、安全性、先进性负责，并对设备的外观质量、安装、点检、方便维修等诸多因素负责，力求实用、耐用、美观、整洁，做到无故障运行。</w:t>
      </w:r>
    </w:p>
    <w:p w14:paraId="03562CB2">
      <w:pPr>
        <w:keepNext w:val="0"/>
        <w:pageBreakBefore w:val="0"/>
        <w:widowControl w:val="0"/>
        <w:tabs>
          <w:tab w:val="left" w:pos="540"/>
          <w:tab w:val="left" w:pos="1080"/>
        </w:tabs>
        <w:kinsoku/>
        <w:wordWrap/>
        <w:overflowPunct/>
        <w:topLinePunct w:val="0"/>
        <w:autoSpaceDE/>
        <w:autoSpaceDN/>
        <w:bidi w:val="0"/>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2.乙方对系统设备热负荷运行跟踪管理为10个工作日，在此期间对甲方人员进行指导、培训。</w:t>
      </w:r>
    </w:p>
    <w:p w14:paraId="23E1512E">
      <w:pPr>
        <w:keepNext w:val="0"/>
        <w:pageBreakBefore w:val="0"/>
        <w:widowControl w:val="0"/>
        <w:tabs>
          <w:tab w:val="left" w:pos="540"/>
          <w:tab w:val="left" w:pos="1080"/>
        </w:tabs>
        <w:kinsoku/>
        <w:wordWrap/>
        <w:overflowPunct/>
        <w:topLinePunct w:val="0"/>
        <w:autoSpaceDE/>
        <w:autoSpaceDN/>
        <w:bidi w:val="0"/>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bookmarkStart w:id="11" w:name="_Toc2196"/>
      <w:r>
        <w:rPr>
          <w:rFonts w:hint="eastAsia" w:ascii="仿宋_GB2312" w:hAnsi="仿宋_GB2312" w:eastAsia="仿宋_GB2312" w:cs="仿宋_GB2312"/>
          <w:b w:val="0"/>
          <w:bCs w:val="0"/>
          <w:color w:val="auto"/>
          <w:kern w:val="2"/>
          <w:sz w:val="28"/>
          <w:szCs w:val="28"/>
          <w:lang w:val="en-US" w:eastAsia="zh-CN" w:bidi="ar-SA"/>
        </w:rPr>
        <w:t>3.安装调试：乙方负责指导安装、调试。</w:t>
      </w:r>
      <w:bookmarkEnd w:id="11"/>
    </w:p>
    <w:p w14:paraId="3F26AC3A">
      <w:pPr>
        <w:keepNext w:val="0"/>
        <w:pageBreakBefore w:val="0"/>
        <w:widowControl w:val="0"/>
        <w:tabs>
          <w:tab w:val="left" w:pos="540"/>
          <w:tab w:val="left" w:pos="1080"/>
        </w:tabs>
        <w:kinsoku/>
        <w:wordWrap/>
        <w:overflowPunct/>
        <w:topLinePunct w:val="0"/>
        <w:autoSpaceDE/>
        <w:autoSpaceDN/>
        <w:bidi w:val="0"/>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4.维修：设备质保期为一年，在系统设备运行过程中，乙方承诺在接到通知后30分钟内给予答复，相关人员在48小时内到达甲方现场处理问题。</w:t>
      </w:r>
    </w:p>
    <w:p w14:paraId="3FA27FF6">
      <w:pPr>
        <w:keepNext w:val="0"/>
        <w:pageBreakBefore w:val="0"/>
        <w:widowControl w:val="0"/>
        <w:tabs>
          <w:tab w:val="left" w:pos="540"/>
          <w:tab w:val="left" w:pos="1080"/>
        </w:tabs>
        <w:kinsoku/>
        <w:wordWrap/>
        <w:overflowPunct/>
        <w:topLinePunct w:val="0"/>
        <w:autoSpaceDE/>
        <w:autoSpaceDN/>
        <w:bidi w:val="0"/>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系统安装调试完成后，由乙方对现场操作人员、技术人员、仪器维修人员进行免费培训，讲解系统的工作原理，介绍每个主要部件的用途及日常的维修、保养步骤、系统使用注意事项、常见故障的检查与排除；详细介绍系统的操作步骤；要求达到操作人员能够熟练安全操作设备并能够规范地进行试验，完成一般性维护，维修人员能够掌握较复杂的维修技术。</w:t>
      </w:r>
    </w:p>
    <w:p w14:paraId="6A7AAE70">
      <w:pPr>
        <w:pStyle w:val="2"/>
        <w:keepNext w:val="0"/>
        <w:pageBreakBefore w:val="0"/>
        <w:widowControl w:val="0"/>
        <w:kinsoku/>
        <w:wordWrap/>
        <w:overflowPunct/>
        <w:topLinePunct w:val="0"/>
        <w:autoSpaceDE/>
        <w:autoSpaceDN/>
        <w:bidi w:val="0"/>
        <w:adjustRightInd w:val="0"/>
        <w:snapToGrid/>
        <w:spacing w:line="600" w:lineRule="exact"/>
        <w:textAlignment w:val="auto"/>
        <w:rPr>
          <w:rFonts w:hint="eastAsia" w:ascii="仿宋_GB2312" w:hAnsi="仿宋_GB2312" w:eastAsia="仿宋_GB2312" w:cs="仿宋_GB2312"/>
          <w:b/>
          <w:bCs/>
          <w:color w:val="auto"/>
          <w:kern w:val="2"/>
          <w:sz w:val="28"/>
          <w:szCs w:val="28"/>
          <w:lang w:val="en-US" w:eastAsia="zh-CN" w:bidi="ar-SA"/>
        </w:rPr>
      </w:pPr>
      <w:bookmarkStart w:id="12" w:name="bookmark129"/>
      <w:bookmarkStart w:id="13" w:name="_Toc21302"/>
      <w:bookmarkStart w:id="14" w:name="bookmark131"/>
      <w:bookmarkStart w:id="15" w:name="bookmark128"/>
      <w:bookmarkStart w:id="16" w:name="_Toc31362"/>
      <w:r>
        <w:rPr>
          <w:rFonts w:hint="eastAsia" w:ascii="仿宋_GB2312" w:hAnsi="仿宋_GB2312" w:eastAsia="仿宋_GB2312" w:cs="仿宋_GB2312"/>
          <w:b/>
          <w:bCs/>
          <w:color w:val="auto"/>
          <w:kern w:val="2"/>
          <w:sz w:val="28"/>
          <w:szCs w:val="28"/>
          <w:lang w:val="en-US" w:eastAsia="zh-CN" w:bidi="ar-SA"/>
        </w:rPr>
        <w:t>四、功能考核验收</w:t>
      </w:r>
    </w:p>
    <w:p w14:paraId="6E6F8B78">
      <w:pPr>
        <w:keepNext w:val="0"/>
        <w:keepLines w:val="0"/>
        <w:pageBreakBefore w:val="0"/>
        <w:widowControl/>
        <w:kinsoku/>
        <w:wordWrap/>
        <w:overflowPunct/>
        <w:topLinePunct w:val="0"/>
        <w:autoSpaceDE/>
        <w:autoSpaceDN/>
        <w:bidi w:val="0"/>
        <w:adjustRightInd/>
        <w:snapToGrid w:val="0"/>
        <w:spacing w:line="600" w:lineRule="exact"/>
        <w:ind w:firstLine="560" w:firstLineChars="200"/>
        <w:textAlignment w:val="auto"/>
        <w:rPr>
          <w:rFonts w:hint="default" w:ascii="宋体" w:hAnsi="宋体" w:cs="Times New Roman"/>
          <w:sz w:val="28"/>
          <w:szCs w:val="28"/>
          <w:lang w:val="en-US" w:eastAsia="zh-CN"/>
        </w:rPr>
      </w:pPr>
      <w:r>
        <w:rPr>
          <w:rFonts w:hint="eastAsia" w:ascii="仿宋_GB2312" w:hAnsi="仿宋_GB2312" w:eastAsia="仿宋_GB2312" w:cs="仿宋_GB2312"/>
          <w:b w:val="0"/>
          <w:bCs w:val="0"/>
          <w:color w:val="auto"/>
          <w:kern w:val="2"/>
          <w:sz w:val="28"/>
          <w:szCs w:val="28"/>
          <w:lang w:val="en-US" w:eastAsia="zh-CN" w:bidi="ar-SA"/>
        </w:rPr>
        <w:t>（一）</w:t>
      </w:r>
      <w:r>
        <w:rPr>
          <w:rFonts w:hint="eastAsia" w:ascii="仿宋_GB2312" w:hAnsi="Times New Roman" w:eastAsia="仿宋_GB2312" w:cs="Times New Roman"/>
          <w:color w:val="auto"/>
          <w:kern w:val="2"/>
          <w:sz w:val="28"/>
          <w:szCs w:val="28"/>
          <w:lang w:val="en-US" w:eastAsia="zh-CN" w:bidi="ar-SA"/>
        </w:rPr>
        <w:t>黑色金属检验站炼钢区域气体汇流装置</w:t>
      </w:r>
    </w:p>
    <w:p w14:paraId="215364A2">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1"/>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1.质量保证</w:t>
      </w:r>
    </w:p>
    <w:p w14:paraId="5D5B5A81">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所供产品及其附属设备的设计和制造，应符合现行的有关国家标准、部颁标准及地方环保的规定。乙方严格按照本协议所列标准执行，在乙方发货前，若所使用的标准与上述标准有不一致时，按最新标准执行，并及时通告甲方。</w:t>
      </w:r>
    </w:p>
    <w:p w14:paraId="0DDED1C5">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在质量保证期内，因设备质量问题而造成的设备损坏或不能正常使用时，乙方无偿更换。乙方接到甲方通知后，应在24小时内给予响应，免费更换合格的新设备、新部件，乙方免费更换后的部件质保期顺延12个月。</w:t>
      </w:r>
    </w:p>
    <w:p w14:paraId="66A14C51">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2.性能保证值及测试方法</w:t>
      </w:r>
    </w:p>
    <w:p w14:paraId="69638267">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（1）所有管道安装完毕后进行保压试验，用氮气保压，保压压力不低于最大使用压力的1.5倍，保压时间不少于24小时。</w:t>
      </w:r>
    </w:p>
    <w:p w14:paraId="5419A501">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（2）管道系统压力试验：保压压力：0.7〜0.8MPa, 保压至少24小时，泄漏量不</w:t>
      </w:r>
      <w:r>
        <w:rPr>
          <w:rFonts w:hint="default" w:ascii="仿宋_GB2312" w:hAnsi="仿宋_GB2312" w:eastAsia="仿宋_GB2312" w:cs="仿宋_GB2312"/>
          <w:b w:val="0"/>
          <w:bCs w:val="0"/>
          <w:color w:val="auto"/>
          <w:kern w:val="2"/>
          <w:sz w:val="28"/>
          <w:szCs w:val="28"/>
          <w:lang w:val="en-US" w:eastAsia="zh-CN" w:bidi="ar-SA"/>
        </w:rPr>
        <w:t>≤</w:t>
      </w:r>
      <w:r>
        <w:rPr>
          <w:rFonts w:hint="eastAsia" w:ascii="仿宋_GB2312" w:hAnsi="仿宋_GB2312" w:eastAsia="仿宋_GB2312" w:cs="仿宋_GB2312"/>
          <w:b w:val="0"/>
          <w:bCs w:val="0"/>
          <w:color w:val="auto"/>
          <w:kern w:val="2"/>
          <w:sz w:val="28"/>
          <w:szCs w:val="28"/>
          <w:lang w:val="en-US" w:eastAsia="zh-CN" w:bidi="ar-SA"/>
        </w:rPr>
        <w:t>1%试验压力值。</w:t>
      </w:r>
    </w:p>
    <w:p w14:paraId="2C4E8DDB">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（3）保压合格后对所有管道进行吹扫，氩气管道用氩气吹扫并置换。</w:t>
      </w:r>
    </w:p>
    <w:p w14:paraId="1C43D140">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（4）调压阀调整好压力后应平稳不波动，计量仪表指示准确。（5）管道外观：平直；焊接面光滑、无咬边；标识准确。</w:t>
      </w:r>
    </w:p>
    <w:p w14:paraId="25FF9F09">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 3.功能考核</w:t>
      </w:r>
    </w:p>
    <w:p w14:paraId="5165A413">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（1）乙方所供产品必须满足技术协议软、硬件系统的正常平稳运行所需的各项功能。</w:t>
      </w:r>
    </w:p>
    <w:p w14:paraId="7D4DB967">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（2）产品测试、功能考核及验收，乙方必须全力配合支持甲方的工作。</w:t>
      </w:r>
    </w:p>
    <w:p w14:paraId="575B2D76">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（3）气体汇流排无故障连续运行30天，作为最终竣工验收指标。</w:t>
      </w:r>
    </w:p>
    <w:p w14:paraId="624E8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9"/>
        <w:rPr>
          <w:rFonts w:hint="eastAsia"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（二）黑色金属检验站焦化区域抽风橱</w:t>
      </w:r>
    </w:p>
    <w:p w14:paraId="2E8202F5">
      <w:pPr>
        <w:keepNext w:val="0"/>
        <w:keepLines w:val="0"/>
        <w:pageBreakBefore w:val="0"/>
        <w:widowControl w:val="0"/>
        <w:tabs>
          <w:tab w:val="left" w:pos="627"/>
        </w:tabs>
        <w:kinsoku/>
        <w:wordWrap/>
        <w:overflowPunct/>
        <w:topLinePunct w:val="0"/>
        <w:autoSpaceDE/>
        <w:autoSpaceDN/>
        <w:bidi w:val="0"/>
        <w:adjustRightInd/>
        <w:snapToGrid/>
        <w:spacing w:line="600" w:lineRule="exact"/>
        <w:ind w:firstLine="560" w:firstLineChars="200"/>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1.乙方根据甲方提出设备搬迁、安装内容，完成设备搬迁、安装工作，并保证设备的安全性、完整性。</w:t>
      </w:r>
    </w:p>
    <w:p w14:paraId="2A2789CD">
      <w:pPr>
        <w:pStyle w:val="2"/>
        <w:pageBreakBefore w:val="0"/>
        <w:tabs>
          <w:tab w:val="center" w:pos="3969"/>
          <w:tab w:val="right" w:pos="6237"/>
          <w:tab w:val="right" w:pos="7938"/>
        </w:tabs>
        <w:kinsoku/>
        <w:wordWrap/>
        <w:overflowPunct/>
        <w:topLinePunct w:val="0"/>
        <w:autoSpaceDE/>
        <w:autoSpaceDN/>
        <w:bidi w:val="0"/>
        <w:spacing w:before="0" w:after="0" w:line="600" w:lineRule="exact"/>
        <w:ind w:firstLine="560" w:firstLineChars="200"/>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2.乙方搬迁、安装内容与本协议规定搬迁、安装内容要求一致。</w:t>
      </w:r>
    </w:p>
    <w:p w14:paraId="0DB337B3">
      <w:pPr>
        <w:pStyle w:val="2"/>
        <w:pageBreakBefore w:val="0"/>
        <w:tabs>
          <w:tab w:val="center" w:pos="3969"/>
          <w:tab w:val="right" w:pos="6237"/>
          <w:tab w:val="right" w:pos="7938"/>
        </w:tabs>
        <w:kinsoku/>
        <w:wordWrap/>
        <w:overflowPunct/>
        <w:topLinePunct w:val="0"/>
        <w:autoSpaceDE/>
        <w:autoSpaceDN/>
        <w:bidi w:val="0"/>
        <w:spacing w:before="0" w:after="0" w:line="60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2.满足搬迁、安装内容的全部要求工程师填写一份验收报告，甲乙双方签字确认。</w:t>
      </w:r>
    </w:p>
    <w:bookmarkEnd w:id="12"/>
    <w:bookmarkEnd w:id="13"/>
    <w:bookmarkEnd w:id="14"/>
    <w:bookmarkEnd w:id="15"/>
    <w:bookmarkEnd w:id="16"/>
    <w:p w14:paraId="5BCE20B2">
      <w:pPr>
        <w:pStyle w:val="2"/>
        <w:keepNext w:val="0"/>
        <w:pageBreakBefore w:val="0"/>
        <w:widowControl w:val="0"/>
        <w:kinsoku/>
        <w:wordWrap/>
        <w:overflowPunct/>
        <w:topLinePunct w:val="0"/>
        <w:autoSpaceDE/>
        <w:autoSpaceDN/>
        <w:bidi w:val="0"/>
        <w:adjustRightInd w:val="0"/>
        <w:snapToGrid/>
        <w:spacing w:line="600" w:lineRule="exact"/>
        <w:textAlignment w:val="auto"/>
        <w:rPr>
          <w:rFonts w:hint="eastAsia" w:ascii="仿宋_GB2312" w:hAnsi="仿宋_GB2312" w:eastAsia="仿宋_GB2312" w:cs="仿宋_GB2312"/>
          <w:b/>
          <w:bCs/>
          <w:color w:val="auto"/>
          <w:kern w:val="2"/>
          <w:sz w:val="28"/>
          <w:szCs w:val="28"/>
          <w:lang w:val="en-US" w:eastAsia="zh-CN" w:bidi="ar-SA"/>
        </w:rPr>
      </w:pPr>
      <w:bookmarkStart w:id="17" w:name="_Toc10380"/>
      <w:r>
        <w:rPr>
          <w:rFonts w:hint="eastAsia" w:ascii="仿宋_GB2312" w:hAnsi="仿宋_GB2312" w:eastAsia="仿宋_GB2312" w:cs="仿宋_GB2312"/>
          <w:b/>
          <w:bCs/>
          <w:color w:val="auto"/>
          <w:kern w:val="2"/>
          <w:sz w:val="28"/>
          <w:szCs w:val="28"/>
          <w:lang w:val="en-US" w:eastAsia="zh-CN" w:bidi="ar-SA"/>
        </w:rPr>
        <w:t>五、其他</w:t>
      </w:r>
      <w:bookmarkEnd w:id="17"/>
    </w:p>
    <w:p w14:paraId="7F82B872">
      <w:pPr>
        <w:keepNext w:val="0"/>
        <w:pageBreakBefore w:val="0"/>
        <w:widowControl w:val="0"/>
        <w:kinsoku/>
        <w:wordWrap/>
        <w:overflowPunct/>
        <w:topLinePunct w:val="0"/>
        <w:autoSpaceDE/>
        <w:autoSpaceDN/>
        <w:bidi w:val="0"/>
        <w:snapToGrid/>
        <w:spacing w:line="60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本技术规格书签字盖章生效后，如有改动可协商后另行签订补充协议，并与本协议等同有效。本协议未尽事宜，友好协商解决。</w:t>
      </w:r>
    </w:p>
    <w:p w14:paraId="62AA02CE">
      <w:pPr>
        <w:keepNext w:val="0"/>
        <w:pageBreakBefore w:val="0"/>
        <w:widowControl w:val="0"/>
        <w:kinsoku/>
        <w:wordWrap/>
        <w:overflowPunct/>
        <w:topLinePunct w:val="0"/>
        <w:autoSpaceDE/>
        <w:autoSpaceDN/>
        <w:bidi w:val="0"/>
        <w:snapToGrid/>
        <w:spacing w:line="60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本技术规格书一式四份，经甲、乙双方签字并加盖公章后生效，甲方三份，乙方一份，每份具有同等法律效力。</w:t>
      </w:r>
    </w:p>
    <w:p w14:paraId="2A84178E"/>
    <w:p w14:paraId="2D62DF35">
      <w:pPr>
        <w:pStyle w:val="19"/>
      </w:pPr>
    </w:p>
    <w:p w14:paraId="420370A5"/>
    <w:p w14:paraId="384E9EE9"/>
    <w:p w14:paraId="7DDF3C4F"/>
    <w:p w14:paraId="6522FC0A"/>
    <w:p w14:paraId="6EB96572"/>
    <w:sectPr>
      <w:footerReference r:id="rId3"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创艺简仿宋">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ED1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7F0B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7187F0B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C36E8"/>
    <w:multiLevelType w:val="singleLevel"/>
    <w:tmpl w:val="DEBC36E8"/>
    <w:lvl w:ilvl="0" w:tentative="0">
      <w:start w:val="2"/>
      <w:numFmt w:val="chineseCounting"/>
      <w:suff w:val="nothing"/>
      <w:lvlText w:val="（%1）"/>
      <w:lvlJc w:val="left"/>
      <w:rPr>
        <w:rFonts w:hint="eastAsia"/>
      </w:rPr>
    </w:lvl>
  </w:abstractNum>
  <w:abstractNum w:abstractNumId="1">
    <w:nsid w:val="FFFFFFFB"/>
    <w:multiLevelType w:val="multilevel"/>
    <w:tmpl w:val="FFFFFFFB"/>
    <w:lvl w:ilvl="0" w:tentative="0">
      <w:start w:val="1"/>
      <w:numFmt w:val="decimal"/>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pPr>
        <w:ind w:left="210"/>
      </w:pPr>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134F66A3"/>
    <w:multiLevelType w:val="singleLevel"/>
    <w:tmpl w:val="134F66A3"/>
    <w:lvl w:ilvl="0" w:tentative="0">
      <w:start w:val="9"/>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YjdhNjI5ZjRhYzQ4MzJiNmI0YjM0M2E3YzY4NjQifQ=="/>
  </w:docVars>
  <w:rsids>
    <w:rsidRoot w:val="5FEC402A"/>
    <w:rsid w:val="00973FB8"/>
    <w:rsid w:val="0116312F"/>
    <w:rsid w:val="02783D4A"/>
    <w:rsid w:val="0374238F"/>
    <w:rsid w:val="0F5E2898"/>
    <w:rsid w:val="159D4B97"/>
    <w:rsid w:val="1FEB19C9"/>
    <w:rsid w:val="2072796F"/>
    <w:rsid w:val="216F34F3"/>
    <w:rsid w:val="2B954186"/>
    <w:rsid w:val="2C6C52C2"/>
    <w:rsid w:val="32A95302"/>
    <w:rsid w:val="373936EB"/>
    <w:rsid w:val="3A92642B"/>
    <w:rsid w:val="3DDA63B9"/>
    <w:rsid w:val="45EB3A89"/>
    <w:rsid w:val="476E1671"/>
    <w:rsid w:val="476F0470"/>
    <w:rsid w:val="47CA7D9C"/>
    <w:rsid w:val="492E6109"/>
    <w:rsid w:val="52455AC6"/>
    <w:rsid w:val="542D593B"/>
    <w:rsid w:val="5F6E6E08"/>
    <w:rsid w:val="5FB24F46"/>
    <w:rsid w:val="5FEB2206"/>
    <w:rsid w:val="5FEC402A"/>
    <w:rsid w:val="64061D04"/>
    <w:rsid w:val="68DE4FFE"/>
    <w:rsid w:val="69967EAB"/>
    <w:rsid w:val="6E971ED7"/>
    <w:rsid w:val="71447671"/>
    <w:rsid w:val="729C2CCE"/>
    <w:rsid w:val="72E651DB"/>
    <w:rsid w:val="72F24FF2"/>
    <w:rsid w:val="75BE243F"/>
    <w:rsid w:val="76C03F95"/>
    <w:rsid w:val="77A67671"/>
    <w:rsid w:val="78623556"/>
    <w:rsid w:val="794F33AE"/>
    <w:rsid w:val="7D3F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widowControl/>
      <w:numPr>
        <w:ilvl w:val="1"/>
        <w:numId w:val="1"/>
      </w:numPr>
      <w:tabs>
        <w:tab w:val="center" w:pos="3969"/>
        <w:tab w:val="right" w:pos="6237"/>
        <w:tab w:val="right" w:pos="7938"/>
      </w:tabs>
      <w:overflowPunct w:val="0"/>
      <w:autoSpaceDE w:val="0"/>
      <w:autoSpaceDN w:val="0"/>
      <w:adjustRightInd w:val="0"/>
      <w:spacing w:line="300" w:lineRule="auto"/>
      <w:jc w:val="left"/>
      <w:textAlignment w:val="baseline"/>
      <w:outlineLvl w:val="1"/>
    </w:pPr>
    <w:rPr>
      <w:rFonts w:ascii="宋体" w:hAnsi="宋体" w:eastAsia="宋体"/>
      <w:b/>
      <w:bCs/>
      <w:color w:val="000000"/>
      <w:kern w:val="0"/>
      <w:sz w:val="24"/>
      <w:lang w:val="en-GB"/>
    </w:rPr>
  </w:style>
  <w:style w:type="paragraph" w:styleId="4">
    <w:name w:val="heading 4"/>
    <w:basedOn w:val="1"/>
    <w:next w:val="1"/>
    <w:qFormat/>
    <w:uiPriority w:val="0"/>
    <w:pPr>
      <w:keepNext/>
      <w:keepLines/>
      <w:spacing w:line="372" w:lineRule="auto"/>
      <w:jc w:val="left"/>
      <w:outlineLvl w:val="3"/>
    </w:pPr>
    <w:rPr>
      <w:rFonts w:ascii="Cambria" w:hAnsi="Cambria"/>
      <w:b/>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rFonts w:ascii="Tahoma" w:hAnsi="Tahoma"/>
      <w:kern w:val="0"/>
      <w:sz w:val="20"/>
      <w:lang w:val="de-DE"/>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text"/>
    <w:basedOn w:val="1"/>
    <w:semiHidden/>
    <w:qFormat/>
    <w:uiPriority w:val="0"/>
    <w:pPr>
      <w:jc w:val="left"/>
    </w:pPr>
  </w:style>
  <w:style w:type="paragraph" w:styleId="8">
    <w:name w:val="Body Text"/>
    <w:basedOn w:val="1"/>
    <w:next w:val="1"/>
    <w:qFormat/>
    <w:uiPriority w:val="0"/>
  </w:style>
  <w:style w:type="paragraph" w:styleId="9">
    <w:name w:val="Body Text Indent"/>
    <w:basedOn w:val="1"/>
    <w:qFormat/>
    <w:uiPriority w:val="0"/>
    <w:pPr>
      <w:ind w:left="351" w:hanging="351" w:hangingChars="351"/>
    </w:pPr>
    <w:rPr>
      <w:rFonts w:ascii="仿宋_GB2312" w:eastAsia="仿宋_GB2312"/>
      <w:spacing w:val="-12"/>
      <w:kern w:val="2"/>
      <w:sz w:val="28"/>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9"/>
    <w:basedOn w:val="1"/>
    <w:next w:val="1"/>
    <w:qFormat/>
    <w:uiPriority w:val="39"/>
    <w:pPr>
      <w:spacing w:line="240" w:lineRule="auto"/>
      <w:ind w:left="3360" w:firstLine="0"/>
    </w:pPr>
    <w:rPr>
      <w:rFonts w:eastAsia="仿宋_GB2312"/>
    </w:rPr>
  </w:style>
  <w:style w:type="paragraph" w:styleId="12">
    <w:name w:val="Normal (Web)"/>
    <w:basedOn w:val="1"/>
    <w:qFormat/>
    <w:uiPriority w:val="0"/>
    <w:rPr>
      <w:sz w:val="24"/>
    </w:rPr>
  </w:style>
  <w:style w:type="paragraph" w:styleId="13">
    <w:name w:val="annotation subject"/>
    <w:basedOn w:val="7"/>
    <w:next w:val="7"/>
    <w:semiHidden/>
    <w:qFormat/>
    <w:uiPriority w:val="0"/>
    <w:rPr>
      <w:b/>
      <w:bCs/>
    </w:rPr>
  </w:style>
  <w:style w:type="paragraph" w:styleId="14">
    <w:name w:val="Body Text First Indent"/>
    <w:basedOn w:val="8"/>
    <w:qFormat/>
    <w:uiPriority w:val="0"/>
    <w:pPr>
      <w:ind w:firstLine="420" w:firstLineChars="100"/>
    </w:pPr>
    <w:rPr>
      <w:rFonts w:ascii="Tahoma" w:hAnsi="Tahoma" w:eastAsia="Times New Roman"/>
      <w:kern w:val="0"/>
      <w:sz w:val="24"/>
      <w:lang w:val="de-DE"/>
    </w:rPr>
  </w:style>
  <w:style w:type="paragraph" w:styleId="15">
    <w:name w:val="Body Text First Indent 2"/>
    <w:basedOn w:val="9"/>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9">
    <w:name w:val="Default"/>
    <w:basedOn w:val="20"/>
    <w:next w:val="1"/>
    <w:qFormat/>
    <w:uiPriority w:val="0"/>
    <w:pPr>
      <w:autoSpaceDE w:val="0"/>
      <w:autoSpaceDN w:val="0"/>
    </w:pPr>
    <w:rPr>
      <w:rFonts w:ascii="新宋体" w:eastAsia="新宋体" w:cs="新宋体"/>
      <w:color w:val="000000"/>
      <w:sz w:val="24"/>
      <w:szCs w:val="24"/>
    </w:rPr>
  </w:style>
  <w:style w:type="paragraph" w:customStyle="1" w:styleId="20">
    <w:name w:val="表格17"/>
    <w:qFormat/>
    <w:uiPriority w:val="0"/>
    <w:pPr>
      <w:widowControl w:val="0"/>
      <w:adjustRightInd w:val="0"/>
      <w:jc w:val="center"/>
    </w:pPr>
    <w:rPr>
      <w:rFonts w:ascii="Times New Roman" w:hAnsi="Times New Roman" w:eastAsia="宋体" w:cs="Times New Roman"/>
      <w:kern w:val="28"/>
      <w:sz w:val="28"/>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 w:type="character" w:customStyle="1" w:styleId="23">
    <w:name w:val="font31"/>
    <w:basedOn w:val="18"/>
    <w:qFormat/>
    <w:uiPriority w:val="0"/>
    <w:rPr>
      <w:rFonts w:ascii="宋体" w:hAnsi="宋体" w:eastAsia="宋体" w:cs="宋体"/>
      <w:color w:val="000000"/>
      <w:sz w:val="18"/>
      <w:szCs w:val="18"/>
      <w:u w:val="none"/>
    </w:rPr>
  </w:style>
  <w:style w:type="character" w:customStyle="1" w:styleId="24">
    <w:name w:val="font21"/>
    <w:basedOn w:val="18"/>
    <w:qFormat/>
    <w:uiPriority w:val="0"/>
    <w:rPr>
      <w:rFonts w:ascii="宋体" w:hAnsi="宋体" w:eastAsia="宋体" w:cs="宋体"/>
      <w:b/>
      <w:bCs/>
      <w:color w:val="000000"/>
      <w:sz w:val="18"/>
      <w:szCs w:val="18"/>
      <w:u w:val="none"/>
    </w:rPr>
  </w:style>
  <w:style w:type="table" w:customStyle="1" w:styleId="25">
    <w:name w:val="Table Normal2"/>
    <w:semiHidden/>
    <w:unhideWhenUsed/>
    <w:qFormat/>
    <w:uiPriority w:val="2"/>
    <w:pPr>
      <w:autoSpaceDE w:val="0"/>
      <w:autoSpaceDN w:val="0"/>
      <w:jc w:val="left"/>
    </w:pPr>
    <w:rPr>
      <w:rFonts w:ascii="等线" w:hAnsi="等线" w:eastAsia="等线" w:cs="Times New Roman"/>
      <w:kern w:val="0"/>
      <w:sz w:val="22"/>
      <w:lang w:eastAsia="en-US"/>
    </w:rPr>
    <w:tblPr>
      <w:tblCellMar>
        <w:top w:w="0" w:type="dxa"/>
        <w:left w:w="0" w:type="dxa"/>
        <w:bottom w:w="0" w:type="dxa"/>
        <w:right w:w="0" w:type="dxa"/>
      </w:tblCellMar>
    </w:tblPr>
  </w:style>
  <w:style w:type="table" w:customStyle="1" w:styleId="26">
    <w:name w:val="Table Normal1"/>
    <w:semiHidden/>
    <w:unhideWhenUsed/>
    <w:qFormat/>
    <w:uiPriority w:val="2"/>
    <w:pPr>
      <w:autoSpaceDE w:val="0"/>
      <w:autoSpaceDN w:val="0"/>
      <w:jc w:val="left"/>
    </w:pPr>
    <w:rPr>
      <w:kern w:val="0"/>
      <w:sz w:val="22"/>
      <w:lang w:eastAsia="en-US"/>
    </w:rPr>
    <w:tblPr>
      <w:tblCellMar>
        <w:top w:w="0" w:type="dxa"/>
        <w:left w:w="0" w:type="dxa"/>
        <w:bottom w:w="0" w:type="dxa"/>
        <w:right w:w="0" w:type="dxa"/>
      </w:tblCellMar>
    </w:tblPr>
  </w:style>
  <w:style w:type="paragraph" w:customStyle="1" w:styleId="27">
    <w:name w:val="Other|1"/>
    <w:basedOn w:val="1"/>
    <w:qFormat/>
    <w:uiPriority w:val="0"/>
    <w:pPr>
      <w:spacing w:after="100" w:line="336" w:lineRule="auto"/>
      <w:ind w:firstLine="140"/>
    </w:pPr>
    <w:rPr>
      <w:rFonts w:ascii="宋体" w:hAnsi="宋体" w:eastAsia="宋体" w:cs="宋体"/>
      <w:sz w:val="22"/>
      <w:szCs w:val="22"/>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出段落1"/>
    <w:basedOn w:val="1"/>
    <w:qFormat/>
    <w:uiPriority w:val="0"/>
    <w:pPr>
      <w:ind w:firstLine="420" w:firstLineChars="200"/>
    </w:pPr>
  </w:style>
  <w:style w:type="paragraph" w:customStyle="1" w:styleId="30">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8</Pages>
  <Words>1382</Words>
  <Characters>1461</Characters>
  <Lines>0</Lines>
  <Paragraphs>0</Paragraphs>
  <TotalTime>2</TotalTime>
  <ScaleCrop>false</ScaleCrop>
  <LinksUpToDate>false</LinksUpToDate>
  <CharactersWithSpaces>1497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2025-07-25T03:57:00Z</dcterms:created>
  <dc:creator>杨伟飞</dc:creator>
  <cp:lastModifiedBy>雷超</cp:lastModifiedBy>
  <dcterms:modified xsi:type="dcterms:W3CDTF">2025-10-09T08:13:19Z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3E3C392B8EDF4FB0898387A6F251AC45_13</vt:lpwstr>
  </property>
  <property fmtid="{D5CDD505-2E9C-101B-9397-08002B2CF9AE}" pid="4" name="KSOTemplateDocerSaveRecord">
    <vt:lpwstr>eyJoZGlkIjoiOTMwYWYzZjc3ODU2YzMzNDM4MWNiYTY0MmY3NzJjM2EiLCJ1c2VySWQiOiIxNDg5MzAxNjMxIn0=</vt:lpwstr>
  </property>
</Properties>
</file>