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632A3">
      <w:pPr>
        <w:keepNext w:val="0"/>
        <w:keepLines w:val="0"/>
        <w:pageBreakBefore w:val="0"/>
        <w:widowControl w:val="0"/>
        <w:tabs>
          <w:tab w:val="left" w:pos="525"/>
          <w:tab w:val="left" w:pos="987"/>
        </w:tabs>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i w:val="0"/>
          <w:caps w:val="0"/>
          <w:color w:val="333333"/>
          <w:spacing w:val="0"/>
          <w:sz w:val="36"/>
          <w:szCs w:val="36"/>
          <w:shd w:val="clear" w:color="auto" w:fill="FFFFFF"/>
          <w:lang w:val="en-US" w:eastAsia="zh-CN"/>
        </w:rPr>
      </w:pPr>
      <w:r>
        <w:rPr>
          <w:rFonts w:hint="default" w:ascii="方正小标宋简体" w:hAnsi="方正小标宋简体" w:eastAsia="方正小标宋简体" w:cs="方正小标宋简体"/>
          <w:i w:val="0"/>
          <w:caps w:val="0"/>
          <w:color w:val="333333"/>
          <w:spacing w:val="0"/>
          <w:sz w:val="36"/>
          <w:szCs w:val="36"/>
          <w:shd w:val="clear" w:color="auto" w:fill="FFFFFF"/>
          <w:lang w:val="en-US" w:eastAsia="zh-CN"/>
        </w:rPr>
        <w:t>中兴铁路 2026 年设备设施防雷防静电检测项目概况及要求</w:t>
      </w:r>
    </w:p>
    <w:p w14:paraId="347BC828">
      <w:pPr>
        <w:pStyle w:val="2"/>
        <w:rPr>
          <w:rFonts w:hint="default"/>
          <w:lang w:val="en-US" w:eastAsia="zh-CN"/>
        </w:rPr>
      </w:pPr>
    </w:p>
    <w:p w14:paraId="0FB26247">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beforeAutospacing="0" w:after="0" w:afterAutospacing="0" w:line="500" w:lineRule="exact"/>
        <w:ind w:left="0" w:leftChars="0" w:firstLine="643" w:firstLineChars="200"/>
        <w:jc w:val="both"/>
        <w:textAlignment w:val="auto"/>
        <w:outlineLvl w:val="1"/>
        <w:rPr>
          <w:rFonts w:hint="default" w:ascii="仿宋_GB2312" w:hAnsi="仿宋_GB2312" w:eastAsia="仿宋_GB2312" w:cs="仿宋_GB2312"/>
          <w:b/>
          <w:bCs/>
          <w:color w:val="auto"/>
          <w:sz w:val="32"/>
          <w:szCs w:val="32"/>
          <w:highlight w:val="none"/>
          <w:u w:val="none"/>
        </w:rPr>
      </w:pPr>
      <w:r>
        <w:rPr>
          <w:rFonts w:hint="default" w:ascii="仿宋_GB2312" w:hAnsi="仿宋_GB2312" w:eastAsia="仿宋_GB2312" w:cs="仿宋_GB2312"/>
          <w:b/>
          <w:bCs/>
          <w:color w:val="auto"/>
          <w:sz w:val="32"/>
          <w:szCs w:val="32"/>
          <w:highlight w:val="none"/>
          <w:u w:val="none"/>
        </w:rPr>
        <w:t>项目概况</w:t>
      </w:r>
    </w:p>
    <w:p w14:paraId="592CEF9E">
      <w:pPr>
        <w:keepNext w:val="0"/>
        <w:keepLines w:val="0"/>
        <w:pageBreakBefore w:val="0"/>
        <w:widowControl w:val="0"/>
        <w:numPr>
          <w:ilvl w:val="0"/>
          <w:numId w:val="2"/>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firstLine="640" w:firstLineChars="200"/>
        <w:jc w:val="both"/>
        <w:textAlignment w:val="auto"/>
        <w:rPr>
          <w:rFonts w:hint="default" w:ascii="仿宋_GB2312" w:hAnsi="仿宋_GB2312" w:eastAsia="仿宋_GB2312" w:cs="仿宋_GB2312"/>
          <w:bCs/>
          <w:color w:val="auto"/>
          <w:sz w:val="32"/>
          <w:szCs w:val="32"/>
          <w:highlight w:val="none"/>
          <w:u w:val="none"/>
        </w:rPr>
      </w:pPr>
      <w:r>
        <w:rPr>
          <w:rFonts w:hint="default" w:ascii="仿宋_GB2312" w:hAnsi="仿宋_GB2312" w:eastAsia="仿宋_GB2312" w:cs="仿宋_GB2312"/>
          <w:bCs/>
          <w:color w:val="auto"/>
          <w:sz w:val="32"/>
          <w:szCs w:val="32"/>
          <w:highlight w:val="none"/>
          <w:u w:val="none"/>
        </w:rPr>
        <w:t>项目名称：中兴铁路 2026 年设备设施防雷防静电检测项目</w:t>
      </w:r>
    </w:p>
    <w:p w14:paraId="2BD7EAF2">
      <w:pPr>
        <w:keepNext w:val="0"/>
        <w:keepLines w:val="0"/>
        <w:pageBreakBefore w:val="0"/>
        <w:widowControl w:val="0"/>
        <w:numPr>
          <w:ilvl w:val="0"/>
          <w:numId w:val="2"/>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firstLine="640" w:firstLineChars="200"/>
        <w:jc w:val="both"/>
        <w:textAlignment w:val="auto"/>
        <w:rPr>
          <w:rFonts w:hint="default" w:ascii="仿宋_GB2312" w:hAnsi="仿宋_GB2312" w:eastAsia="仿宋_GB2312" w:cs="仿宋_GB2312"/>
          <w:bCs/>
          <w:color w:val="auto"/>
          <w:sz w:val="32"/>
          <w:szCs w:val="32"/>
          <w:highlight w:val="none"/>
          <w:u w:val="none"/>
        </w:rPr>
      </w:pPr>
      <w:r>
        <w:rPr>
          <w:rFonts w:hint="default" w:ascii="仿宋_GB2312" w:hAnsi="仿宋_GB2312" w:eastAsia="仿宋_GB2312" w:cs="仿宋_GB2312"/>
          <w:bCs/>
          <w:color w:val="auto"/>
          <w:sz w:val="32"/>
          <w:szCs w:val="32"/>
          <w:highlight w:val="none"/>
          <w:u w:val="none"/>
        </w:rPr>
        <w:t>项目地点：策克海关监管场、策克西站货场、嘉策铁路沿线各站、嘉北油库、酒钢冶金厂区</w:t>
      </w:r>
    </w:p>
    <w:p w14:paraId="5A3D146A">
      <w:pPr>
        <w:keepNext w:val="0"/>
        <w:keepLines w:val="0"/>
        <w:pageBreakBefore w:val="0"/>
        <w:widowControl w:val="0"/>
        <w:numPr>
          <w:ilvl w:val="0"/>
          <w:numId w:val="2"/>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firstLine="640" w:firstLineChars="200"/>
        <w:jc w:val="both"/>
        <w:textAlignment w:val="auto"/>
        <w:rPr>
          <w:rFonts w:hint="default" w:ascii="仿宋_GB2312" w:hAnsi="仿宋_GB2312" w:eastAsia="仿宋_GB2312" w:cs="仿宋_GB2312"/>
          <w:bCs/>
          <w:color w:val="auto"/>
          <w:sz w:val="32"/>
          <w:szCs w:val="32"/>
          <w:highlight w:val="none"/>
          <w:u w:val="none"/>
        </w:rPr>
      </w:pPr>
      <w:r>
        <w:rPr>
          <w:rFonts w:hint="default" w:ascii="仿宋_GB2312" w:hAnsi="仿宋_GB2312" w:eastAsia="仿宋_GB2312" w:cs="仿宋_GB2312"/>
          <w:bCs/>
          <w:color w:val="auto"/>
          <w:sz w:val="32"/>
          <w:szCs w:val="32"/>
          <w:highlight w:val="none"/>
          <w:u w:val="none"/>
        </w:rPr>
        <w:t>检测范围及明细：</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560"/>
        <w:gridCol w:w="1561"/>
        <w:gridCol w:w="1318"/>
        <w:gridCol w:w="1015"/>
        <w:gridCol w:w="1044"/>
        <w:gridCol w:w="3334"/>
      </w:tblGrid>
      <w:tr w14:paraId="3289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Header/>
        </w:trPr>
        <w:tc>
          <w:tcPr>
            <w:tcW w:w="560" w:type="dxa"/>
            <w:tcBorders>
              <w:tl2br w:val="nil"/>
              <w:tr2bl w:val="nil"/>
            </w:tcBorders>
            <w:shd w:val="clear" w:color="auto" w:fill="F2F2F2"/>
            <w:tcMar>
              <w:top w:w="180" w:type="dxa"/>
              <w:left w:w="270" w:type="dxa"/>
              <w:bottom w:w="180" w:type="dxa"/>
              <w:right w:w="270" w:type="dxa"/>
            </w:tcMar>
            <w:vAlign w:val="center"/>
          </w:tcPr>
          <w:p w14:paraId="4CC8D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序号</w:t>
            </w:r>
          </w:p>
        </w:tc>
        <w:tc>
          <w:tcPr>
            <w:tcW w:w="1561" w:type="dxa"/>
            <w:tcBorders>
              <w:tl2br w:val="nil"/>
              <w:tr2bl w:val="nil"/>
            </w:tcBorders>
            <w:shd w:val="clear" w:color="auto" w:fill="F2F2F2"/>
            <w:tcMar>
              <w:top w:w="180" w:type="dxa"/>
              <w:left w:w="270" w:type="dxa"/>
              <w:bottom w:w="180" w:type="dxa"/>
              <w:right w:w="270" w:type="dxa"/>
            </w:tcMar>
            <w:vAlign w:val="center"/>
          </w:tcPr>
          <w:p w14:paraId="09CD3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检测场所及部位</w:t>
            </w:r>
          </w:p>
        </w:tc>
        <w:tc>
          <w:tcPr>
            <w:tcW w:w="1318" w:type="dxa"/>
            <w:tcBorders>
              <w:tl2br w:val="nil"/>
              <w:tr2bl w:val="nil"/>
            </w:tcBorders>
            <w:shd w:val="clear" w:color="auto" w:fill="F2F2F2"/>
            <w:tcMar>
              <w:top w:w="180" w:type="dxa"/>
              <w:left w:w="270" w:type="dxa"/>
              <w:bottom w:w="180" w:type="dxa"/>
              <w:right w:w="270" w:type="dxa"/>
            </w:tcMar>
            <w:vAlign w:val="center"/>
          </w:tcPr>
          <w:p w14:paraId="68D61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检测类别</w:t>
            </w:r>
          </w:p>
        </w:tc>
        <w:tc>
          <w:tcPr>
            <w:tcW w:w="1015" w:type="dxa"/>
            <w:tcBorders>
              <w:tl2br w:val="nil"/>
              <w:tr2bl w:val="nil"/>
            </w:tcBorders>
            <w:shd w:val="clear" w:color="auto" w:fill="F2F2F2"/>
            <w:tcMar>
              <w:top w:w="180" w:type="dxa"/>
              <w:left w:w="270" w:type="dxa"/>
              <w:bottom w:w="180" w:type="dxa"/>
              <w:right w:w="270" w:type="dxa"/>
            </w:tcMar>
            <w:vAlign w:val="center"/>
          </w:tcPr>
          <w:p w14:paraId="25A8F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检测频次</w:t>
            </w:r>
          </w:p>
        </w:tc>
        <w:tc>
          <w:tcPr>
            <w:tcW w:w="1044" w:type="dxa"/>
            <w:tcBorders>
              <w:tl2br w:val="nil"/>
              <w:tr2bl w:val="nil"/>
            </w:tcBorders>
            <w:shd w:val="clear" w:color="auto" w:fill="F2F2F2"/>
            <w:tcMar>
              <w:top w:w="180" w:type="dxa"/>
              <w:left w:w="270" w:type="dxa"/>
              <w:bottom w:w="180" w:type="dxa"/>
              <w:right w:w="270" w:type="dxa"/>
            </w:tcMar>
            <w:vAlign w:val="center"/>
          </w:tcPr>
          <w:p w14:paraId="22EFD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检测点数</w:t>
            </w:r>
          </w:p>
        </w:tc>
        <w:tc>
          <w:tcPr>
            <w:tcW w:w="3334" w:type="dxa"/>
            <w:tcBorders>
              <w:tl2br w:val="nil"/>
              <w:tr2bl w:val="nil"/>
            </w:tcBorders>
            <w:shd w:val="clear" w:color="auto" w:fill="F2F2F2"/>
            <w:tcMar>
              <w:top w:w="180" w:type="dxa"/>
              <w:left w:w="270" w:type="dxa"/>
              <w:bottom w:w="180" w:type="dxa"/>
              <w:right w:w="270" w:type="dxa"/>
            </w:tcMar>
            <w:vAlign w:val="center"/>
          </w:tcPr>
          <w:p w14:paraId="14C45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备注</w:t>
            </w:r>
          </w:p>
        </w:tc>
      </w:tr>
      <w:tr w14:paraId="720C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trPr>
        <w:tc>
          <w:tcPr>
            <w:tcW w:w="560" w:type="dxa"/>
            <w:tcBorders>
              <w:tl2br w:val="nil"/>
              <w:tr2bl w:val="nil"/>
            </w:tcBorders>
            <w:shd w:val="clear"/>
            <w:tcMar>
              <w:top w:w="180" w:type="dxa"/>
              <w:left w:w="270" w:type="dxa"/>
              <w:bottom w:w="180" w:type="dxa"/>
              <w:right w:w="270" w:type="dxa"/>
            </w:tcMar>
            <w:vAlign w:val="center"/>
          </w:tcPr>
          <w:p w14:paraId="7E279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1</w:t>
            </w:r>
          </w:p>
        </w:tc>
        <w:tc>
          <w:tcPr>
            <w:tcW w:w="1561" w:type="dxa"/>
            <w:tcBorders>
              <w:tl2br w:val="nil"/>
              <w:tr2bl w:val="nil"/>
            </w:tcBorders>
            <w:shd w:val="clear"/>
            <w:tcMar>
              <w:top w:w="180" w:type="dxa"/>
              <w:left w:w="270" w:type="dxa"/>
              <w:bottom w:w="180" w:type="dxa"/>
              <w:right w:w="270" w:type="dxa"/>
            </w:tcMar>
            <w:vAlign w:val="center"/>
          </w:tcPr>
          <w:p w14:paraId="0F699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策克海关监管场 1# 封闭料棚</w:t>
            </w:r>
          </w:p>
        </w:tc>
        <w:tc>
          <w:tcPr>
            <w:tcW w:w="1318" w:type="dxa"/>
            <w:tcBorders>
              <w:tl2br w:val="nil"/>
              <w:tr2bl w:val="nil"/>
            </w:tcBorders>
            <w:shd w:val="clear"/>
            <w:tcMar>
              <w:top w:w="180" w:type="dxa"/>
              <w:left w:w="270" w:type="dxa"/>
              <w:bottom w:w="180" w:type="dxa"/>
              <w:right w:w="270" w:type="dxa"/>
            </w:tcMar>
            <w:vAlign w:val="center"/>
          </w:tcPr>
          <w:p w14:paraId="2A968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Ⅲ 类防雷防静电检测</w:t>
            </w:r>
          </w:p>
        </w:tc>
        <w:tc>
          <w:tcPr>
            <w:tcW w:w="1015" w:type="dxa"/>
            <w:tcBorders>
              <w:tl2br w:val="nil"/>
              <w:tr2bl w:val="nil"/>
            </w:tcBorders>
            <w:shd w:val="clear"/>
            <w:tcMar>
              <w:top w:w="180" w:type="dxa"/>
              <w:left w:w="270" w:type="dxa"/>
              <w:bottom w:w="180" w:type="dxa"/>
              <w:right w:w="270" w:type="dxa"/>
            </w:tcMar>
            <w:vAlign w:val="center"/>
          </w:tcPr>
          <w:p w14:paraId="19778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年检</w:t>
            </w:r>
          </w:p>
        </w:tc>
        <w:tc>
          <w:tcPr>
            <w:tcW w:w="1044" w:type="dxa"/>
            <w:tcBorders>
              <w:tl2br w:val="nil"/>
              <w:tr2bl w:val="nil"/>
            </w:tcBorders>
            <w:shd w:val="clear"/>
            <w:tcMar>
              <w:top w:w="180" w:type="dxa"/>
              <w:left w:w="270" w:type="dxa"/>
              <w:bottom w:w="180" w:type="dxa"/>
              <w:right w:w="270" w:type="dxa"/>
            </w:tcMar>
            <w:vAlign w:val="center"/>
          </w:tcPr>
          <w:p w14:paraId="3CE39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40 个</w:t>
            </w:r>
          </w:p>
        </w:tc>
        <w:tc>
          <w:tcPr>
            <w:tcW w:w="3334" w:type="dxa"/>
            <w:tcBorders>
              <w:tl2br w:val="nil"/>
              <w:tr2bl w:val="nil"/>
            </w:tcBorders>
            <w:shd w:val="clear"/>
            <w:tcMar>
              <w:top w:w="180" w:type="dxa"/>
              <w:left w:w="270" w:type="dxa"/>
              <w:bottom w:w="180" w:type="dxa"/>
              <w:right w:w="270" w:type="dxa"/>
            </w:tcMar>
            <w:vAlign w:val="center"/>
          </w:tcPr>
          <w:p w14:paraId="63A73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含防雷接地、防静电接地等，检测频次符合《防雷减灾管理办法》第二十九条规定</w:t>
            </w:r>
          </w:p>
        </w:tc>
      </w:tr>
      <w:tr w14:paraId="2715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0" w:type="dxa"/>
            <w:tcBorders>
              <w:tl2br w:val="nil"/>
              <w:tr2bl w:val="nil"/>
            </w:tcBorders>
            <w:shd w:val="clear"/>
            <w:tcMar>
              <w:top w:w="180" w:type="dxa"/>
              <w:left w:w="270" w:type="dxa"/>
              <w:bottom w:w="180" w:type="dxa"/>
              <w:right w:w="270" w:type="dxa"/>
            </w:tcMar>
            <w:vAlign w:val="center"/>
          </w:tcPr>
          <w:p w14:paraId="74B0E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2</w:t>
            </w:r>
          </w:p>
        </w:tc>
        <w:tc>
          <w:tcPr>
            <w:tcW w:w="1561" w:type="dxa"/>
            <w:tcBorders>
              <w:tl2br w:val="nil"/>
              <w:tr2bl w:val="nil"/>
            </w:tcBorders>
            <w:shd w:val="clear"/>
            <w:tcMar>
              <w:top w:w="180" w:type="dxa"/>
              <w:left w:w="270" w:type="dxa"/>
              <w:bottom w:w="180" w:type="dxa"/>
              <w:right w:w="270" w:type="dxa"/>
            </w:tcMar>
            <w:vAlign w:val="center"/>
          </w:tcPr>
          <w:p w14:paraId="2C301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策克海关监管场 2、3# 封闭料棚</w:t>
            </w:r>
          </w:p>
        </w:tc>
        <w:tc>
          <w:tcPr>
            <w:tcW w:w="1318" w:type="dxa"/>
            <w:tcBorders>
              <w:tl2br w:val="nil"/>
              <w:tr2bl w:val="nil"/>
            </w:tcBorders>
            <w:shd w:val="clear"/>
            <w:tcMar>
              <w:top w:w="180" w:type="dxa"/>
              <w:left w:w="270" w:type="dxa"/>
              <w:bottom w:w="180" w:type="dxa"/>
              <w:right w:w="270" w:type="dxa"/>
            </w:tcMar>
            <w:vAlign w:val="center"/>
          </w:tcPr>
          <w:p w14:paraId="32BEC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Ⅲ 类防雷防静电检测</w:t>
            </w:r>
          </w:p>
        </w:tc>
        <w:tc>
          <w:tcPr>
            <w:tcW w:w="1015" w:type="dxa"/>
            <w:tcBorders>
              <w:tl2br w:val="nil"/>
              <w:tr2bl w:val="nil"/>
            </w:tcBorders>
            <w:shd w:val="clear"/>
            <w:tcMar>
              <w:top w:w="180" w:type="dxa"/>
              <w:left w:w="270" w:type="dxa"/>
              <w:bottom w:w="180" w:type="dxa"/>
              <w:right w:w="270" w:type="dxa"/>
            </w:tcMar>
            <w:vAlign w:val="center"/>
          </w:tcPr>
          <w:p w14:paraId="32CC2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年检</w:t>
            </w:r>
          </w:p>
        </w:tc>
        <w:tc>
          <w:tcPr>
            <w:tcW w:w="1044" w:type="dxa"/>
            <w:tcBorders>
              <w:tl2br w:val="nil"/>
              <w:tr2bl w:val="nil"/>
            </w:tcBorders>
            <w:shd w:val="clear"/>
            <w:tcMar>
              <w:top w:w="180" w:type="dxa"/>
              <w:left w:w="270" w:type="dxa"/>
              <w:bottom w:w="180" w:type="dxa"/>
              <w:right w:w="270" w:type="dxa"/>
            </w:tcMar>
            <w:vAlign w:val="center"/>
          </w:tcPr>
          <w:p w14:paraId="768C8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80 个</w:t>
            </w:r>
          </w:p>
        </w:tc>
        <w:tc>
          <w:tcPr>
            <w:tcW w:w="3334" w:type="dxa"/>
            <w:tcBorders>
              <w:tl2br w:val="nil"/>
              <w:tr2bl w:val="nil"/>
            </w:tcBorders>
            <w:shd w:val="clear"/>
            <w:tcMar>
              <w:top w:w="180" w:type="dxa"/>
              <w:left w:w="270" w:type="dxa"/>
              <w:bottom w:w="180" w:type="dxa"/>
              <w:right w:w="270" w:type="dxa"/>
            </w:tcMar>
            <w:vAlign w:val="center"/>
          </w:tcPr>
          <w:p w14:paraId="4D4DB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含防雷接地、防静电接地等，检测频次符合《防雷减灾管理办法》第二十九条规定</w:t>
            </w:r>
          </w:p>
        </w:tc>
      </w:tr>
      <w:tr w14:paraId="2FBB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0" w:type="dxa"/>
            <w:tcBorders>
              <w:tl2br w:val="nil"/>
              <w:tr2bl w:val="nil"/>
            </w:tcBorders>
            <w:shd w:val="clear"/>
            <w:tcMar>
              <w:top w:w="180" w:type="dxa"/>
              <w:left w:w="270" w:type="dxa"/>
              <w:bottom w:w="180" w:type="dxa"/>
              <w:right w:w="270" w:type="dxa"/>
            </w:tcMar>
            <w:vAlign w:val="center"/>
          </w:tcPr>
          <w:p w14:paraId="40D34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3</w:t>
            </w:r>
          </w:p>
        </w:tc>
        <w:tc>
          <w:tcPr>
            <w:tcW w:w="1561" w:type="dxa"/>
            <w:tcBorders>
              <w:tl2br w:val="nil"/>
              <w:tr2bl w:val="nil"/>
            </w:tcBorders>
            <w:shd w:val="clear"/>
            <w:tcMar>
              <w:top w:w="180" w:type="dxa"/>
              <w:left w:w="270" w:type="dxa"/>
              <w:bottom w:w="180" w:type="dxa"/>
              <w:right w:w="270" w:type="dxa"/>
            </w:tcMar>
            <w:vAlign w:val="center"/>
          </w:tcPr>
          <w:p w14:paraId="1BB91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策克西站货场封闭料棚</w:t>
            </w:r>
          </w:p>
        </w:tc>
        <w:tc>
          <w:tcPr>
            <w:tcW w:w="1318" w:type="dxa"/>
            <w:tcBorders>
              <w:tl2br w:val="nil"/>
              <w:tr2bl w:val="nil"/>
            </w:tcBorders>
            <w:shd w:val="clear"/>
            <w:tcMar>
              <w:top w:w="180" w:type="dxa"/>
              <w:left w:w="270" w:type="dxa"/>
              <w:bottom w:w="180" w:type="dxa"/>
              <w:right w:w="270" w:type="dxa"/>
            </w:tcMar>
            <w:vAlign w:val="center"/>
          </w:tcPr>
          <w:p w14:paraId="27211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Ⅲ 类防雷防静电检测</w:t>
            </w:r>
          </w:p>
        </w:tc>
        <w:tc>
          <w:tcPr>
            <w:tcW w:w="1015" w:type="dxa"/>
            <w:tcBorders>
              <w:tl2br w:val="nil"/>
              <w:tr2bl w:val="nil"/>
            </w:tcBorders>
            <w:shd w:val="clear"/>
            <w:tcMar>
              <w:top w:w="180" w:type="dxa"/>
              <w:left w:w="270" w:type="dxa"/>
              <w:bottom w:w="180" w:type="dxa"/>
              <w:right w:w="270" w:type="dxa"/>
            </w:tcMar>
            <w:vAlign w:val="center"/>
          </w:tcPr>
          <w:p w14:paraId="6E599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年检</w:t>
            </w:r>
          </w:p>
        </w:tc>
        <w:tc>
          <w:tcPr>
            <w:tcW w:w="1044" w:type="dxa"/>
            <w:tcBorders>
              <w:tl2br w:val="nil"/>
              <w:tr2bl w:val="nil"/>
            </w:tcBorders>
            <w:shd w:val="clear"/>
            <w:tcMar>
              <w:top w:w="180" w:type="dxa"/>
              <w:left w:w="270" w:type="dxa"/>
              <w:bottom w:w="180" w:type="dxa"/>
              <w:right w:w="270" w:type="dxa"/>
            </w:tcMar>
            <w:vAlign w:val="center"/>
          </w:tcPr>
          <w:p w14:paraId="29C69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60 个</w:t>
            </w:r>
          </w:p>
        </w:tc>
        <w:tc>
          <w:tcPr>
            <w:tcW w:w="3334" w:type="dxa"/>
            <w:tcBorders>
              <w:tl2br w:val="nil"/>
              <w:tr2bl w:val="nil"/>
            </w:tcBorders>
            <w:shd w:val="clear"/>
            <w:tcMar>
              <w:top w:w="180" w:type="dxa"/>
              <w:left w:w="270" w:type="dxa"/>
              <w:bottom w:w="180" w:type="dxa"/>
              <w:right w:w="270" w:type="dxa"/>
            </w:tcMar>
            <w:vAlign w:val="center"/>
          </w:tcPr>
          <w:p w14:paraId="37831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含防雷接地、防静电接地等，检测频次符合《防雷减灾管理办法》第二十九条规定</w:t>
            </w:r>
          </w:p>
        </w:tc>
      </w:tr>
      <w:tr w14:paraId="6239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0" w:type="dxa"/>
            <w:tcBorders>
              <w:tl2br w:val="nil"/>
              <w:tr2bl w:val="nil"/>
            </w:tcBorders>
            <w:shd w:val="clear"/>
            <w:tcMar>
              <w:top w:w="180" w:type="dxa"/>
              <w:left w:w="270" w:type="dxa"/>
              <w:bottom w:w="180" w:type="dxa"/>
              <w:right w:w="270" w:type="dxa"/>
            </w:tcMar>
            <w:vAlign w:val="center"/>
          </w:tcPr>
          <w:p w14:paraId="558D0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4</w:t>
            </w:r>
          </w:p>
        </w:tc>
        <w:tc>
          <w:tcPr>
            <w:tcW w:w="1561" w:type="dxa"/>
            <w:tcBorders>
              <w:tl2br w:val="nil"/>
              <w:tr2bl w:val="nil"/>
            </w:tcBorders>
            <w:shd w:val="clear"/>
            <w:tcMar>
              <w:top w:w="180" w:type="dxa"/>
              <w:left w:w="270" w:type="dxa"/>
              <w:bottom w:w="180" w:type="dxa"/>
              <w:right w:w="270" w:type="dxa"/>
            </w:tcMar>
            <w:vAlign w:val="center"/>
          </w:tcPr>
          <w:p w14:paraId="713BC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策克海关监管场配电室、变压器</w:t>
            </w:r>
          </w:p>
        </w:tc>
        <w:tc>
          <w:tcPr>
            <w:tcW w:w="1318" w:type="dxa"/>
            <w:tcBorders>
              <w:tl2br w:val="nil"/>
              <w:tr2bl w:val="nil"/>
            </w:tcBorders>
            <w:shd w:val="clear"/>
            <w:tcMar>
              <w:top w:w="180" w:type="dxa"/>
              <w:left w:w="270" w:type="dxa"/>
              <w:bottom w:w="180" w:type="dxa"/>
              <w:right w:w="270" w:type="dxa"/>
            </w:tcMar>
            <w:vAlign w:val="center"/>
          </w:tcPr>
          <w:p w14:paraId="6930E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Ⅲ 类防雷检测</w:t>
            </w:r>
          </w:p>
        </w:tc>
        <w:tc>
          <w:tcPr>
            <w:tcW w:w="1015" w:type="dxa"/>
            <w:tcBorders>
              <w:tl2br w:val="nil"/>
              <w:tr2bl w:val="nil"/>
            </w:tcBorders>
            <w:shd w:val="clear"/>
            <w:tcMar>
              <w:top w:w="180" w:type="dxa"/>
              <w:left w:w="270" w:type="dxa"/>
              <w:bottom w:w="180" w:type="dxa"/>
              <w:right w:w="270" w:type="dxa"/>
            </w:tcMar>
            <w:vAlign w:val="center"/>
          </w:tcPr>
          <w:p w14:paraId="77EEA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年检</w:t>
            </w:r>
          </w:p>
        </w:tc>
        <w:tc>
          <w:tcPr>
            <w:tcW w:w="1044" w:type="dxa"/>
            <w:tcBorders>
              <w:tl2br w:val="nil"/>
              <w:tr2bl w:val="nil"/>
            </w:tcBorders>
            <w:shd w:val="clear"/>
            <w:tcMar>
              <w:top w:w="180" w:type="dxa"/>
              <w:left w:w="270" w:type="dxa"/>
              <w:bottom w:w="180" w:type="dxa"/>
              <w:right w:w="270" w:type="dxa"/>
            </w:tcMar>
            <w:vAlign w:val="center"/>
          </w:tcPr>
          <w:p w14:paraId="74AB0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24 个</w:t>
            </w:r>
          </w:p>
        </w:tc>
        <w:tc>
          <w:tcPr>
            <w:tcW w:w="3334" w:type="dxa"/>
            <w:tcBorders>
              <w:tl2br w:val="nil"/>
              <w:tr2bl w:val="nil"/>
            </w:tcBorders>
            <w:shd w:val="clear"/>
            <w:tcMar>
              <w:top w:w="180" w:type="dxa"/>
              <w:left w:w="270" w:type="dxa"/>
              <w:bottom w:w="180" w:type="dxa"/>
              <w:right w:w="270" w:type="dxa"/>
            </w:tcMar>
            <w:vAlign w:val="center"/>
          </w:tcPr>
          <w:p w14:paraId="0AC0A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含设备接地、防雷保护装置等，检测频次符合《防雷减灾管理办法》第二十九条规定</w:t>
            </w:r>
          </w:p>
        </w:tc>
      </w:tr>
      <w:tr w14:paraId="19EE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0" w:type="dxa"/>
            <w:tcBorders>
              <w:tl2br w:val="nil"/>
              <w:tr2bl w:val="nil"/>
            </w:tcBorders>
            <w:shd w:val="clear"/>
            <w:tcMar>
              <w:top w:w="180" w:type="dxa"/>
              <w:left w:w="270" w:type="dxa"/>
              <w:bottom w:w="180" w:type="dxa"/>
              <w:right w:w="270" w:type="dxa"/>
            </w:tcMar>
            <w:vAlign w:val="center"/>
          </w:tcPr>
          <w:p w14:paraId="12589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5</w:t>
            </w:r>
          </w:p>
        </w:tc>
        <w:tc>
          <w:tcPr>
            <w:tcW w:w="1561" w:type="dxa"/>
            <w:tcBorders>
              <w:tl2br w:val="nil"/>
              <w:tr2bl w:val="nil"/>
            </w:tcBorders>
            <w:shd w:val="clear"/>
            <w:tcMar>
              <w:top w:w="180" w:type="dxa"/>
              <w:left w:w="270" w:type="dxa"/>
              <w:bottom w:w="180" w:type="dxa"/>
              <w:right w:w="270" w:type="dxa"/>
            </w:tcMar>
            <w:vAlign w:val="center"/>
          </w:tcPr>
          <w:p w14:paraId="6FB44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嘉策铁路沿线各站</w:t>
            </w:r>
          </w:p>
        </w:tc>
        <w:tc>
          <w:tcPr>
            <w:tcW w:w="1318" w:type="dxa"/>
            <w:tcBorders>
              <w:tl2br w:val="nil"/>
              <w:tr2bl w:val="nil"/>
            </w:tcBorders>
            <w:shd w:val="clear"/>
            <w:tcMar>
              <w:top w:w="180" w:type="dxa"/>
              <w:left w:w="270" w:type="dxa"/>
              <w:bottom w:w="180" w:type="dxa"/>
              <w:right w:w="270" w:type="dxa"/>
            </w:tcMar>
            <w:vAlign w:val="center"/>
          </w:tcPr>
          <w:p w14:paraId="1CE2A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Ⅲ 类防雷防静电检测</w:t>
            </w:r>
          </w:p>
        </w:tc>
        <w:tc>
          <w:tcPr>
            <w:tcW w:w="1015" w:type="dxa"/>
            <w:tcBorders>
              <w:tl2br w:val="nil"/>
              <w:tr2bl w:val="nil"/>
            </w:tcBorders>
            <w:shd w:val="clear"/>
            <w:tcMar>
              <w:top w:w="180" w:type="dxa"/>
              <w:left w:w="270" w:type="dxa"/>
              <w:bottom w:w="180" w:type="dxa"/>
              <w:right w:w="270" w:type="dxa"/>
            </w:tcMar>
            <w:vAlign w:val="center"/>
          </w:tcPr>
          <w:p w14:paraId="402BC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年检</w:t>
            </w:r>
          </w:p>
        </w:tc>
        <w:tc>
          <w:tcPr>
            <w:tcW w:w="1044" w:type="dxa"/>
            <w:tcBorders>
              <w:tl2br w:val="nil"/>
              <w:tr2bl w:val="nil"/>
            </w:tcBorders>
            <w:shd w:val="clear"/>
            <w:tcMar>
              <w:top w:w="180" w:type="dxa"/>
              <w:left w:w="270" w:type="dxa"/>
              <w:bottom w:w="180" w:type="dxa"/>
              <w:right w:w="270" w:type="dxa"/>
            </w:tcMar>
            <w:vAlign w:val="center"/>
          </w:tcPr>
          <w:p w14:paraId="688C6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195 个</w:t>
            </w:r>
          </w:p>
        </w:tc>
        <w:tc>
          <w:tcPr>
            <w:tcW w:w="3334" w:type="dxa"/>
            <w:tcBorders>
              <w:tl2br w:val="nil"/>
              <w:tr2bl w:val="nil"/>
            </w:tcBorders>
            <w:shd w:val="clear"/>
            <w:tcMar>
              <w:top w:w="180" w:type="dxa"/>
              <w:left w:w="270" w:type="dxa"/>
              <w:bottom w:w="180" w:type="dxa"/>
              <w:right w:w="270" w:type="dxa"/>
            </w:tcMar>
            <w:vAlign w:val="center"/>
          </w:tcPr>
          <w:p w14:paraId="3CD20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含车站房屋、通信信号设备、电力设施等防雷防静电设施，检测频次符合《防雷减灾管理办法》第二十九条规定</w:t>
            </w:r>
          </w:p>
        </w:tc>
      </w:tr>
      <w:tr w14:paraId="23D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0" w:type="dxa"/>
            <w:tcBorders>
              <w:tl2br w:val="nil"/>
              <w:tr2bl w:val="nil"/>
            </w:tcBorders>
            <w:shd w:val="clear"/>
            <w:tcMar>
              <w:top w:w="180" w:type="dxa"/>
              <w:left w:w="270" w:type="dxa"/>
              <w:bottom w:w="180" w:type="dxa"/>
              <w:right w:w="270" w:type="dxa"/>
            </w:tcMar>
            <w:vAlign w:val="center"/>
          </w:tcPr>
          <w:p w14:paraId="07874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6</w:t>
            </w:r>
          </w:p>
        </w:tc>
        <w:tc>
          <w:tcPr>
            <w:tcW w:w="1561" w:type="dxa"/>
            <w:tcBorders>
              <w:tl2br w:val="nil"/>
              <w:tr2bl w:val="nil"/>
            </w:tcBorders>
            <w:shd w:val="clear"/>
            <w:tcMar>
              <w:top w:w="180" w:type="dxa"/>
              <w:left w:w="270" w:type="dxa"/>
              <w:bottom w:w="180" w:type="dxa"/>
              <w:right w:w="270" w:type="dxa"/>
            </w:tcMar>
            <w:vAlign w:val="center"/>
          </w:tcPr>
          <w:p w14:paraId="3BCD7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嘉北油库</w:t>
            </w:r>
          </w:p>
        </w:tc>
        <w:tc>
          <w:tcPr>
            <w:tcW w:w="1318" w:type="dxa"/>
            <w:tcBorders>
              <w:tl2br w:val="nil"/>
              <w:tr2bl w:val="nil"/>
            </w:tcBorders>
            <w:shd w:val="clear"/>
            <w:tcMar>
              <w:top w:w="180" w:type="dxa"/>
              <w:left w:w="270" w:type="dxa"/>
              <w:bottom w:w="180" w:type="dxa"/>
              <w:right w:w="270" w:type="dxa"/>
            </w:tcMar>
            <w:vAlign w:val="center"/>
          </w:tcPr>
          <w:p w14:paraId="41F09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Ⅰ 类防雷防静电检测</w:t>
            </w:r>
          </w:p>
        </w:tc>
        <w:tc>
          <w:tcPr>
            <w:tcW w:w="1015" w:type="dxa"/>
            <w:tcBorders>
              <w:tl2br w:val="nil"/>
              <w:tr2bl w:val="nil"/>
            </w:tcBorders>
            <w:shd w:val="clear"/>
            <w:tcMar>
              <w:top w:w="180" w:type="dxa"/>
              <w:left w:w="270" w:type="dxa"/>
              <w:bottom w:w="180" w:type="dxa"/>
              <w:right w:w="270" w:type="dxa"/>
            </w:tcMar>
            <w:vAlign w:val="center"/>
          </w:tcPr>
          <w:p w14:paraId="75344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半年检</w:t>
            </w:r>
          </w:p>
        </w:tc>
        <w:tc>
          <w:tcPr>
            <w:tcW w:w="1044" w:type="dxa"/>
            <w:tcBorders>
              <w:tl2br w:val="nil"/>
              <w:tr2bl w:val="nil"/>
            </w:tcBorders>
            <w:shd w:val="clear"/>
            <w:tcMar>
              <w:top w:w="180" w:type="dxa"/>
              <w:left w:w="270" w:type="dxa"/>
              <w:bottom w:w="180" w:type="dxa"/>
              <w:right w:w="270" w:type="dxa"/>
            </w:tcMar>
            <w:vAlign w:val="center"/>
          </w:tcPr>
          <w:p w14:paraId="10E51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91 个</w:t>
            </w:r>
          </w:p>
        </w:tc>
        <w:tc>
          <w:tcPr>
            <w:tcW w:w="3334" w:type="dxa"/>
            <w:tcBorders>
              <w:tl2br w:val="nil"/>
              <w:tr2bl w:val="nil"/>
            </w:tcBorders>
            <w:shd w:val="clear"/>
            <w:tcMar>
              <w:top w:w="180" w:type="dxa"/>
              <w:left w:w="270" w:type="dxa"/>
              <w:bottom w:w="180" w:type="dxa"/>
              <w:right w:w="270" w:type="dxa"/>
            </w:tcMar>
            <w:vAlign w:val="center"/>
          </w:tcPr>
          <w:p w14:paraId="62B40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按易燃易爆场所防雷防静电规范执行，上半年、下半年各检测 1 次，符合《防雷减灾管理办法》第二十九条对爆炸和火灾危险场所的要求</w:t>
            </w:r>
          </w:p>
        </w:tc>
      </w:tr>
      <w:tr w14:paraId="4857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0" w:type="dxa"/>
            <w:tcBorders>
              <w:tl2br w:val="nil"/>
              <w:tr2bl w:val="nil"/>
            </w:tcBorders>
            <w:shd w:val="clear"/>
            <w:tcMar>
              <w:top w:w="180" w:type="dxa"/>
              <w:left w:w="270" w:type="dxa"/>
              <w:bottom w:w="180" w:type="dxa"/>
              <w:right w:w="270" w:type="dxa"/>
            </w:tcMar>
            <w:vAlign w:val="center"/>
          </w:tcPr>
          <w:p w14:paraId="39EF7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7</w:t>
            </w:r>
          </w:p>
        </w:tc>
        <w:tc>
          <w:tcPr>
            <w:tcW w:w="1561" w:type="dxa"/>
            <w:tcBorders>
              <w:tl2br w:val="nil"/>
              <w:tr2bl w:val="nil"/>
            </w:tcBorders>
            <w:shd w:val="clear"/>
            <w:tcMar>
              <w:top w:w="180" w:type="dxa"/>
              <w:left w:w="270" w:type="dxa"/>
              <w:bottom w:w="180" w:type="dxa"/>
              <w:right w:w="270" w:type="dxa"/>
            </w:tcMar>
            <w:vAlign w:val="center"/>
          </w:tcPr>
          <w:p w14:paraId="6FE7C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酒钢冶金厂区</w:t>
            </w:r>
          </w:p>
        </w:tc>
        <w:tc>
          <w:tcPr>
            <w:tcW w:w="1318" w:type="dxa"/>
            <w:tcBorders>
              <w:tl2br w:val="nil"/>
              <w:tr2bl w:val="nil"/>
            </w:tcBorders>
            <w:shd w:val="clear"/>
            <w:tcMar>
              <w:top w:w="180" w:type="dxa"/>
              <w:left w:w="270" w:type="dxa"/>
              <w:bottom w:w="180" w:type="dxa"/>
              <w:right w:w="270" w:type="dxa"/>
            </w:tcMar>
            <w:vAlign w:val="center"/>
          </w:tcPr>
          <w:p w14:paraId="000C5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Ⅲ 类防雷防静电检测</w:t>
            </w:r>
          </w:p>
        </w:tc>
        <w:tc>
          <w:tcPr>
            <w:tcW w:w="1015" w:type="dxa"/>
            <w:tcBorders>
              <w:tl2br w:val="nil"/>
              <w:tr2bl w:val="nil"/>
            </w:tcBorders>
            <w:shd w:val="clear"/>
            <w:tcMar>
              <w:top w:w="180" w:type="dxa"/>
              <w:left w:w="270" w:type="dxa"/>
              <w:bottom w:w="180" w:type="dxa"/>
              <w:right w:w="270" w:type="dxa"/>
            </w:tcMar>
            <w:vAlign w:val="center"/>
          </w:tcPr>
          <w:p w14:paraId="2385C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年检</w:t>
            </w:r>
          </w:p>
        </w:tc>
        <w:tc>
          <w:tcPr>
            <w:tcW w:w="1044" w:type="dxa"/>
            <w:tcBorders>
              <w:tl2br w:val="nil"/>
              <w:tr2bl w:val="nil"/>
            </w:tcBorders>
            <w:shd w:val="clear"/>
            <w:tcMar>
              <w:top w:w="180" w:type="dxa"/>
              <w:left w:w="270" w:type="dxa"/>
              <w:bottom w:w="180" w:type="dxa"/>
              <w:right w:w="270" w:type="dxa"/>
            </w:tcMar>
            <w:vAlign w:val="center"/>
          </w:tcPr>
          <w:p w14:paraId="31DD2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151 个</w:t>
            </w:r>
          </w:p>
        </w:tc>
        <w:tc>
          <w:tcPr>
            <w:tcW w:w="3334" w:type="dxa"/>
            <w:tcBorders>
              <w:tl2br w:val="nil"/>
              <w:tr2bl w:val="nil"/>
            </w:tcBorders>
            <w:shd w:val="clear"/>
            <w:tcMar>
              <w:top w:w="180" w:type="dxa"/>
              <w:left w:w="270" w:type="dxa"/>
              <w:bottom w:w="180" w:type="dxa"/>
              <w:right w:w="270" w:type="dxa"/>
            </w:tcMar>
            <w:vAlign w:val="center"/>
          </w:tcPr>
          <w:p w14:paraId="35004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含厂区相关生产及辅助设施防雷防静电装置，检测频次符合《防雷减灾管理办法》第二十九条规定</w:t>
            </w:r>
          </w:p>
        </w:tc>
      </w:tr>
    </w:tbl>
    <w:p w14:paraId="7AE10DF3">
      <w:pPr>
        <w:keepNext w:val="0"/>
        <w:keepLines w:val="0"/>
        <w:pageBreakBefore w:val="0"/>
        <w:widowControl w:val="0"/>
        <w:numPr>
          <w:ilvl w:val="0"/>
          <w:numId w:val="2"/>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检测目的：通过专业检测，排查设备设施防雷防静电隐患，确保接地电阻、等电位连接等指标符合《建筑物防雷设计规范》《防止静电事故通用要求》等相关规范标准，防范雷击、静电引发的安全事故，保障铁路运输及相关场所生产安全，落实《气象灾害防御条例》《防雷减灾管理办法》等法律法规要求。</w:t>
      </w:r>
    </w:p>
    <w:p w14:paraId="7F114084">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beforeAutospacing="0" w:after="0" w:afterAutospacing="0" w:line="500" w:lineRule="exact"/>
        <w:ind w:left="0" w:leftChars="0" w:firstLine="602" w:firstLineChars="200"/>
        <w:jc w:val="both"/>
        <w:textAlignment w:val="auto"/>
        <w:outlineLvl w:val="1"/>
        <w:rPr>
          <w:rFonts w:hint="default" w:ascii="仿宋_GB2312" w:hAnsi="仿宋_GB2312" w:eastAsia="仿宋_GB2312" w:cs="仿宋_GB2312"/>
          <w:b/>
          <w:bCs/>
          <w:color w:val="auto"/>
          <w:sz w:val="30"/>
          <w:szCs w:val="30"/>
          <w:highlight w:val="none"/>
          <w:u w:val="none"/>
        </w:rPr>
      </w:pPr>
      <w:r>
        <w:rPr>
          <w:rFonts w:hint="default" w:ascii="仿宋_GB2312" w:hAnsi="仿宋_GB2312" w:eastAsia="仿宋_GB2312" w:cs="仿宋_GB2312"/>
          <w:b/>
          <w:bCs/>
          <w:color w:val="auto"/>
          <w:sz w:val="30"/>
          <w:szCs w:val="30"/>
          <w:highlight w:val="none"/>
          <w:u w:val="none"/>
        </w:rPr>
        <w:t>服务期限</w:t>
      </w:r>
    </w:p>
    <w:p w14:paraId="1A77BBDE">
      <w:pPr>
        <w:keepNext w:val="0"/>
        <w:keepLines w:val="0"/>
        <w:pageBreakBefore w:val="0"/>
        <w:widowControl w:val="0"/>
        <w:numPr>
          <w:ilvl w:val="0"/>
          <w:numId w:val="3"/>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半年检（嘉北油库）：2026 年 4 月 30 日前完成第一次检测，2026 年 10 月 31 日前完成第二次检测；检测完成后 3 个工作日内提交阶段性检测结果报备，确保监管可追溯。</w:t>
      </w:r>
    </w:p>
    <w:p w14:paraId="16C8743E">
      <w:pPr>
        <w:keepNext w:val="0"/>
        <w:keepLines w:val="0"/>
        <w:pageBreakBefore w:val="0"/>
        <w:widowControl w:val="0"/>
        <w:numPr>
          <w:ilvl w:val="0"/>
          <w:numId w:val="3"/>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年检项目：2026 年 4 月 30 日前完成全部年检场所检测及报告提交；</w:t>
      </w:r>
    </w:p>
    <w:p w14:paraId="79EB8836">
      <w:pPr>
        <w:keepNext w:val="0"/>
        <w:keepLines w:val="0"/>
        <w:pageBreakBefore w:val="0"/>
        <w:widowControl w:val="0"/>
        <w:numPr>
          <w:ilvl w:val="0"/>
          <w:numId w:val="3"/>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检测工期：单一场所检测应在进场后按约定时限完成，严格遵守委托方生产运营安排，不得影响正常生产秩序。</w:t>
      </w:r>
    </w:p>
    <w:p w14:paraId="36473CB4">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beforeAutospacing="0" w:after="0" w:afterAutospacing="0" w:line="500" w:lineRule="exact"/>
        <w:ind w:left="0" w:leftChars="0" w:firstLine="602" w:firstLineChars="200"/>
        <w:jc w:val="both"/>
        <w:textAlignment w:val="auto"/>
        <w:outlineLvl w:val="1"/>
        <w:rPr>
          <w:rFonts w:hint="default" w:ascii="仿宋_GB2312" w:hAnsi="仿宋_GB2312" w:eastAsia="仿宋_GB2312" w:cs="仿宋_GB2312"/>
          <w:b/>
          <w:bCs/>
          <w:color w:val="auto"/>
          <w:sz w:val="30"/>
          <w:szCs w:val="30"/>
          <w:highlight w:val="none"/>
          <w:u w:val="none"/>
        </w:rPr>
      </w:pPr>
      <w:r>
        <w:rPr>
          <w:rFonts w:hint="default" w:ascii="仿宋_GB2312" w:hAnsi="仿宋_GB2312" w:eastAsia="仿宋_GB2312" w:cs="仿宋_GB2312"/>
          <w:b/>
          <w:bCs/>
          <w:color w:val="auto"/>
          <w:sz w:val="30"/>
          <w:szCs w:val="30"/>
          <w:highlight w:val="none"/>
          <w:u w:val="none"/>
        </w:rPr>
        <w:t>资质要求</w:t>
      </w:r>
    </w:p>
    <w:p w14:paraId="7927F6CF">
      <w:pPr>
        <w:keepNext w:val="0"/>
        <w:keepLines w:val="0"/>
        <w:pageBreakBefore w:val="0"/>
        <w:widowControl w:val="0"/>
        <w:numPr>
          <w:ilvl w:val="0"/>
          <w:numId w:val="4"/>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投标人须为中华人民共和国境内独立法人，具备有效的《雷电防护装置检测资质证》（甲级），资质证书需涵盖本项目检测类别（Ⅰ 类、Ⅲ 类防雷检测及防静电检测），符合《雷电防护装置检测资质管理办法》（中国气象局令第 38 号）要求，且证书在有效期内；</w:t>
      </w:r>
    </w:p>
    <w:p w14:paraId="5D8685DB">
      <w:pPr>
        <w:keepNext w:val="0"/>
        <w:keepLines w:val="0"/>
        <w:pageBreakBefore w:val="0"/>
        <w:widowControl w:val="0"/>
        <w:numPr>
          <w:ilvl w:val="0"/>
          <w:numId w:val="4"/>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检测人员须持有防雷防静电检测相关职业资格证书或培训合格证书，不少于 5 人，且人员社保在投标单位缴纳，具备与本项目检测类别相匹配的专业能力，符合《防雷减灾管理办法》（中国气象局令第 44 号）对从业人员的要求；</w:t>
      </w:r>
    </w:p>
    <w:p w14:paraId="095D6D12">
      <w:pPr>
        <w:keepNext w:val="0"/>
        <w:keepLines w:val="0"/>
        <w:pageBreakBefore w:val="0"/>
        <w:widowControl w:val="0"/>
        <w:numPr>
          <w:ilvl w:val="0"/>
          <w:numId w:val="4"/>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近 3 年承接过铁路、油库、工业厂区等同类防雷防静电检测项目业绩（需提供合同复印件，业绩应体现对应检测类别及规模）；</w:t>
      </w:r>
    </w:p>
    <w:p w14:paraId="52C7B81E">
      <w:pPr>
        <w:keepNext w:val="0"/>
        <w:keepLines w:val="0"/>
        <w:pageBreakBefore w:val="0"/>
        <w:widowControl w:val="0"/>
        <w:numPr>
          <w:ilvl w:val="0"/>
          <w:numId w:val="4"/>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未被最高人民法院在 “信用中国” 网站或各级信用信息共享平台列入失信被执行人名单，未被气象主管部门列入防雷检测行业严重违法失信主体名单。</w:t>
      </w:r>
    </w:p>
    <w:p w14:paraId="21153482">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beforeAutospacing="0" w:after="0" w:afterAutospacing="0" w:line="500" w:lineRule="exact"/>
        <w:ind w:left="0" w:leftChars="0" w:firstLine="602" w:firstLineChars="200"/>
        <w:jc w:val="both"/>
        <w:textAlignment w:val="auto"/>
        <w:outlineLvl w:val="1"/>
        <w:rPr>
          <w:rFonts w:hint="default" w:ascii="仿宋_GB2312" w:hAnsi="仿宋_GB2312" w:eastAsia="仿宋_GB2312" w:cs="仿宋_GB2312"/>
          <w:b/>
          <w:bCs/>
          <w:color w:val="auto"/>
          <w:sz w:val="30"/>
          <w:szCs w:val="30"/>
          <w:highlight w:val="none"/>
          <w:u w:val="none"/>
        </w:rPr>
      </w:pPr>
      <w:r>
        <w:rPr>
          <w:rFonts w:hint="default" w:ascii="仿宋_GB2312" w:hAnsi="仿宋_GB2312" w:eastAsia="仿宋_GB2312" w:cs="仿宋_GB2312"/>
          <w:b/>
          <w:bCs/>
          <w:color w:val="auto"/>
          <w:sz w:val="30"/>
          <w:szCs w:val="30"/>
          <w:highlight w:val="none"/>
          <w:u w:val="none"/>
        </w:rPr>
        <w:t>检测依据及标准</w:t>
      </w:r>
    </w:p>
    <w:p w14:paraId="7E242F1E">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《中华人民共和国气象法》</w:t>
      </w:r>
    </w:p>
    <w:p w14:paraId="1C0D6FED">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《气象灾害防御条例》</w:t>
      </w:r>
    </w:p>
    <w:p w14:paraId="569DE141">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《防雷减灾管理办法》（中国气象局令第 44 号）</w:t>
      </w:r>
    </w:p>
    <w:p w14:paraId="463C4645">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bookmarkStart w:id="0" w:name="_GoBack"/>
      <w:r>
        <w:rPr>
          <w:rFonts w:hint="default" w:ascii="仿宋_GB2312" w:hAnsi="仿宋_GB2312" w:eastAsia="仿宋_GB2312" w:cs="仿宋_GB2312"/>
          <w:bCs/>
          <w:color w:val="auto"/>
          <w:sz w:val="30"/>
          <w:szCs w:val="30"/>
          <w:highlight w:val="none"/>
          <w:u w:val="none"/>
        </w:rPr>
        <w:t>《雷电防护装置检测资质管</w:t>
      </w:r>
      <w:bookmarkEnd w:id="0"/>
      <w:r>
        <w:rPr>
          <w:rFonts w:hint="default" w:ascii="仿宋_GB2312" w:hAnsi="仿宋_GB2312" w:eastAsia="仿宋_GB2312" w:cs="仿宋_GB2312"/>
          <w:bCs/>
          <w:color w:val="auto"/>
          <w:sz w:val="30"/>
          <w:szCs w:val="30"/>
          <w:highlight w:val="none"/>
          <w:u w:val="none"/>
        </w:rPr>
        <w:t>理办法》（中国气象局令第 38 号）</w:t>
      </w:r>
    </w:p>
    <w:p w14:paraId="2DA6E03A">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《建筑物防雷设计规范》（GB50057-2010）</w:t>
      </w:r>
    </w:p>
    <w:p w14:paraId="33B914D3">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《建筑物防雷工程施工与质量验收规范》（GB50601-2010）</w:t>
      </w:r>
    </w:p>
    <w:p w14:paraId="5D538249">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《雷电防护装置检测技术规范》（GB/T21431-2023，替代 GB/T21431-2015）</w:t>
      </w:r>
    </w:p>
    <w:p w14:paraId="1B0DDD53">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《防静电工程施工与质量验收规范》（GB50944-2013）</w:t>
      </w:r>
    </w:p>
    <w:p w14:paraId="7D9FD839">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《防止静电事故通用要求》（GB12158-2024，替代 GB12158-2006、GB13348-2009）</w:t>
      </w:r>
    </w:p>
    <w:p w14:paraId="5D984770">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《爆炸危险环境电力装置设计规范》（GB50058-2014）（重点适用于嘉北油库）</w:t>
      </w:r>
    </w:p>
    <w:p w14:paraId="583818BB">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《爆炸和火灾危险场所防雷装置检测技术规范》（GB/T32937-2016）</w:t>
      </w:r>
    </w:p>
    <w:p w14:paraId="571297B1">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《防雷装置检测服务规范》（GB/T32938-2016）</w:t>
      </w:r>
    </w:p>
    <w:p w14:paraId="462F51C8">
      <w:pPr>
        <w:keepNext w:val="0"/>
        <w:keepLines w:val="0"/>
        <w:pageBreakBefore w:val="0"/>
        <w:widowControl w:val="0"/>
        <w:numPr>
          <w:ilvl w:val="0"/>
          <w:numId w:val="5"/>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铁路行业相关防雷防静电检测标准及要求。</w:t>
      </w:r>
    </w:p>
    <w:p w14:paraId="02C574DD">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beforeAutospacing="0" w:after="0" w:afterAutospacing="0" w:line="500" w:lineRule="exact"/>
        <w:ind w:left="0" w:leftChars="0" w:firstLine="602" w:firstLineChars="200"/>
        <w:jc w:val="both"/>
        <w:textAlignment w:val="auto"/>
        <w:outlineLvl w:val="1"/>
        <w:rPr>
          <w:rFonts w:hint="default" w:ascii="仿宋_GB2312" w:hAnsi="仿宋_GB2312" w:eastAsia="仿宋_GB2312" w:cs="仿宋_GB2312"/>
          <w:b/>
          <w:bCs/>
          <w:color w:val="auto"/>
          <w:sz w:val="30"/>
          <w:szCs w:val="30"/>
          <w:highlight w:val="none"/>
          <w:u w:val="none"/>
        </w:rPr>
      </w:pPr>
      <w:r>
        <w:rPr>
          <w:rFonts w:hint="default" w:ascii="仿宋_GB2312" w:hAnsi="仿宋_GB2312" w:eastAsia="仿宋_GB2312" w:cs="仿宋_GB2312"/>
          <w:b/>
          <w:bCs/>
          <w:color w:val="auto"/>
          <w:sz w:val="30"/>
          <w:szCs w:val="30"/>
          <w:highlight w:val="none"/>
          <w:u w:val="none"/>
        </w:rPr>
        <w:t>检测内容及质量要求</w:t>
      </w:r>
    </w:p>
    <w:p w14:paraId="13A098F3">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核心检测内容</w:t>
      </w:r>
    </w:p>
    <w:p w14:paraId="6E3FC467">
      <w:pPr>
        <w:keepNext w:val="0"/>
        <w:keepLines w:val="0"/>
        <w:pageBreakBefore w:val="0"/>
        <w:widowControl w:val="0"/>
        <w:numPr>
          <w:ilvl w:val="1"/>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防雷检测：接闪器（避雷针、避雷带等）完整性及导通性，引下线敷设规范性及导通电阻，接地装置接地电阻值，防雷分区划分合理性，浪涌保护器（SPD）性能参数及安装符合性，隐蔽工程检测痕迹核查（按《雷电防护装置检测技术规范》GB/T21431-2023 要求执行）；</w:t>
      </w:r>
    </w:p>
    <w:p w14:paraId="239EA0AE">
      <w:pPr>
        <w:keepNext w:val="0"/>
        <w:keepLines w:val="0"/>
        <w:pageBreakBefore w:val="0"/>
        <w:widowControl w:val="0"/>
        <w:numPr>
          <w:ilvl w:val="1"/>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防静电检测：防静电接地电阻值，设备、管道等金属构件等电位连接导通性，防静电地面、台面电阻值（如涉及），易燃可燃液体储存运输设施防静电措施有效性，人体静电泄放装置性能（适用于油库、料棚等场所，按 GB12158-2024 要求执行）。</w:t>
      </w:r>
    </w:p>
    <w:p w14:paraId="2E4D12C9">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质量要求</w:t>
      </w:r>
    </w:p>
    <w:p w14:paraId="10DBC921">
      <w:pPr>
        <w:keepNext w:val="0"/>
        <w:keepLines w:val="0"/>
        <w:pageBreakBefore w:val="0"/>
        <w:widowControl w:val="0"/>
        <w:numPr>
          <w:ilvl w:val="1"/>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检测数据真实、准确、完整，检测过程全程留痕（含现场点位照片、数据记录原始凭证、检测人员签字确认文件），不得篡改、伪造检测数据，符合《防雷减灾管理办法》第三十一条规定；</w:t>
      </w:r>
    </w:p>
    <w:p w14:paraId="6268DB4D">
      <w:pPr>
        <w:keepNext w:val="0"/>
        <w:keepLines w:val="0"/>
        <w:pageBreakBefore w:val="0"/>
        <w:widowControl w:val="0"/>
        <w:numPr>
          <w:ilvl w:val="1"/>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各检测点指标需符合对应规范要求：</w:t>
      </w:r>
    </w:p>
    <w:p w14:paraId="7A453A98">
      <w:pPr>
        <w:keepNext w:val="0"/>
        <w:keepLines w:val="0"/>
        <w:pageBreakBefore w:val="0"/>
        <w:widowControl w:val="0"/>
        <w:numPr>
          <w:numId w:val="0"/>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Ⅰ 类防雷检测接地电阻≤10Ω（嘉北油库）；</w:t>
      </w:r>
    </w:p>
    <w:p w14:paraId="202BC152">
      <w:pPr>
        <w:keepNext w:val="0"/>
        <w:keepLines w:val="0"/>
        <w:pageBreakBefore w:val="0"/>
        <w:widowControl w:val="0"/>
        <w:numPr>
          <w:numId w:val="0"/>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Ⅲ 类防雷检测接地电阻≤30Ω；</w:t>
      </w:r>
    </w:p>
    <w:p w14:paraId="2B1CA6EC">
      <w:pPr>
        <w:keepNext w:val="0"/>
        <w:keepLines w:val="0"/>
        <w:pageBreakBefore w:val="0"/>
        <w:widowControl w:val="0"/>
        <w:numPr>
          <w:numId w:val="0"/>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防静电接地电阻：爆炸危险场所（嘉北油库）≤10Ω，其他场所≤100Ω（按 GB12158-2024、GB50058-2014 调整）；</w:t>
      </w:r>
    </w:p>
    <w:p w14:paraId="79BE9482">
      <w:pPr>
        <w:keepNext w:val="0"/>
        <w:keepLines w:val="0"/>
        <w:pageBreakBefore w:val="0"/>
        <w:widowControl w:val="0"/>
        <w:numPr>
          <w:ilvl w:val="1"/>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检测完成后 15 个工作日内提交正式检测报告（含纸质版 3 份、电子版 1 份），报告需符合《雷电防护装置检测技术规范》（GB/T21431-2023）格式要求，明确检测依据、检测项目、检测数据、检测结果、不合格项及整改建议，且需按要求上传至属地防雷安全信息化监管平台，确保报告可查可追溯；</w:t>
      </w:r>
    </w:p>
    <w:p w14:paraId="4B43E492">
      <w:pPr>
        <w:keepNext w:val="0"/>
        <w:keepLines w:val="0"/>
        <w:pageBreakBefore w:val="0"/>
        <w:widowControl w:val="0"/>
        <w:numPr>
          <w:ilvl w:val="1"/>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对检测发现的不合格项，需在报告中明确整改时限建议，提供专业技术指导，协助委托方完成整改，并在整改完成后 7 个工作日内完成复检，复检合格后方可出具最终合格报告；</w:t>
      </w:r>
    </w:p>
    <w:p w14:paraId="1B917EF5">
      <w:pPr>
        <w:keepNext w:val="0"/>
        <w:keepLines w:val="0"/>
        <w:pageBreakBefore w:val="0"/>
        <w:widowControl w:val="0"/>
        <w:numPr>
          <w:ilvl w:val="1"/>
          <w:numId w:val="6"/>
        </w:numPr>
        <w:shd w:val="clear" w:color="auto" w:fill="auto"/>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default" w:ascii="仿宋_GB2312" w:hAnsi="仿宋_GB2312" w:eastAsia="仿宋_GB2312" w:cs="仿宋_GB2312"/>
          <w:bCs/>
          <w:color w:val="auto"/>
          <w:sz w:val="30"/>
          <w:szCs w:val="30"/>
          <w:highlight w:val="none"/>
          <w:u w:val="none"/>
          <w:lang w:val="en-US" w:eastAsia="zh-CN"/>
        </w:rPr>
      </w:pPr>
      <w:r>
        <w:rPr>
          <w:rFonts w:hint="default" w:ascii="仿宋_GB2312" w:hAnsi="仿宋_GB2312" w:eastAsia="仿宋_GB2312" w:cs="仿宋_GB2312"/>
          <w:bCs/>
          <w:color w:val="auto"/>
          <w:sz w:val="30"/>
          <w:szCs w:val="30"/>
          <w:highlight w:val="none"/>
          <w:u w:val="none"/>
          <w:lang w:val="en-US" w:eastAsia="zh-CN"/>
        </w:rPr>
        <w:t>全年检测项目合格率 100%，无遗漏检测点、虚假检测数据、超范围检测等违规情况，符合《防雷减灾管理办法》相关罚则要求。</w:t>
      </w:r>
    </w:p>
    <w:p w14:paraId="64104DDF">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beforeAutospacing="0" w:after="0" w:afterAutospacing="0" w:line="500" w:lineRule="exact"/>
        <w:ind w:left="0" w:leftChars="0" w:firstLine="602" w:firstLineChars="200"/>
        <w:jc w:val="both"/>
        <w:textAlignment w:val="auto"/>
        <w:outlineLvl w:val="1"/>
        <w:rPr>
          <w:rFonts w:hint="default" w:ascii="仿宋_GB2312" w:hAnsi="仿宋_GB2312" w:eastAsia="仿宋_GB2312" w:cs="仿宋_GB2312"/>
          <w:b/>
          <w:bCs/>
          <w:color w:val="auto"/>
          <w:sz w:val="30"/>
          <w:szCs w:val="30"/>
          <w:highlight w:val="none"/>
          <w:u w:val="none"/>
        </w:rPr>
      </w:pPr>
      <w:r>
        <w:rPr>
          <w:rFonts w:hint="default" w:ascii="仿宋_GB2312" w:hAnsi="仿宋_GB2312" w:eastAsia="仿宋_GB2312" w:cs="仿宋_GB2312"/>
          <w:b/>
          <w:bCs/>
          <w:color w:val="auto"/>
          <w:sz w:val="30"/>
          <w:szCs w:val="30"/>
          <w:highlight w:val="none"/>
          <w:u w:val="none"/>
        </w:rPr>
        <w:t>其他要求</w:t>
      </w:r>
    </w:p>
    <w:p w14:paraId="50810B77">
      <w:pPr>
        <w:keepNext w:val="0"/>
        <w:keepLines w:val="0"/>
        <w:pageBreakBefore w:val="0"/>
        <w:widowControl w:val="0"/>
        <w:numPr>
          <w:ilvl w:val="0"/>
          <w:numId w:val="7"/>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检测作业需遵守委托方安全管理规定及《安全生产法》相关要求，佩戴安全防护用品，制定专项安全作业方案及应急预案，明确安全责任人，避免影响现场生产运营；若因检测方原因造成人身伤亡、财产损失或生产中断，由检测方承担全部责任及赔偿；</w:t>
      </w:r>
    </w:p>
    <w:p w14:paraId="6858496A">
      <w:pPr>
        <w:keepNext w:val="0"/>
        <w:keepLines w:val="0"/>
        <w:pageBreakBefore w:val="0"/>
        <w:widowControl w:val="0"/>
        <w:numPr>
          <w:ilvl w:val="0"/>
          <w:numId w:val="7"/>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检测设备需经法定计量机构校准合格并在有效期内，检测前向委托方提供完整的设备校准证书（覆盖本次检测所需全部设备），确保检测数据的准确性和有效性；</w:t>
      </w:r>
    </w:p>
    <w:p w14:paraId="356EE269">
      <w:pPr>
        <w:keepNext w:val="0"/>
        <w:keepLines w:val="0"/>
        <w:pageBreakBefore w:val="0"/>
        <w:widowControl w:val="0"/>
        <w:numPr>
          <w:ilvl w:val="0"/>
          <w:numId w:val="7"/>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严格遵守《中华人民共和国反不正当竞争法》及委托方保密规定，不得泄露检测过程中获取的委托方商业秘密、技术信息及检测数据，保密义务期限至合同终止后 3 年；</w:t>
      </w:r>
    </w:p>
    <w:p w14:paraId="72F3CD57">
      <w:pPr>
        <w:keepNext w:val="0"/>
        <w:keepLines w:val="0"/>
        <w:pageBreakBefore w:val="0"/>
        <w:widowControl w:val="0"/>
        <w:numPr>
          <w:ilvl w:val="0"/>
          <w:numId w:val="7"/>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本项目不允许转包、分包，严禁无资质挂靠、超资质承接，否则委托方有权终止合同、追究违约责任，并按《防雷减灾管理办法》第四十条规定向气象主管部门报备，符合《雷电防护装置检测资质管理办法》第二十八条要求；</w:t>
      </w:r>
    </w:p>
    <w:p w14:paraId="29317942">
      <w:pPr>
        <w:keepNext w:val="0"/>
        <w:keepLines w:val="0"/>
        <w:pageBreakBefore w:val="0"/>
        <w:widowControl w:val="0"/>
        <w:numPr>
          <w:ilvl w:val="0"/>
          <w:numId w:val="7"/>
        </w:numPr>
        <w:shd w:val="clear" w:color="auto" w:fill="auto"/>
        <w:tabs>
          <w:tab w:val="clear" w:pos="312"/>
        </w:tabs>
        <w:kinsoku/>
        <w:wordWrap/>
        <w:overflowPunct/>
        <w:topLinePunct w:val="0"/>
        <w:autoSpaceDE/>
        <w:autoSpaceDN/>
        <w:bidi w:val="0"/>
        <w:adjustRightInd w:val="0"/>
        <w:snapToGrid w:val="0"/>
        <w:spacing w:beforeAutospacing="0" w:afterAutospacing="0" w:line="500" w:lineRule="exact"/>
        <w:ind w:left="0" w:firstLine="600" w:firstLineChars="200"/>
        <w:jc w:val="both"/>
        <w:textAlignment w:val="auto"/>
        <w:rPr>
          <w:rFonts w:hint="default" w:ascii="仿宋_GB2312" w:hAnsi="仿宋_GB2312" w:eastAsia="仿宋_GB2312" w:cs="仿宋_GB2312"/>
          <w:bCs/>
          <w:color w:val="auto"/>
          <w:sz w:val="30"/>
          <w:szCs w:val="30"/>
          <w:highlight w:val="none"/>
          <w:u w:val="none"/>
        </w:rPr>
      </w:pPr>
      <w:r>
        <w:rPr>
          <w:rFonts w:hint="default" w:ascii="仿宋_GB2312" w:hAnsi="仿宋_GB2312" w:eastAsia="仿宋_GB2312" w:cs="仿宋_GB2312"/>
          <w:bCs/>
          <w:color w:val="auto"/>
          <w:sz w:val="30"/>
          <w:szCs w:val="30"/>
          <w:highlight w:val="none"/>
          <w:u w:val="none"/>
        </w:rPr>
        <w:t>检测单位需配合委托方接受气象主管部门及相关监管机构的监督检查，提供检测相关资料备案。</w:t>
      </w:r>
    </w:p>
    <w:p w14:paraId="07D91876">
      <w:pPr>
        <w:pStyle w:val="2"/>
        <w:rPr>
          <w:rFonts w:hint="default" w:ascii="仿宋_GB2312" w:hAnsi="仿宋_GB2312" w:eastAsia="仿宋_GB2312" w:cs="仿宋_GB2312"/>
          <w:bCs/>
          <w:color w:val="auto"/>
          <w:sz w:val="32"/>
          <w:szCs w:val="32"/>
          <w:highlight w:val="none"/>
          <w:u w:val="none"/>
        </w:rPr>
      </w:pPr>
    </w:p>
    <w:p w14:paraId="585668FC">
      <w:pPr>
        <w:pStyle w:val="2"/>
        <w:rPr>
          <w:rFonts w:hint="default" w:ascii="仿宋_GB2312" w:hAnsi="仿宋_GB2312" w:eastAsia="仿宋_GB2312" w:cs="仿宋_GB2312"/>
          <w:bCs/>
          <w:color w:val="auto"/>
          <w:sz w:val="32"/>
          <w:szCs w:val="32"/>
          <w:highlight w:val="none"/>
          <w:u w:val="none"/>
        </w:rPr>
      </w:pPr>
    </w:p>
    <w:p w14:paraId="38946F85">
      <w:pPr>
        <w:pStyle w:val="2"/>
        <w:rPr>
          <w:rFonts w:hint="default" w:ascii="仿宋_GB2312" w:hAnsi="仿宋_GB2312" w:eastAsia="仿宋_GB2312" w:cs="仿宋_GB2312"/>
          <w:bCs/>
          <w:color w:val="auto"/>
          <w:sz w:val="32"/>
          <w:szCs w:val="32"/>
          <w:highlight w:val="none"/>
          <w:u w:val="none"/>
        </w:rPr>
      </w:pPr>
    </w:p>
    <w:p w14:paraId="0447F42C">
      <w:pPr>
        <w:pStyle w:val="2"/>
        <w:rPr>
          <w:rFonts w:hint="default" w:ascii="仿宋_GB2312" w:hAnsi="仿宋_GB2312" w:eastAsia="仿宋_GB2312" w:cs="仿宋_GB2312"/>
          <w:bCs/>
          <w:color w:val="auto"/>
          <w:sz w:val="32"/>
          <w:szCs w:val="32"/>
          <w:highlight w:val="none"/>
          <w:u w:val="none"/>
        </w:rPr>
      </w:pPr>
    </w:p>
    <w:p w14:paraId="42B5B3E7">
      <w:pPr>
        <w:bidi w:val="0"/>
        <w:spacing w:line="500" w:lineRule="exact"/>
        <w:ind w:firstLine="640" w:firstLineChars="200"/>
        <w:jc w:val="center"/>
        <w:rPr>
          <w:rFonts w:hint="default" w:ascii="Times New Roman" w:hAnsi="Times New Roman" w:eastAsia="仿宋_GB2312" w:cs="Arial"/>
          <w:sz w:val="32"/>
          <w:szCs w:val="22"/>
          <w:lang w:val="en-US" w:eastAsia="zh-CN"/>
        </w:rPr>
      </w:pPr>
      <w:r>
        <w:rPr>
          <w:rFonts w:hint="eastAsia" w:ascii="Times New Roman" w:hAnsi="Times New Roman" w:eastAsia="仿宋_GB2312" w:cs="Arial"/>
          <w:sz w:val="32"/>
          <w:szCs w:val="22"/>
          <w:lang w:val="en-US" w:eastAsia="zh-CN"/>
        </w:rPr>
        <w:t xml:space="preserve">    </w:t>
      </w:r>
      <w:r>
        <w:rPr>
          <w:rFonts w:hint="default" w:ascii="Times New Roman" w:hAnsi="Times New Roman" w:eastAsia="仿宋_GB2312" w:cs="Arial"/>
          <w:sz w:val="32"/>
          <w:szCs w:val="22"/>
          <w:lang w:val="en-US" w:eastAsia="zh-CN"/>
        </w:rPr>
        <w:t>额济纳中兴铁路运输有限责任公司</w:t>
      </w:r>
    </w:p>
    <w:p w14:paraId="5C692AEC">
      <w:pPr>
        <w:bidi w:val="0"/>
        <w:spacing w:line="500" w:lineRule="exact"/>
        <w:ind w:firstLine="640" w:firstLineChars="200"/>
        <w:jc w:val="center"/>
        <w:rPr>
          <w:rFonts w:hint="default" w:ascii="Times New Roman" w:hAnsi="Times New Roman" w:eastAsia="仿宋_GB2312" w:cs="Arial"/>
          <w:sz w:val="32"/>
          <w:szCs w:val="22"/>
          <w:lang w:val="en-US" w:eastAsia="zh-CN"/>
        </w:rPr>
      </w:pPr>
      <w:r>
        <w:rPr>
          <w:rFonts w:hint="eastAsia" w:ascii="Times New Roman" w:hAnsi="Times New Roman" w:eastAsia="仿宋_GB2312" w:cs="Arial"/>
          <w:sz w:val="32"/>
          <w:szCs w:val="22"/>
          <w:lang w:val="en-US" w:eastAsia="zh-CN"/>
        </w:rPr>
        <w:t xml:space="preserve">  </w:t>
      </w:r>
      <w:r>
        <w:rPr>
          <w:rFonts w:hint="default" w:ascii="Times New Roman" w:hAnsi="Times New Roman" w:eastAsia="仿宋_GB2312" w:cs="Arial"/>
          <w:sz w:val="32"/>
          <w:szCs w:val="22"/>
          <w:lang w:val="en-US" w:eastAsia="zh-CN"/>
        </w:rPr>
        <w:t>2025年</w:t>
      </w:r>
      <w:r>
        <w:rPr>
          <w:rFonts w:hint="eastAsia" w:ascii="Times New Roman" w:hAnsi="Times New Roman" w:eastAsia="仿宋_GB2312" w:cs="Arial"/>
          <w:sz w:val="32"/>
          <w:szCs w:val="22"/>
          <w:lang w:val="en-US" w:eastAsia="zh-CN"/>
        </w:rPr>
        <w:t>11</w:t>
      </w:r>
      <w:r>
        <w:rPr>
          <w:rFonts w:hint="default" w:ascii="Times New Roman" w:hAnsi="Times New Roman" w:eastAsia="仿宋_GB2312" w:cs="Arial"/>
          <w:sz w:val="32"/>
          <w:szCs w:val="22"/>
          <w:lang w:val="en-US" w:eastAsia="zh-CN"/>
        </w:rPr>
        <w:t>月</w:t>
      </w:r>
      <w:r>
        <w:rPr>
          <w:rFonts w:hint="eastAsia" w:ascii="Times New Roman" w:hAnsi="Times New Roman" w:eastAsia="仿宋_GB2312" w:cs="Arial"/>
          <w:sz w:val="32"/>
          <w:szCs w:val="22"/>
          <w:lang w:val="en-US" w:eastAsia="zh-CN"/>
        </w:rPr>
        <w:t>28</w:t>
      </w:r>
      <w:r>
        <w:rPr>
          <w:rFonts w:hint="default" w:ascii="Times New Roman" w:hAnsi="Times New Roman" w:eastAsia="仿宋_GB2312" w:cs="Arial"/>
          <w:sz w:val="32"/>
          <w:szCs w:val="22"/>
          <w:lang w:val="en-US" w:eastAsia="zh-CN"/>
        </w:rPr>
        <w:t>日</w:t>
      </w:r>
    </w:p>
    <w:p w14:paraId="47868575"/>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Montserra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A820B"/>
    <w:multiLevelType w:val="multilevel"/>
    <w:tmpl w:val="89CA820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C15D591"/>
    <w:multiLevelType w:val="multilevel"/>
    <w:tmpl w:val="8C15D591"/>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9EF4AEAC"/>
    <w:multiLevelType w:val="multilevel"/>
    <w:tmpl w:val="9EF4AEAC"/>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BD4B04EB"/>
    <w:multiLevelType w:val="multilevel"/>
    <w:tmpl w:val="BD4B04E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2B7C4FC2"/>
    <w:multiLevelType w:val="multilevel"/>
    <w:tmpl w:val="2B7C4FC2"/>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4568E09B"/>
    <w:multiLevelType w:val="multilevel"/>
    <w:tmpl w:val="4568E09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7539073A"/>
    <w:multiLevelType w:val="singleLevel"/>
    <w:tmpl w:val="7539073A"/>
    <w:lvl w:ilvl="0" w:tentative="0">
      <w:start w:val="1"/>
      <w:numFmt w:val="chineseCounting"/>
      <w:suff w:val="nothing"/>
      <w:lvlText w:val="%1、"/>
      <w:lvlJc w:val="left"/>
      <w:pPr>
        <w:ind w:left="481" w:firstLine="0"/>
      </w:pPr>
      <w:rPr>
        <w:rFonts w:hint="eastAsia"/>
      </w:r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017B4"/>
    <w:rsid w:val="721628D9"/>
    <w:rsid w:val="7810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1472</Words>
  <Characters>1577</Characters>
  <Lines>0</Lines>
  <Paragraphs>0</Paragraphs>
  <TotalTime>28</TotalTime>
  <ScaleCrop>false</ScaleCrop>
  <LinksUpToDate>false</LinksUpToDate>
  <CharactersWithSpaces>1577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2025-11-29T09:24:00Z</dcterms:created>
  <dc:creator>yfei</dc:creator>
  <cp:lastModifiedBy>李国林</cp:lastModifiedBy>
  <dcterms:modified xsi:type="dcterms:W3CDTF">2025-12-01T03:13:22Z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eyJoZGlkIjoiYjFmODQ5ZTUxMDI2ZTMxN2M0YWFiZmFiMDBiMWU5OWUiLCJ1c2VySWQiOiIxNDg5MzA1ODAwIn0=</vt:lpwstr>
  </property>
  <property fmtid="{D5CDD505-2E9C-101B-9397-08002B2CF9AE}" pid="4" name="ICV">
    <vt:lpwstr>FF591BCCAC434BFABDBD11F70AB16DBD_12</vt:lpwstr>
  </property>
</Properties>
</file>