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6A6360">
      <w:pPr>
        <w:spacing w:line="357" w:lineRule="auto"/>
        <w:rPr>
          <w:rFonts w:ascii="Arial"/>
          <w:sz w:val="21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207645</wp:posOffset>
            </wp:positionH>
            <wp:positionV relativeFrom="paragraph">
              <wp:posOffset>0</wp:posOffset>
            </wp:positionV>
            <wp:extent cx="571500" cy="410210"/>
            <wp:effectExtent l="0" t="0" r="0" b="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102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50C95B7">
      <w:pPr>
        <w:pStyle w:val="2"/>
        <w:spacing w:before="78" w:line="220" w:lineRule="auto"/>
        <w:jc w:val="right"/>
        <w:rPr>
          <w:sz w:val="24"/>
          <w:szCs w:val="24"/>
        </w:rPr>
      </w:pPr>
      <w:r>
        <w:pict>
          <v:shape id="_x0000_s1026" o:spid="_x0000_s1026" style="position:absolute;left:0pt;margin-left:16.4pt;margin-top:18.65pt;height:0.75pt;width:453.65pt;z-index:251660288;mso-width-relative:page;mso-height-relative:page;" fillcolor="#000000" filled="t" stroked="f" coordsize="9072,15" path="m0,0l9072,0,9072,14,0,14,0,0xe">
            <v:path/>
            <v:fill on="t" focussize="0,0"/>
            <v:stroke on="f"/>
            <v:imagedata o:title=""/>
            <o:lock v:ext="edit"/>
          </v:shape>
        </w:pict>
      </w:r>
      <w:r>
        <w:rPr>
          <w:rFonts w:hint="eastAsia"/>
          <w:spacing w:val="-1"/>
          <w:sz w:val="24"/>
          <w:szCs w:val="24"/>
          <w:lang w:val="en-US" w:eastAsia="zh-CN"/>
        </w:rPr>
        <w:t>宏宇新材料</w:t>
      </w:r>
      <w:r>
        <w:rPr>
          <w:spacing w:val="-1"/>
          <w:sz w:val="24"/>
          <w:szCs w:val="24"/>
        </w:rPr>
        <w:t>公司</w:t>
      </w:r>
    </w:p>
    <w:p w14:paraId="50A1FB49">
      <w:pPr>
        <w:jc w:val="center"/>
        <w:rPr>
          <w:sz w:val="30"/>
          <w:szCs w:val="30"/>
        </w:rPr>
      </w:pPr>
      <w:r>
        <w:rPr>
          <w:rFonts w:hint="eastAsia"/>
          <w:b/>
          <w:bCs/>
          <w:spacing w:val="-4"/>
          <w:sz w:val="30"/>
          <w:szCs w:val="30"/>
          <w:lang w:val="en-US" w:eastAsia="zh-CN"/>
        </w:rPr>
        <w:t>宏宇新材料公司</w:t>
      </w:r>
      <w:r>
        <w:rPr>
          <w:rFonts w:hint="eastAsia"/>
          <w:b/>
          <w:bCs/>
          <w:sz w:val="30"/>
          <w:szCs w:val="30"/>
          <w:lang w:eastAsia="zh-CN"/>
        </w:rPr>
        <w:t>高</w:t>
      </w:r>
      <w:r>
        <w:rPr>
          <w:rFonts w:hint="eastAsia"/>
          <w:b/>
          <w:bCs/>
          <w:spacing w:val="-4"/>
          <w:sz w:val="30"/>
          <w:szCs w:val="30"/>
          <w:lang w:val="en-US" w:eastAsia="zh-CN"/>
        </w:rPr>
        <w:t>纯硅酸铝纤维毡</w:t>
      </w:r>
      <w:r>
        <w:rPr>
          <w:b/>
          <w:bCs/>
          <w:spacing w:val="-4"/>
          <w:sz w:val="30"/>
          <w:szCs w:val="30"/>
        </w:rPr>
        <w:t>技术规格书</w:t>
      </w:r>
    </w:p>
    <w:p w14:paraId="638F88EF">
      <w:pPr>
        <w:pStyle w:val="2"/>
        <w:spacing w:before="178" w:line="220" w:lineRule="auto"/>
        <w:ind w:left="359"/>
        <w:outlineLvl w:val="1"/>
      </w:pPr>
      <w:r>
        <w:rPr>
          <w:b/>
          <w:bCs/>
          <w:spacing w:val="-5"/>
        </w:rPr>
        <w:t>1</w:t>
      </w:r>
      <w:r>
        <w:rPr>
          <w:spacing w:val="-5"/>
        </w:rPr>
        <w:t xml:space="preserve">  </w:t>
      </w:r>
      <w:r>
        <w:rPr>
          <w:b/>
          <w:bCs/>
          <w:spacing w:val="-5"/>
        </w:rPr>
        <w:t>现场使用基本条件</w:t>
      </w:r>
    </w:p>
    <w:p w14:paraId="33C35901">
      <w:pPr>
        <w:pStyle w:val="2"/>
        <w:spacing w:before="305" w:line="407" w:lineRule="auto"/>
        <w:ind w:left="337" w:right="327" w:firstLine="21"/>
      </w:pPr>
      <w:r>
        <w:rPr>
          <w:spacing w:val="-4"/>
        </w:rPr>
        <w:t>1.1 用于中包水口烘烤保温材料，中包水口烘烤时间≥2</w:t>
      </w:r>
      <w:r>
        <w:rPr>
          <w:spacing w:val="-53"/>
        </w:rPr>
        <w:t xml:space="preserve"> </w:t>
      </w:r>
      <w:r>
        <w:rPr>
          <w:spacing w:val="-4"/>
        </w:rPr>
        <w:t>小时</w:t>
      </w:r>
      <w:r>
        <w:rPr>
          <w:spacing w:val="-5"/>
        </w:rPr>
        <w:t>；中包水口烘</w:t>
      </w:r>
      <w:r>
        <w:t xml:space="preserve"> </w:t>
      </w:r>
      <w:r>
        <w:rPr>
          <w:spacing w:val="-1"/>
        </w:rPr>
        <w:t>烤温度≥900℃。</w:t>
      </w:r>
    </w:p>
    <w:p w14:paraId="6A3FB1BF">
      <w:pPr>
        <w:pStyle w:val="2"/>
        <w:spacing w:before="40" w:line="407" w:lineRule="auto"/>
        <w:ind w:left="339" w:right="388" w:firstLine="19"/>
      </w:pPr>
      <w:r>
        <w:rPr>
          <w:spacing w:val="-7"/>
        </w:rPr>
        <w:t>1.2 用于中包孔洞部位遮盖，</w:t>
      </w:r>
      <w:r>
        <w:rPr>
          <w:rFonts w:hint="eastAsia"/>
          <w:spacing w:val="-7"/>
          <w:lang w:val="en-US" w:eastAsia="zh-CN"/>
        </w:rPr>
        <w:t>作为</w:t>
      </w:r>
      <w:r>
        <w:rPr>
          <w:spacing w:val="-7"/>
        </w:rPr>
        <w:t>保护浇铸材料，钢水温度最高</w:t>
      </w:r>
      <w:r>
        <w:rPr>
          <w:spacing w:val="-32"/>
        </w:rPr>
        <w:t xml:space="preserve"> </w:t>
      </w:r>
      <w:r>
        <w:rPr>
          <w:spacing w:val="-7"/>
        </w:rPr>
        <w:t>1580℃</w:t>
      </w:r>
      <w:r>
        <w:rPr>
          <w:spacing w:val="-109"/>
        </w:rPr>
        <w:t xml:space="preserve"> </w:t>
      </w:r>
      <w:r>
        <w:rPr>
          <w:spacing w:val="-7"/>
        </w:rPr>
        <w:t>,</w:t>
      </w:r>
      <w:r>
        <w:t xml:space="preserve"> </w:t>
      </w:r>
      <w:r>
        <w:rPr>
          <w:spacing w:val="-3"/>
        </w:rPr>
        <w:t>浇铸时间最长</w:t>
      </w:r>
      <w:r>
        <w:rPr>
          <w:rFonts w:hint="eastAsia"/>
          <w:spacing w:val="-1"/>
          <w:lang w:val="en-US" w:eastAsia="zh-CN"/>
        </w:rPr>
        <w:t>1100</w:t>
      </w:r>
      <w:r>
        <w:rPr>
          <w:spacing w:val="-3"/>
        </w:rPr>
        <w:t>分钟。</w:t>
      </w:r>
    </w:p>
    <w:p w14:paraId="5A679817">
      <w:pPr>
        <w:pStyle w:val="2"/>
        <w:spacing w:before="41" w:line="219" w:lineRule="auto"/>
        <w:ind w:left="359"/>
      </w:pPr>
      <w:r>
        <w:rPr>
          <w:spacing w:val="-2"/>
        </w:rPr>
        <w:t>1.3 用于液态金属喷溅、泄漏部位的防护及隔热。</w:t>
      </w:r>
    </w:p>
    <w:p w14:paraId="11365BF7">
      <w:pPr>
        <w:pStyle w:val="2"/>
        <w:spacing w:before="306" w:line="220" w:lineRule="auto"/>
        <w:ind w:left="342"/>
        <w:outlineLvl w:val="1"/>
      </w:pPr>
      <w:r>
        <w:rPr>
          <w:b/>
          <w:bCs/>
          <w:spacing w:val="-9"/>
        </w:rPr>
        <w:t>2</w:t>
      </w:r>
      <w:r>
        <w:rPr>
          <w:spacing w:val="18"/>
        </w:rPr>
        <w:t xml:space="preserve">  </w:t>
      </w:r>
      <w:r>
        <w:rPr>
          <w:b/>
          <w:bCs/>
          <w:spacing w:val="-9"/>
        </w:rPr>
        <w:t>乙方供货范围</w:t>
      </w:r>
    </w:p>
    <w:p w14:paraId="66DCD110">
      <w:pPr>
        <w:pStyle w:val="2"/>
        <w:spacing w:before="305" w:line="221" w:lineRule="auto"/>
        <w:ind w:left="338"/>
      </w:pPr>
      <w:r>
        <w:rPr>
          <w:rFonts w:hint="eastAsia"/>
          <w:lang w:val="en-US" w:eastAsia="zh-CN"/>
        </w:rPr>
        <w:t>高纯</w:t>
      </w:r>
      <w:r>
        <w:t>硅酸铝纤维毡，主要使用于连铸作业区</w:t>
      </w:r>
      <w:r>
        <w:rPr>
          <w:spacing w:val="-1"/>
        </w:rPr>
        <w:t>液态金属区域。</w:t>
      </w:r>
      <w:bookmarkStart w:id="0" w:name="_GoBack"/>
      <w:bookmarkEnd w:id="0"/>
    </w:p>
    <w:p w14:paraId="4185FE1F">
      <w:pPr>
        <w:pStyle w:val="2"/>
        <w:spacing w:before="303" w:line="221" w:lineRule="auto"/>
        <w:ind w:left="344"/>
        <w:outlineLvl w:val="1"/>
      </w:pPr>
      <w:r>
        <w:rPr>
          <w:b/>
          <w:bCs/>
          <w:spacing w:val="-8"/>
        </w:rPr>
        <w:t>3</w:t>
      </w:r>
      <w:r>
        <w:rPr>
          <w:spacing w:val="6"/>
        </w:rPr>
        <w:t xml:space="preserve">  </w:t>
      </w:r>
      <w:r>
        <w:rPr>
          <w:b/>
          <w:bCs/>
          <w:spacing w:val="-8"/>
        </w:rPr>
        <w:t>技术要求</w:t>
      </w:r>
    </w:p>
    <w:p w14:paraId="3CAAB0D6">
      <w:pPr>
        <w:pStyle w:val="2"/>
        <w:spacing w:before="302" w:line="407" w:lineRule="auto"/>
        <w:ind w:left="363" w:right="327" w:hanging="19"/>
      </w:pPr>
      <w:r>
        <w:rPr>
          <w:spacing w:val="-1"/>
        </w:rPr>
        <w:t>3.1 外观质量：材质均匀，颜色洁白、尺寸规整（</w:t>
      </w:r>
      <w:r>
        <w:rPr>
          <w:spacing w:val="-1"/>
          <w:sz w:val="24"/>
          <w:szCs w:val="24"/>
        </w:rPr>
        <w:t>厚</w:t>
      </w:r>
      <w:r>
        <w:rPr>
          <w:rFonts w:hint="eastAsia"/>
          <w:spacing w:val="-1"/>
          <w:sz w:val="24"/>
          <w:szCs w:val="24"/>
          <w:lang w:val="en-US" w:eastAsia="zh-CN"/>
        </w:rPr>
        <w:t>30</w:t>
      </w:r>
      <w:r>
        <w:rPr>
          <w:spacing w:val="-1"/>
          <w:sz w:val="24"/>
          <w:szCs w:val="24"/>
        </w:rPr>
        <w:t>mm，宽</w:t>
      </w:r>
      <w:r>
        <w:rPr>
          <w:rFonts w:hint="eastAsia"/>
          <w:spacing w:val="-1"/>
          <w:sz w:val="24"/>
          <w:szCs w:val="24"/>
          <w:lang w:val="en-US" w:eastAsia="zh-CN"/>
        </w:rPr>
        <w:t>600</w:t>
      </w:r>
      <w:r>
        <w:rPr>
          <w:spacing w:val="-2"/>
          <w:sz w:val="24"/>
          <w:szCs w:val="24"/>
        </w:rPr>
        <w:t>mm</w:t>
      </w:r>
      <w:r>
        <w:rPr>
          <w:spacing w:val="-5"/>
          <w:sz w:val="24"/>
          <w:szCs w:val="24"/>
        </w:rPr>
        <w:t>）</w:t>
      </w:r>
      <w:r>
        <w:rPr>
          <w:spacing w:val="-5"/>
        </w:rPr>
        <w:t>，</w:t>
      </w:r>
      <w:r>
        <w:rPr>
          <w:spacing w:val="-2"/>
        </w:rPr>
        <w:t>无结</w:t>
      </w:r>
      <w:r>
        <w:t xml:space="preserve"> </w:t>
      </w:r>
      <w:r>
        <w:rPr>
          <w:spacing w:val="-2"/>
        </w:rPr>
        <w:t>团、疏松等，致密度良好，耐火度满足现场使用要求。</w:t>
      </w:r>
    </w:p>
    <w:p w14:paraId="7426CEC2">
      <w:pPr>
        <w:pStyle w:val="2"/>
        <w:spacing w:before="41" w:line="412" w:lineRule="auto"/>
        <w:ind w:left="339" w:right="440" w:firstLine="4"/>
        <w:jc w:val="both"/>
      </w:pPr>
      <w:r>
        <w:rPr>
          <w:spacing w:val="-5"/>
        </w:rPr>
        <w:t>3.2 耐火保温性能：耐火度大于</w:t>
      </w:r>
      <w:r>
        <w:rPr>
          <w:spacing w:val="-39"/>
        </w:rPr>
        <w:t xml:space="preserve"> </w:t>
      </w:r>
      <w:r>
        <w:rPr>
          <w:spacing w:val="-5"/>
        </w:rPr>
        <w:t>1400℃</w:t>
      </w:r>
      <w:r>
        <w:rPr>
          <w:spacing w:val="-109"/>
        </w:rPr>
        <w:t xml:space="preserve"> </w:t>
      </w:r>
      <w:r>
        <w:rPr>
          <w:spacing w:val="-5"/>
        </w:rPr>
        <w:t>,</w:t>
      </w:r>
      <w:r>
        <w:rPr>
          <w:spacing w:val="98"/>
        </w:rPr>
        <w:t xml:space="preserve"> </w:t>
      </w:r>
      <w:r>
        <w:rPr>
          <w:spacing w:val="-5"/>
        </w:rPr>
        <w:t>中包保</w:t>
      </w:r>
      <w:r>
        <w:rPr>
          <w:spacing w:val="-6"/>
        </w:rPr>
        <w:t>护浇铸使用次数不低于</w:t>
      </w:r>
      <w:r>
        <w:rPr>
          <w:rFonts w:hint="eastAsia"/>
          <w:spacing w:val="-57"/>
          <w:lang w:val="en-US" w:eastAsia="zh-CN"/>
        </w:rPr>
        <w:t>1</w:t>
      </w:r>
      <w:r>
        <w:rPr>
          <w:spacing w:val="-1"/>
        </w:rPr>
        <w:t>浇次；保温效</w:t>
      </w:r>
      <w:r>
        <w:rPr>
          <w:spacing w:val="-2"/>
        </w:rPr>
        <w:t>果良好，使用过程无</w:t>
      </w:r>
      <w:r>
        <w:t xml:space="preserve"> </w:t>
      </w:r>
      <w:r>
        <w:rPr>
          <w:spacing w:val="-1"/>
        </w:rPr>
        <w:t>融损、硬化和融化等异常情况。</w:t>
      </w:r>
    </w:p>
    <w:p w14:paraId="6C26692A">
      <w:pPr>
        <w:pStyle w:val="2"/>
        <w:spacing w:before="42" w:line="221" w:lineRule="auto"/>
        <w:ind w:left="344"/>
      </w:pPr>
      <w:r>
        <w:rPr>
          <w:spacing w:val="-4"/>
        </w:rPr>
        <w:t>3.3</w:t>
      </w:r>
      <w:r>
        <w:rPr>
          <w:spacing w:val="-53"/>
        </w:rPr>
        <w:t xml:space="preserve"> </w:t>
      </w:r>
      <w:r>
        <w:rPr>
          <w:spacing w:val="-4"/>
        </w:rPr>
        <w:t>理化指标：</w:t>
      </w:r>
    </w:p>
    <w:p w14:paraId="3157EC2E">
      <w:pPr>
        <w:spacing w:line="122" w:lineRule="exact"/>
      </w:pPr>
    </w:p>
    <w:p w14:paraId="3C66EEF3">
      <w:pPr>
        <w:numPr>
          <w:numId w:val="0"/>
        </w:numPr>
        <w:ind w:leftChars="0" w:firstLine="630" w:firstLineChars="300"/>
        <w:rPr>
          <w:rFonts w:hint="eastAsia"/>
        </w:rPr>
      </w:pPr>
      <w:r>
        <w:rPr>
          <w:rFonts w:hint="eastAsia"/>
        </w:rPr>
        <w:t>化学成分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4"/>
        <w:gridCol w:w="3314"/>
        <w:gridCol w:w="3314"/>
      </w:tblGrid>
      <w:tr w14:paraId="4094F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666" w:type="pct"/>
            <w:noWrap w:val="0"/>
            <w:vAlign w:val="center"/>
          </w:tcPr>
          <w:p w14:paraId="1F678809"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666" w:type="pct"/>
            <w:noWrap w:val="0"/>
            <w:vAlign w:val="center"/>
          </w:tcPr>
          <w:p w14:paraId="268D97D2">
            <w:pPr>
              <w:jc w:val="center"/>
              <w:rPr>
                <w:rFonts w:hint="eastAsia"/>
                <w:vertAlign w:val="subscript"/>
              </w:rPr>
            </w:pPr>
            <w:r>
              <w:rPr>
                <w:rFonts w:hint="eastAsia"/>
              </w:rPr>
              <w:t>Al</w:t>
            </w:r>
            <w:r>
              <w:rPr>
                <w:rFonts w:hint="eastAsia"/>
                <w:vertAlign w:val="subscript"/>
              </w:rPr>
              <w:t>2</w:t>
            </w:r>
            <w:r>
              <w:rPr>
                <w:rFonts w:hint="eastAsia"/>
              </w:rPr>
              <w:t>O</w:t>
            </w:r>
            <w:r>
              <w:rPr>
                <w:rFonts w:hint="eastAsia"/>
                <w:vertAlign w:val="subscript"/>
              </w:rPr>
              <w:t>3</w:t>
            </w:r>
          </w:p>
        </w:tc>
        <w:tc>
          <w:tcPr>
            <w:tcW w:w="1666" w:type="pct"/>
            <w:noWrap w:val="0"/>
            <w:vAlign w:val="center"/>
          </w:tcPr>
          <w:p w14:paraId="32B970AE">
            <w:pPr>
              <w:jc w:val="center"/>
              <w:rPr>
                <w:rFonts w:hint="eastAsia"/>
                <w:vertAlign w:val="subscript"/>
              </w:rPr>
            </w:pPr>
            <w:r>
              <w:rPr>
                <w:rFonts w:hint="eastAsia"/>
              </w:rPr>
              <w:t>Al</w:t>
            </w:r>
            <w:r>
              <w:rPr>
                <w:rFonts w:hint="eastAsia"/>
                <w:vertAlign w:val="subscript"/>
              </w:rPr>
              <w:t>2</w:t>
            </w:r>
            <w:r>
              <w:rPr>
                <w:rFonts w:hint="eastAsia"/>
              </w:rPr>
              <w:t>O</w:t>
            </w:r>
            <w:r>
              <w:rPr>
                <w:rFonts w:hint="eastAsia"/>
                <w:vertAlign w:val="subscript"/>
              </w:rPr>
              <w:t>3</w:t>
            </w:r>
            <w:r>
              <w:rPr>
                <w:rFonts w:hint="eastAsia"/>
              </w:rPr>
              <w:t>+SiO</w:t>
            </w:r>
            <w:r>
              <w:rPr>
                <w:rFonts w:hint="eastAsia"/>
                <w:vertAlign w:val="subscript"/>
              </w:rPr>
              <w:t>2</w:t>
            </w:r>
          </w:p>
        </w:tc>
      </w:tr>
      <w:tr w14:paraId="7F917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noWrap w:val="0"/>
            <w:vAlign w:val="center"/>
          </w:tcPr>
          <w:p w14:paraId="198741D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标准</w:t>
            </w:r>
          </w:p>
        </w:tc>
        <w:tc>
          <w:tcPr>
            <w:tcW w:w="1666" w:type="pct"/>
            <w:noWrap w:val="0"/>
            <w:vAlign w:val="center"/>
          </w:tcPr>
          <w:p w14:paraId="33F8742A">
            <w:pPr>
              <w:jc w:val="center"/>
            </w:pPr>
            <w:r>
              <w:rPr>
                <w:rFonts w:hint="eastAsia" w:ascii="宋体" w:hAnsi="宋体"/>
              </w:rPr>
              <w:t>≥</w:t>
            </w:r>
            <w:r>
              <w:rPr>
                <w:rFonts w:hint="eastAsia"/>
              </w:rPr>
              <w:t>53</w:t>
            </w:r>
          </w:p>
        </w:tc>
        <w:tc>
          <w:tcPr>
            <w:tcW w:w="1666" w:type="pct"/>
            <w:noWrap w:val="0"/>
            <w:vAlign w:val="center"/>
          </w:tcPr>
          <w:p w14:paraId="48E1A143">
            <w:pPr>
              <w:jc w:val="center"/>
            </w:pPr>
            <w:r>
              <w:rPr>
                <w:rFonts w:hint="eastAsia" w:ascii="宋体" w:hAnsi="宋体"/>
              </w:rPr>
              <w:t>≥</w:t>
            </w:r>
            <w:r>
              <w:rPr>
                <w:rFonts w:hint="eastAsia"/>
              </w:rPr>
              <w:t>99</w:t>
            </w:r>
          </w:p>
        </w:tc>
      </w:tr>
    </w:tbl>
    <w:p w14:paraId="54C0B1CB">
      <w:pPr>
        <w:numPr>
          <w:numId w:val="0"/>
        </w:numPr>
        <w:ind w:leftChars="0" w:firstLine="630" w:firstLineChars="300"/>
        <w:rPr>
          <w:rFonts w:hint="eastAsia"/>
        </w:rPr>
      </w:pPr>
      <w:r>
        <w:rPr>
          <w:rFonts w:hint="eastAsia"/>
        </w:rPr>
        <w:t>物理性能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3"/>
        <w:gridCol w:w="4973"/>
      </w:tblGrid>
      <w:tr w14:paraId="102EB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00" w:type="pct"/>
            <w:noWrap w:val="0"/>
            <w:vAlign w:val="top"/>
          </w:tcPr>
          <w:p w14:paraId="55436BE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2500" w:type="pct"/>
            <w:noWrap w:val="0"/>
            <w:vAlign w:val="top"/>
          </w:tcPr>
          <w:p w14:paraId="432C749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标准值</w:t>
            </w:r>
          </w:p>
        </w:tc>
      </w:tr>
      <w:tr w14:paraId="12F1F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0" w:type="pct"/>
            <w:noWrap w:val="0"/>
            <w:vAlign w:val="top"/>
          </w:tcPr>
          <w:p w14:paraId="2EF5383A">
            <w:pPr>
              <w:jc w:val="center"/>
              <w:rPr>
                <w:rFonts w:hint="eastAsia"/>
                <w:vertAlign w:val="subscript"/>
              </w:rPr>
            </w:pPr>
            <w:r>
              <w:rPr>
                <w:rFonts w:hint="eastAsia"/>
              </w:rPr>
              <w:t>容重 kg/m3</w:t>
            </w:r>
          </w:p>
        </w:tc>
        <w:tc>
          <w:tcPr>
            <w:tcW w:w="2500" w:type="pct"/>
            <w:noWrap w:val="0"/>
            <w:vAlign w:val="top"/>
          </w:tcPr>
          <w:p w14:paraId="506B6B7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128</w:t>
            </w:r>
          </w:p>
        </w:tc>
      </w:tr>
      <w:tr w14:paraId="2B3D7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0" w:type="pct"/>
            <w:noWrap w:val="0"/>
            <w:vAlign w:val="top"/>
          </w:tcPr>
          <w:p w14:paraId="629233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渣球率（&gt;0.25mm）</w:t>
            </w:r>
          </w:p>
        </w:tc>
        <w:tc>
          <w:tcPr>
            <w:tcW w:w="2500" w:type="pct"/>
            <w:noWrap w:val="0"/>
            <w:vAlign w:val="top"/>
          </w:tcPr>
          <w:p w14:paraId="4C0CCC3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&lt;15%</w:t>
            </w:r>
          </w:p>
        </w:tc>
      </w:tr>
      <w:tr w14:paraId="509F9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0" w:type="pct"/>
            <w:noWrap w:val="0"/>
            <w:vAlign w:val="top"/>
          </w:tcPr>
          <w:p w14:paraId="439CFC5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加热收缩率1400</w:t>
            </w:r>
            <w:r>
              <w:rPr>
                <w:rFonts w:hint="eastAsia" w:ascii="宋体" w:hAnsi="宋体"/>
              </w:rPr>
              <w:t>℃×</w:t>
            </w:r>
            <w:r>
              <w:rPr>
                <w:rFonts w:hint="eastAsia"/>
              </w:rPr>
              <w:t>6小时</w:t>
            </w:r>
          </w:p>
        </w:tc>
        <w:tc>
          <w:tcPr>
            <w:tcW w:w="2500" w:type="pct"/>
            <w:noWrap w:val="0"/>
            <w:vAlign w:val="top"/>
          </w:tcPr>
          <w:p w14:paraId="1598907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&lt;4</w:t>
            </w:r>
          </w:p>
        </w:tc>
      </w:tr>
      <w:tr w14:paraId="2C603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0" w:type="pct"/>
            <w:noWrap w:val="0"/>
            <w:vAlign w:val="top"/>
          </w:tcPr>
          <w:p w14:paraId="2594667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最高使用温度</w:t>
            </w:r>
            <w:r>
              <w:rPr>
                <w:rFonts w:hint="eastAsia" w:ascii="宋体" w:hAnsi="宋体"/>
              </w:rPr>
              <w:t>℃</w:t>
            </w:r>
          </w:p>
        </w:tc>
        <w:tc>
          <w:tcPr>
            <w:tcW w:w="2500" w:type="pct"/>
            <w:noWrap w:val="0"/>
            <w:vAlign w:val="top"/>
          </w:tcPr>
          <w:p w14:paraId="0CFD16A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1400</w:t>
            </w:r>
          </w:p>
        </w:tc>
      </w:tr>
    </w:tbl>
    <w:p w14:paraId="3F5AAC71">
      <w:pPr>
        <w:numPr>
          <w:numId w:val="0"/>
        </w:numPr>
        <w:ind w:leftChars="0" w:firstLine="420" w:firstLineChars="200"/>
        <w:rPr>
          <w:rFonts w:hint="default" w:ascii="Arial" w:eastAsia="宋体"/>
          <w:sz w:val="21"/>
          <w:lang w:val="en-US" w:eastAsia="zh-CN"/>
        </w:rPr>
      </w:pPr>
      <w:r>
        <w:rPr>
          <w:rFonts w:hint="eastAsia"/>
        </w:rPr>
        <w:t>规格  7200</w:t>
      </w:r>
      <w:r>
        <w:rPr>
          <w:rFonts w:hint="eastAsia" w:ascii="宋体" w:hAnsi="宋体"/>
          <w:b/>
          <w:bCs/>
        </w:rPr>
        <w:t>×600×</w:t>
      </w:r>
      <w:r>
        <w:rPr>
          <w:rFonts w:hint="eastAsia" w:ascii="宋体" w:hAnsi="宋体" w:eastAsia="宋体"/>
          <w:b/>
          <w:bCs/>
          <w:lang w:val="en-US" w:eastAsia="zh-CN"/>
        </w:rPr>
        <w:t>30</w:t>
      </w:r>
    </w:p>
    <w:p w14:paraId="0F18A8E7">
      <w:pPr>
        <w:pStyle w:val="2"/>
        <w:spacing w:before="92" w:line="224" w:lineRule="auto"/>
        <w:ind w:left="344"/>
      </w:pPr>
      <w:r>
        <w:rPr>
          <w:spacing w:val="-1"/>
        </w:rPr>
        <w:t>3.4</w:t>
      </w:r>
      <w:r>
        <w:rPr>
          <w:spacing w:val="-51"/>
        </w:rPr>
        <w:t xml:space="preserve"> </w:t>
      </w:r>
      <w:r>
        <w:rPr>
          <w:spacing w:val="-1"/>
        </w:rPr>
        <w:t xml:space="preserve">包装、标志、运输要求符合国家标准 </w:t>
      </w:r>
      <w:r>
        <w:rPr>
          <w:rFonts w:ascii="仿宋" w:hAnsi="仿宋" w:eastAsia="仿宋" w:cs="仿宋"/>
          <w:spacing w:val="-1"/>
        </w:rPr>
        <w:t>GB/T 15545-2020</w:t>
      </w:r>
      <w:r>
        <w:rPr>
          <w:spacing w:val="-1"/>
        </w:rPr>
        <w:t>。</w:t>
      </w:r>
    </w:p>
    <w:p w14:paraId="65123587">
      <w:pPr>
        <w:spacing w:line="224" w:lineRule="auto"/>
        <w:sectPr>
          <w:footerReference r:id="rId5" w:type="default"/>
          <w:pgSz w:w="11906" w:h="16839"/>
          <w:pgMar w:top="852" w:right="1088" w:bottom="1211" w:left="1088" w:header="0" w:footer="975" w:gutter="0"/>
          <w:cols w:space="720" w:num="1"/>
        </w:sectPr>
      </w:pPr>
    </w:p>
    <w:p w14:paraId="4A10CE2A">
      <w:pPr>
        <w:spacing w:line="350" w:lineRule="auto"/>
        <w:rPr>
          <w:rFonts w:ascii="Arial"/>
          <w:sz w:val="21"/>
        </w:rPr>
      </w:pPr>
    </w:p>
    <w:p w14:paraId="391B43E1">
      <w:pPr>
        <w:spacing w:line="350" w:lineRule="auto"/>
        <w:rPr>
          <w:rFonts w:ascii="Arial"/>
          <w:sz w:val="21"/>
        </w:rPr>
      </w:pPr>
    </w:p>
    <w:p w14:paraId="41D670B0">
      <w:pPr>
        <w:pStyle w:val="2"/>
        <w:spacing w:before="91" w:line="221" w:lineRule="auto"/>
        <w:ind w:left="9"/>
        <w:outlineLvl w:val="1"/>
      </w:pPr>
      <w:r>
        <w:rPr>
          <w:b/>
          <w:bCs/>
          <w:spacing w:val="-7"/>
        </w:rPr>
        <w:t>4</w:t>
      </w:r>
      <w:r>
        <w:rPr>
          <w:spacing w:val="7"/>
        </w:rPr>
        <w:t xml:space="preserve">  </w:t>
      </w:r>
      <w:r>
        <w:rPr>
          <w:b/>
          <w:bCs/>
          <w:spacing w:val="-7"/>
        </w:rPr>
        <w:t>技术服务</w:t>
      </w:r>
    </w:p>
    <w:p w14:paraId="53CD2404">
      <w:pPr>
        <w:pStyle w:val="2"/>
        <w:spacing w:before="303" w:line="407" w:lineRule="auto"/>
        <w:ind w:left="11" w:right="191" w:hanging="2"/>
      </w:pPr>
      <w:r>
        <w:t>4.1 乙方应派专职人员做长期现场技术服务并跟踪</w:t>
      </w:r>
      <w:r>
        <w:rPr>
          <w:spacing w:val="-1"/>
        </w:rPr>
        <w:t>其产品使用情况，对甲</w:t>
      </w:r>
      <w:r>
        <w:t xml:space="preserve"> </w:t>
      </w:r>
      <w:r>
        <w:rPr>
          <w:spacing w:val="-1"/>
        </w:rPr>
        <w:t>方人员的操作有权提出改进意见，甲方验证可行后应积极采纳。</w:t>
      </w:r>
    </w:p>
    <w:p w14:paraId="15C17BE5">
      <w:pPr>
        <w:pStyle w:val="2"/>
        <w:spacing w:before="41" w:line="406" w:lineRule="auto"/>
        <w:ind w:left="13" w:right="191" w:hanging="4"/>
      </w:pPr>
      <w:r>
        <w:t>4.2 根据产品的使用情况，乙方应进行技术分析及</w:t>
      </w:r>
      <w:r>
        <w:rPr>
          <w:spacing w:val="-1"/>
        </w:rPr>
        <w:t>产品质量和工艺措施的</w:t>
      </w:r>
      <w:r>
        <w:t xml:space="preserve"> </w:t>
      </w:r>
      <w:r>
        <w:rPr>
          <w:spacing w:val="-3"/>
        </w:rPr>
        <w:t>持续改进。</w:t>
      </w:r>
    </w:p>
    <w:p w14:paraId="0774B479">
      <w:pPr>
        <w:pStyle w:val="2"/>
        <w:spacing w:before="44" w:line="407" w:lineRule="auto"/>
        <w:ind w:left="14" w:right="191" w:hanging="5"/>
      </w:pPr>
      <w:r>
        <w:t>4.3 乙方还将经常派技术专家来现场进行技术交流</w:t>
      </w:r>
      <w:r>
        <w:rPr>
          <w:spacing w:val="-1"/>
        </w:rPr>
        <w:t>并同时提供国内国际相</w:t>
      </w:r>
      <w:r>
        <w:t xml:space="preserve"> </w:t>
      </w:r>
      <w:r>
        <w:rPr>
          <w:spacing w:val="-2"/>
        </w:rPr>
        <w:t>关的最新技术信息。</w:t>
      </w:r>
    </w:p>
    <w:p w14:paraId="0057DA29">
      <w:pPr>
        <w:pStyle w:val="2"/>
        <w:spacing w:before="40" w:line="221" w:lineRule="auto"/>
        <w:ind w:left="16"/>
        <w:outlineLvl w:val="1"/>
      </w:pPr>
      <w:r>
        <w:rPr>
          <w:b/>
          <w:bCs/>
          <w:spacing w:val="-7"/>
        </w:rPr>
        <w:t>5</w:t>
      </w:r>
      <w:r>
        <w:rPr>
          <w:spacing w:val="90"/>
        </w:rPr>
        <w:t xml:space="preserve"> </w:t>
      </w:r>
      <w:r>
        <w:rPr>
          <w:b/>
          <w:bCs/>
          <w:spacing w:val="-7"/>
        </w:rPr>
        <w:t>产品保证值</w:t>
      </w:r>
    </w:p>
    <w:p w14:paraId="604D6E08">
      <w:pPr>
        <w:pStyle w:val="2"/>
        <w:spacing w:before="305" w:line="407" w:lineRule="auto"/>
        <w:ind w:left="10" w:right="191" w:firstLine="5"/>
      </w:pPr>
      <w:r>
        <w:rPr>
          <w:spacing w:val="-1"/>
        </w:rPr>
        <w:t>5.1 在包装袋上将产品外观尺寸标识清楚，以</w:t>
      </w:r>
      <w:r>
        <w:rPr>
          <w:spacing w:val="-56"/>
        </w:rPr>
        <w:t xml:space="preserve"> </w:t>
      </w:r>
      <w:r>
        <w:rPr>
          <w:spacing w:val="-1"/>
        </w:rPr>
        <w:t>22±0.5</w:t>
      </w:r>
      <w:r>
        <w:rPr>
          <w:spacing w:val="-57"/>
        </w:rPr>
        <w:t xml:space="preserve"> </w:t>
      </w:r>
      <w:r>
        <w:rPr>
          <w:spacing w:val="-1"/>
        </w:rPr>
        <w:t>为</w:t>
      </w:r>
      <w:r>
        <w:rPr>
          <w:spacing w:val="-2"/>
        </w:rPr>
        <w:t>一编织袋进行包</w:t>
      </w:r>
      <w:r>
        <w:t xml:space="preserve"> </w:t>
      </w:r>
      <w:r>
        <w:rPr>
          <w:spacing w:val="-1"/>
        </w:rPr>
        <w:t>装，每卷应防潮包装。</w:t>
      </w:r>
    </w:p>
    <w:p w14:paraId="66642EFA">
      <w:pPr>
        <w:pStyle w:val="2"/>
        <w:spacing w:before="38" w:line="221" w:lineRule="auto"/>
        <w:ind w:left="16"/>
      </w:pPr>
      <w:r>
        <w:rPr>
          <w:spacing w:val="-2"/>
        </w:rPr>
        <w:t>5.2 产品保质期：三年</w:t>
      </w:r>
    </w:p>
    <w:p w14:paraId="2D9EA39F">
      <w:pPr>
        <w:pStyle w:val="2"/>
        <w:spacing w:before="303" w:line="221" w:lineRule="auto"/>
        <w:ind w:left="13"/>
        <w:outlineLvl w:val="1"/>
      </w:pPr>
      <w:r>
        <w:rPr>
          <w:b/>
          <w:bCs/>
          <w:spacing w:val="-3"/>
        </w:rPr>
        <w:t>6</w:t>
      </w:r>
      <w:r>
        <w:rPr>
          <w:spacing w:val="-3"/>
        </w:rPr>
        <w:t xml:space="preserve">  </w:t>
      </w:r>
      <w:r>
        <w:rPr>
          <w:b/>
          <w:bCs/>
          <w:spacing w:val="-3"/>
        </w:rPr>
        <w:t>验收标准和方式</w:t>
      </w:r>
    </w:p>
    <w:p w14:paraId="37E782D1">
      <w:pPr>
        <w:pStyle w:val="2"/>
        <w:spacing w:before="304" w:line="412" w:lineRule="auto"/>
        <w:ind w:left="13" w:right="191"/>
      </w:pPr>
      <w:r>
        <w:t>6.1 到货验收，产品应提供质保书一式三份</w:t>
      </w:r>
      <w:r>
        <w:rPr>
          <w:spacing w:val="-1"/>
        </w:rPr>
        <w:t>，证明其符合产品技术规范。</w:t>
      </w:r>
      <w:r>
        <w:t xml:space="preserve"> 6.2 产品在使用前，应对包装、产品标识、</w:t>
      </w:r>
      <w:r>
        <w:rPr>
          <w:spacing w:val="-1"/>
        </w:rPr>
        <w:t>产品的外观缺陷等进行抽查验</w:t>
      </w:r>
      <w:r>
        <w:t xml:space="preserve"> </w:t>
      </w:r>
      <w:r>
        <w:rPr>
          <w:spacing w:val="-1"/>
        </w:rPr>
        <w:t>收，不应受潮或存在外观缺陷。</w:t>
      </w:r>
    </w:p>
    <w:p w14:paraId="11D88E6E">
      <w:pPr>
        <w:pStyle w:val="2"/>
        <w:spacing w:before="40" w:line="221" w:lineRule="auto"/>
        <w:ind w:left="17"/>
        <w:outlineLvl w:val="1"/>
      </w:pPr>
      <w:r>
        <w:rPr>
          <w:b/>
          <w:bCs/>
          <w:spacing w:val="-9"/>
        </w:rPr>
        <w:t>7</w:t>
      </w:r>
      <w:r>
        <w:rPr>
          <w:spacing w:val="8"/>
        </w:rPr>
        <w:t xml:space="preserve">  </w:t>
      </w:r>
      <w:r>
        <w:rPr>
          <w:b/>
          <w:bCs/>
          <w:spacing w:val="-9"/>
        </w:rPr>
        <w:t>索赔条款</w:t>
      </w:r>
    </w:p>
    <w:p w14:paraId="24BDAF01">
      <w:pPr>
        <w:pStyle w:val="2"/>
        <w:spacing w:before="301" w:line="414" w:lineRule="auto"/>
        <w:ind w:left="8" w:firstLine="562"/>
      </w:pPr>
      <w:r>
        <w:t>在正常的使用、操作条件下，经双方确认因</w:t>
      </w:r>
      <w:r>
        <w:rPr>
          <w:spacing w:val="-1"/>
        </w:rPr>
        <w:t>乙方产品质量问题未达到</w:t>
      </w:r>
      <w:r>
        <w:t xml:space="preserve">  </w:t>
      </w:r>
      <w:r>
        <w:rPr>
          <w:spacing w:val="1"/>
        </w:rPr>
        <w:t>产品技术要求，导致发生生产及各类事故，乙方赔偿甲方事故直接</w:t>
      </w:r>
      <w:r>
        <w:t xml:space="preserve">损失。  </w:t>
      </w:r>
      <w:r>
        <w:rPr>
          <w:spacing w:val="-3"/>
        </w:rPr>
        <w:t>7.1 乙方新到的货物，甲方抽检不能达到技术指标要求，判为不合格品的，</w:t>
      </w:r>
      <w:r>
        <w:rPr>
          <w:spacing w:val="8"/>
        </w:rPr>
        <w:t xml:space="preserve"> </w:t>
      </w:r>
      <w:r>
        <w:rPr>
          <w:spacing w:val="-1"/>
        </w:rPr>
        <w:t>将给予退货处理。</w:t>
      </w:r>
    </w:p>
    <w:p w14:paraId="2C0EDDB1">
      <w:pPr>
        <w:spacing w:line="414" w:lineRule="auto"/>
        <w:sectPr>
          <w:headerReference r:id="rId6" w:type="default"/>
          <w:footerReference r:id="rId7" w:type="default"/>
          <w:pgSz w:w="11906" w:h="16839"/>
          <w:pgMar w:top="1620" w:right="1337" w:bottom="1211" w:left="1416" w:header="830" w:footer="975" w:gutter="0"/>
          <w:cols w:space="720" w:num="1"/>
        </w:sectPr>
      </w:pPr>
    </w:p>
    <w:p w14:paraId="563ACFDE">
      <w:pPr>
        <w:pStyle w:val="2"/>
        <w:spacing w:before="158" w:line="407" w:lineRule="auto"/>
        <w:ind w:left="12" w:right="58" w:firstLine="5"/>
      </w:pPr>
      <w:r>
        <w:rPr>
          <w:spacing w:val="-4"/>
        </w:rPr>
        <w:t>7.2</w:t>
      </w:r>
      <w:r>
        <w:rPr>
          <w:spacing w:val="-49"/>
        </w:rPr>
        <w:t xml:space="preserve"> </w:t>
      </w:r>
      <w:r>
        <w:rPr>
          <w:spacing w:val="-4"/>
        </w:rPr>
        <w:t>含锆硅酸铝纤维毡使用过程出现异常或对生产产生影响时，乙方必须派</w:t>
      </w:r>
      <w:r>
        <w:t xml:space="preserve"> 技术人员到现场跟踪、指导。甲方根据实际</w:t>
      </w:r>
      <w:r>
        <w:rPr>
          <w:spacing w:val="-1"/>
        </w:rPr>
        <w:t>情况停止使用要求乙方整改，</w:t>
      </w:r>
    </w:p>
    <w:p w14:paraId="68F9AC64">
      <w:pPr>
        <w:pStyle w:val="2"/>
        <w:spacing w:before="40" w:line="221" w:lineRule="auto"/>
        <w:ind w:left="15"/>
      </w:pPr>
      <w:r>
        <w:rPr>
          <w:spacing w:val="-1"/>
        </w:rPr>
        <w:t>如整改后还是不符合甲方要求，甲方有权停止使用同时解除合同。</w:t>
      </w:r>
    </w:p>
    <w:p w14:paraId="28D766F1">
      <w:pPr>
        <w:pStyle w:val="2"/>
        <w:spacing w:before="167" w:line="221" w:lineRule="auto"/>
        <w:ind w:left="12"/>
        <w:outlineLvl w:val="1"/>
      </w:pPr>
      <w:r>
        <w:rPr>
          <w:b/>
          <w:bCs/>
          <w:spacing w:val="-11"/>
        </w:rPr>
        <w:t>8</w:t>
      </w:r>
      <w:r>
        <w:rPr>
          <w:spacing w:val="7"/>
        </w:rPr>
        <w:t xml:space="preserve">  </w:t>
      </w:r>
      <w:r>
        <w:rPr>
          <w:b/>
          <w:bCs/>
          <w:spacing w:val="-11"/>
        </w:rPr>
        <w:t>其他</w:t>
      </w:r>
    </w:p>
    <w:p w14:paraId="26A50C5B">
      <w:pPr>
        <w:pStyle w:val="2"/>
        <w:spacing w:before="207" w:line="290" w:lineRule="auto"/>
        <w:ind w:left="21" w:right="171" w:hanging="9"/>
      </w:pPr>
      <w:r>
        <w:t>8.1 乙方进入酒钢厂区后，必须严格遵守酒钢</w:t>
      </w:r>
      <w:r>
        <w:rPr>
          <w:spacing w:val="-1"/>
        </w:rPr>
        <w:t>（集团）公司及</w:t>
      </w:r>
      <w:r>
        <w:rPr>
          <w:rFonts w:hint="eastAsia"/>
          <w:spacing w:val="-1"/>
          <w:lang w:val="en-US" w:eastAsia="zh-CN"/>
        </w:rPr>
        <w:t>宏宇新材料</w:t>
      </w:r>
      <w:r>
        <w:rPr>
          <w:spacing w:val="-1"/>
        </w:rPr>
        <w:t>公</w:t>
      </w:r>
      <w:r>
        <w:t xml:space="preserve"> </w:t>
      </w:r>
      <w:r>
        <w:rPr>
          <w:spacing w:val="-4"/>
        </w:rPr>
        <w:t>司相关规定。</w:t>
      </w:r>
    </w:p>
    <w:p w14:paraId="3372E79F">
      <w:pPr>
        <w:pStyle w:val="2"/>
        <w:spacing w:before="209" w:line="220" w:lineRule="auto"/>
        <w:ind w:left="12"/>
      </w:pPr>
      <w:r>
        <w:rPr>
          <w:spacing w:val="-2"/>
        </w:rPr>
        <w:t>8.2</w:t>
      </w:r>
      <w:r>
        <w:rPr>
          <w:spacing w:val="-49"/>
        </w:rPr>
        <w:t xml:space="preserve"> </w:t>
      </w:r>
      <w:r>
        <w:rPr>
          <w:spacing w:val="-2"/>
        </w:rPr>
        <w:t>本技术规格书解释权归甲方。</w:t>
      </w:r>
    </w:p>
    <w:p w14:paraId="7FE82B65">
      <w:pPr>
        <w:pStyle w:val="2"/>
        <w:spacing w:before="211" w:line="220" w:lineRule="auto"/>
        <w:ind w:left="12"/>
      </w:pPr>
      <w:r>
        <w:rPr>
          <w:spacing w:val="-1"/>
        </w:rPr>
        <w:t>8.3</w:t>
      </w:r>
      <w:r>
        <w:rPr>
          <w:spacing w:val="-60"/>
        </w:rPr>
        <w:t xml:space="preserve"> </w:t>
      </w:r>
      <w:r>
        <w:rPr>
          <w:spacing w:val="-1"/>
        </w:rPr>
        <w:t>本技术规格书作为相应采购合同附件。</w:t>
      </w:r>
    </w:p>
    <w:p w14:paraId="4DEA4233">
      <w:pPr>
        <w:pStyle w:val="2"/>
        <w:spacing w:before="210" w:line="290" w:lineRule="auto"/>
        <w:ind w:left="573" w:hanging="561"/>
      </w:pPr>
      <w:r>
        <w:rPr>
          <w:spacing w:val="-2"/>
        </w:rPr>
        <w:t>8.4</w:t>
      </w:r>
      <w:r>
        <w:rPr>
          <w:spacing w:val="-53"/>
        </w:rPr>
        <w:t xml:space="preserve"> </w:t>
      </w:r>
      <w:r>
        <w:rPr>
          <w:spacing w:val="-2"/>
        </w:rPr>
        <w:t>未尽事宜双方协商解决，协商不妥由酒钢（集团）公司相关部门裁决。</w:t>
      </w:r>
      <w:r>
        <w:t xml:space="preserve"> </w:t>
      </w:r>
      <w:r>
        <w:rPr>
          <w:spacing w:val="-1"/>
        </w:rPr>
        <w:t>此技术规格书一式二份，甲乙双方各保留一份，自签定之日生效。</w:t>
      </w:r>
    </w:p>
    <w:p w14:paraId="1D5E2036">
      <w:pPr>
        <w:spacing w:line="356" w:lineRule="auto"/>
        <w:rPr>
          <w:rFonts w:ascii="Arial"/>
          <w:sz w:val="21"/>
        </w:rPr>
      </w:pPr>
    </w:p>
    <w:p w14:paraId="22C059F3">
      <w:pPr>
        <w:spacing w:line="356" w:lineRule="auto"/>
        <w:rPr>
          <w:rFonts w:ascii="Arial"/>
          <w:sz w:val="21"/>
        </w:rPr>
      </w:pPr>
    </w:p>
    <w:p w14:paraId="405CCCF4">
      <w:pPr>
        <w:pStyle w:val="2"/>
        <w:spacing w:before="92" w:line="221" w:lineRule="auto"/>
        <w:ind w:left="47"/>
      </w:pPr>
      <w:r>
        <w:rPr>
          <w:b/>
          <w:bCs/>
          <w:spacing w:val="-5"/>
        </w:rPr>
        <w:t>甲方：酒钢集团宏兴钢铁股份有限公司</w:t>
      </w:r>
      <w:r>
        <w:rPr>
          <w:spacing w:val="-5"/>
        </w:rPr>
        <w:t xml:space="preserve">  </w:t>
      </w:r>
      <w:r>
        <w:rPr>
          <w:b/>
          <w:bCs/>
          <w:spacing w:val="-5"/>
        </w:rPr>
        <w:t>乙方：</w:t>
      </w:r>
    </w:p>
    <w:p w14:paraId="5916BAF2">
      <w:pPr>
        <w:pStyle w:val="2"/>
        <w:spacing w:before="165" w:line="221" w:lineRule="auto"/>
        <w:ind w:left="855"/>
      </w:pPr>
      <w:r>
        <w:rPr>
          <w:rFonts w:hint="eastAsia"/>
          <w:b/>
          <w:bCs/>
          <w:spacing w:val="-5"/>
          <w:lang w:val="en-US" w:eastAsia="zh-CN"/>
        </w:rPr>
        <w:t>宏宇新材料</w:t>
      </w:r>
      <w:r>
        <w:rPr>
          <w:b/>
          <w:bCs/>
          <w:spacing w:val="-5"/>
        </w:rPr>
        <w:t>公司</w:t>
      </w:r>
    </w:p>
    <w:p w14:paraId="5EEC549B">
      <w:pPr>
        <w:spacing w:line="249" w:lineRule="auto"/>
        <w:rPr>
          <w:rFonts w:ascii="Arial"/>
          <w:sz w:val="21"/>
        </w:rPr>
      </w:pPr>
    </w:p>
    <w:p w14:paraId="6521A04F">
      <w:pPr>
        <w:spacing w:line="249" w:lineRule="auto"/>
        <w:rPr>
          <w:rFonts w:ascii="Arial"/>
          <w:sz w:val="21"/>
        </w:rPr>
      </w:pPr>
    </w:p>
    <w:p w14:paraId="31EFCA5D">
      <w:pPr>
        <w:pStyle w:val="2"/>
        <w:spacing w:before="91" w:line="221" w:lineRule="auto"/>
        <w:ind w:left="151"/>
      </w:pPr>
      <w:r>
        <w:rPr>
          <w:b/>
          <w:bCs/>
          <w:spacing w:val="-6"/>
        </w:rPr>
        <w:t>代表：</w:t>
      </w:r>
      <w:r>
        <w:rPr>
          <w:spacing w:val="1"/>
        </w:rPr>
        <w:t xml:space="preserve">                         </w:t>
      </w:r>
      <w:r>
        <w:t xml:space="preserve">    </w:t>
      </w:r>
      <w:r>
        <w:rPr>
          <w:b/>
          <w:bCs/>
          <w:spacing w:val="-6"/>
        </w:rPr>
        <w:t>代表：</w:t>
      </w:r>
    </w:p>
    <w:p w14:paraId="3287191F">
      <w:pPr>
        <w:spacing w:line="350" w:lineRule="auto"/>
        <w:rPr>
          <w:rFonts w:ascii="Arial"/>
          <w:sz w:val="21"/>
        </w:rPr>
      </w:pPr>
    </w:p>
    <w:p w14:paraId="134FB4FD">
      <w:pPr>
        <w:pStyle w:val="2"/>
        <w:spacing w:before="92" w:line="221" w:lineRule="auto"/>
        <w:ind w:left="200"/>
      </w:pPr>
      <w:r>
        <w:rPr>
          <w:b/>
          <w:bCs/>
          <w:spacing w:val="-23"/>
        </w:rPr>
        <w:t>日期：</w:t>
      </w:r>
      <w:r>
        <w:rPr>
          <w:spacing w:val="3"/>
        </w:rPr>
        <w:t xml:space="preserve">                    </w:t>
      </w:r>
      <w:r>
        <w:rPr>
          <w:spacing w:val="2"/>
        </w:rPr>
        <w:t xml:space="preserve">         </w:t>
      </w:r>
      <w:r>
        <w:rPr>
          <w:b/>
          <w:bCs/>
          <w:spacing w:val="-23"/>
        </w:rPr>
        <w:t>日期：</w:t>
      </w:r>
    </w:p>
    <w:sectPr>
      <w:headerReference r:id="rId8" w:type="default"/>
      <w:footerReference r:id="rId9" w:type="default"/>
      <w:pgSz w:w="11906" w:h="16839"/>
      <w:pgMar w:top="1620" w:right="1357" w:bottom="1211" w:left="1416" w:header="830" w:footer="97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86C199">
    <w:pPr>
      <w:spacing w:line="226" w:lineRule="exact"/>
      <w:ind w:left="4769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7"/>
        <w:position w:val="1"/>
        <w:sz w:val="18"/>
        <w:szCs w:val="18"/>
      </w:rPr>
      <w:t>1/3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ABB640">
    <w:pPr>
      <w:spacing w:line="226" w:lineRule="exact"/>
      <w:ind w:left="442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"/>
        <w:position w:val="1"/>
        <w:sz w:val="18"/>
        <w:szCs w:val="18"/>
      </w:rPr>
      <w:t>2/3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AB10F8">
    <w:pPr>
      <w:spacing w:line="226" w:lineRule="exact"/>
      <w:ind w:left="442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position w:val="1"/>
        <w:sz w:val="18"/>
        <w:szCs w:val="18"/>
      </w:rPr>
      <w:t>3/3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9B2A1D">
    <w:pPr>
      <w:spacing w:line="378" w:lineRule="auto"/>
      <w:rPr>
        <w:rFonts w:ascii="Arial"/>
        <w:sz w:val="21"/>
      </w:rPr>
    </w:pPr>
    <w:r>
      <w:pict>
        <v:shape id="_x0000_s2049" o:spid="_x0000_s2049" style="position:absolute;left:0pt;margin-left:70.85pt;margin-top:79.25pt;height:0.75pt;width:453.65pt;mso-position-horizontal-relative:page;mso-position-vertical-relative:page;z-index:251660288;mso-width-relative:page;mso-height-relative:page;" fillcolor="#000000" filled="t" stroked="f" coordsize="9072,15" o:allowincell="f" path="m0,0l9072,0,9072,14,0,14,0,0xe">
          <v:path/>
          <v:fill on="t" focussize="0,0"/>
          <v:stroke on="f"/>
          <v:imagedata o:title=""/>
          <o:lock v:ext="edit"/>
        </v:shape>
      </w:pict>
    </w:r>
    <w:r>
      <w:drawing>
        <wp:anchor distT="0" distB="0" distL="0" distR="0" simplePos="0" relativeHeight="251659264" behindDoc="0" locked="0" layoutInCell="0" allowOverlap="1">
          <wp:simplePos x="0" y="0"/>
          <wp:positionH relativeFrom="page">
            <wp:posOffset>899160</wp:posOffset>
          </wp:positionH>
          <wp:positionV relativeFrom="page">
            <wp:posOffset>541020</wp:posOffset>
          </wp:positionV>
          <wp:extent cx="571500" cy="410210"/>
          <wp:effectExtent l="0" t="0" r="0" b="0"/>
          <wp:wrapNone/>
          <wp:docPr id="4" name="IM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 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1500" cy="41020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7DDEDD3">
    <w:pPr>
      <w:pStyle w:val="2"/>
      <w:spacing w:before="78" w:line="220" w:lineRule="auto"/>
      <w:jc w:val="right"/>
      <w:rPr>
        <w:sz w:val="24"/>
        <w:szCs w:val="24"/>
      </w:rPr>
    </w:pPr>
    <w:r>
      <w:rPr>
        <w:rFonts w:hint="eastAsia"/>
        <w:spacing w:val="-1"/>
        <w:sz w:val="24"/>
        <w:szCs w:val="24"/>
        <w:lang w:val="en-US" w:eastAsia="zh-CN"/>
      </w:rPr>
      <w:t>宏宇新材料</w:t>
    </w:r>
    <w:r>
      <w:rPr>
        <w:spacing w:val="-1"/>
        <w:sz w:val="24"/>
        <w:szCs w:val="24"/>
      </w:rPr>
      <w:t>公司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EBF9C9">
    <w:pPr>
      <w:spacing w:line="378" w:lineRule="auto"/>
      <w:rPr>
        <w:rFonts w:ascii="Arial"/>
        <w:sz w:val="21"/>
      </w:rPr>
    </w:pPr>
    <w:r>
      <w:pict>
        <v:shape id="_x0000_s2050" o:spid="_x0000_s2050" style="position:absolute;left:0pt;margin-left:70.85pt;margin-top:79.25pt;height:0.75pt;width:453.65pt;mso-position-horizontal-relative:page;mso-position-vertical-relative:page;z-index:251662336;mso-width-relative:page;mso-height-relative:page;" fillcolor="#000000" filled="t" stroked="f" coordsize="9072,15" o:allowincell="f" path="m0,0l9072,0,9072,14,0,14,0,0xe">
          <v:path/>
          <v:fill on="t" focussize="0,0"/>
          <v:stroke on="f"/>
          <v:imagedata o:title=""/>
          <o:lock v:ext="edit"/>
        </v:shape>
      </w:pict>
    </w:r>
    <w:r>
      <w:drawing>
        <wp:anchor distT="0" distB="0" distL="0" distR="0" simplePos="0" relativeHeight="251661312" behindDoc="0" locked="0" layoutInCell="0" allowOverlap="1">
          <wp:simplePos x="0" y="0"/>
          <wp:positionH relativeFrom="page">
            <wp:posOffset>899160</wp:posOffset>
          </wp:positionH>
          <wp:positionV relativeFrom="page">
            <wp:posOffset>541020</wp:posOffset>
          </wp:positionV>
          <wp:extent cx="571500" cy="410210"/>
          <wp:effectExtent l="0" t="0" r="0" b="0"/>
          <wp:wrapNone/>
          <wp:docPr id="6" name="IM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 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1500" cy="41020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83DA4C0">
    <w:pPr>
      <w:pStyle w:val="2"/>
      <w:spacing w:before="78" w:line="220" w:lineRule="auto"/>
      <w:jc w:val="right"/>
      <w:rPr>
        <w:sz w:val="24"/>
        <w:szCs w:val="24"/>
      </w:rPr>
    </w:pPr>
    <w:r>
      <w:rPr>
        <w:rFonts w:hint="eastAsia"/>
        <w:spacing w:val="-1"/>
        <w:sz w:val="24"/>
        <w:szCs w:val="24"/>
        <w:lang w:val="en-US" w:eastAsia="zh-CN"/>
      </w:rPr>
      <w:t>宏宇新材料</w:t>
    </w:r>
    <w:r>
      <w:rPr>
        <w:spacing w:val="-1"/>
        <w:sz w:val="24"/>
        <w:szCs w:val="24"/>
      </w:rPr>
      <w:t>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documentProtection w:enforcement="0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5C1727E"/>
    <w:rsid w:val="0A7A58A9"/>
    <w:rsid w:val="12EB027A"/>
    <w:rsid w:val="15200B35"/>
    <w:rsid w:val="244C74A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2.xml"/><Relationship Id="rId7" Type="http://schemas.openxmlformats.org/officeDocument/2006/relationships/footer" Target="footer2.xml"/><Relationship Id="rId6" Type="http://schemas.openxmlformats.org/officeDocument/2006/relationships/header" Target="header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1.jpe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0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1003</Words>
  <Characters>1119</Characters>
  <TotalTime>3</TotalTime>
  <ScaleCrop>false</ScaleCrop>
  <LinksUpToDate>false</LinksUpToDate>
  <CharactersWithSpaces>1250</CharactersWithSpaces>
  <Application>WPS Office_12.1.0.19302_F1E327BC-269C-435d-A152-05C5408002CA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2025-04-17T11:51:00Z</dcterms:created>
  <dc:creator>韩晓立</dc:creator>
  <cp:lastModifiedBy>刘海涛</cp:lastModifiedBy>
  <dcterms:modified xsi:type="dcterms:W3CDTF">2025-05-19T11:26:09Z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2025-05-19T18:14:37Z</vt:filetime>
  </property>
  <property fmtid="{D5CDD505-2E9C-101B-9397-08002B2CF9AE}" pid="4" name="KSOTemplateDocerSaveRecord">
    <vt:lpwstr>eyJoZGlkIjoiYzJlZDY3YjE0YTY1NDVjNTI1NTcwZjk1MmE1NzBhMDMiLCJ1c2VySWQiOiIxNjUwOTcyNzEyIn0=</vt:lpwstr>
  </property>
  <property fmtid="{D5CDD505-2E9C-101B-9397-08002B2CF9AE}" pid="5" name="KSOProductBuildVer">
    <vt:lpwstr>2052-12.1.0.19302</vt:lpwstr>
  </property>
  <property fmtid="{D5CDD505-2E9C-101B-9397-08002B2CF9AE}" pid="6" name="ICV">
    <vt:lpwstr>2B6CA266E7BA4DD2AC09A6C07D37289C_13</vt:lpwstr>
  </property>
</Properties>
</file>