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08ED57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F6212B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9"/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781A7CB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44"/>
          <w:szCs w:val="44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甘肃雄关酒业有限责任公司</w:t>
      </w:r>
    </w:p>
    <w:p w14:paraId="6F5B6D84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44"/>
          <w:szCs w:val="44"/>
          <w:shd w:val="clear" w:fill="FFFFFF"/>
        </w:rPr>
        <w:t>粉粮机技术规格书</w:t>
      </w:r>
    </w:p>
    <w:p w14:paraId="3DE44E8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24F84522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D815C1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17A19A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2ED3A7B8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7211B7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F02005A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222C0548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742465C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53565444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18C76110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both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F95D12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both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DCD13C8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both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30BDF99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both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03BE1523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both"/>
        <w:textAlignment w:val="auto"/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甲方：甘肃雄关酒业有限责任公司</w:t>
      </w:r>
    </w:p>
    <w:p w14:paraId="4B648BFE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1606" w:firstLineChars="50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乙方：</w:t>
      </w:r>
    </w:p>
    <w:p w14:paraId="41E4DEF1">
      <w:pPr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</w:p>
    <w:p w14:paraId="7EF3B550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9"/>
          <w:rFonts w:hint="eastAsia" w:asciiTheme="minorEastAsia" w:hAnsiTheme="minorEastAsia" w:eastAsiaTheme="minorEastAsia" w:cstheme="minorEastAsia"/>
          <w:b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6C24161B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Style w:val="9"/>
          <w:rFonts w:hint="eastAsia" w:asciiTheme="minorEastAsia" w:hAnsiTheme="minorEastAsia" w:eastAsiaTheme="minorEastAsia" w:cstheme="minorEastAsia"/>
          <w:b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</w:p>
    <w:p w14:paraId="4DFB4293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0"/>
        <w:jc w:val="center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Style w:val="9"/>
          <w:rFonts w:hint="eastAsia" w:asciiTheme="minorEastAsia" w:hAnsiTheme="minorEastAsia" w:eastAsiaTheme="minorEastAsia" w:cstheme="minorEastAsia"/>
          <w:b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技术规格书</w:t>
      </w:r>
    </w:p>
    <w:p w14:paraId="0CAE6B1B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甘肃雄关酒业有限责任公司（以下简称甲方）</w:t>
      </w:r>
    </w:p>
    <w:p w14:paraId="0A1CA5AD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/>
          <w:b w:val="0"/>
          <w:bCs w:val="0"/>
          <w:color w:val="auto"/>
          <w:sz w:val="28"/>
          <w:szCs w:val="28"/>
          <w:u w:val="single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（以下简称乙方）</w:t>
      </w:r>
    </w:p>
    <w:p w14:paraId="67B81DDE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就甲方粉粮机采购项目，经双方友好协商达成以下规格书：</w:t>
      </w:r>
    </w:p>
    <w:p w14:paraId="15941674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一、总则</w:t>
      </w:r>
    </w:p>
    <w:p w14:paraId="6F656DE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本技术规格书适用于甘肃雄关酒业有限责任公司粉粮机采购项目，包括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粉粮机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的制造、运输、安装调试及使用维护指导等内容。</w:t>
      </w:r>
    </w:p>
    <w:p w14:paraId="23B7A61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本规格书提出的是最低技术要求，乙方应保证提供符合本规格书及相关国际、国内工业标准的优质产品。</w:t>
      </w:r>
    </w:p>
    <w:p w14:paraId="274B2A0B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若乙方未对本规格书提出书面异议，则视为完全满足本规格书要求。</w:t>
      </w:r>
    </w:p>
    <w:p w14:paraId="1ADD53D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本规格书未尽事宜，由双方协商确定并以补充规格书形式载明。</w:t>
      </w:r>
    </w:p>
    <w:p w14:paraId="164D6553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本规格书引用的标准与乙方执行标准不一致时，按较严格标准执行。</w:t>
      </w:r>
    </w:p>
    <w:p w14:paraId="73F0AFC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乙方对粉粮机的制造、装配及运输负有全责。</w:t>
      </w:r>
    </w:p>
    <w:p w14:paraId="3950AE9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本规格书在实施过程中任何变动，须以补充规格书形式确认，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具有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同等法律效力。</w:t>
      </w:r>
    </w:p>
    <w:p w14:paraId="01B11C3A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本规格书仅适用于本次采购项目。</w:t>
      </w:r>
    </w:p>
    <w:p w14:paraId="45E6BE05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二、项目说明</w:t>
      </w:r>
    </w:p>
    <w:p w14:paraId="019716A6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粉粮机用于白酒酿造原料的粉碎处理。现有设备老化严重，效率低，维修成本高。更换新型对辊式粉粮机，旨在提升粉碎效率和破壳率，保障酿酒原料质量，降低运维成本。</w:t>
      </w:r>
    </w:p>
    <w:p w14:paraId="78ABB71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三、供货范围</w:t>
      </w:r>
    </w:p>
    <w:tbl>
      <w:tblPr>
        <w:tblStyle w:val="7"/>
        <w:tblW w:w="740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01"/>
        <w:gridCol w:w="3846"/>
        <w:gridCol w:w="1260"/>
      </w:tblGrid>
      <w:tr w14:paraId="15B948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Header/>
          <w:jc w:val="center"/>
        </w:trPr>
        <w:tc>
          <w:tcPr>
            <w:tcW w:w="2301" w:type="dxa"/>
            <w:tcBorders>
              <w:top w:val="nil"/>
            </w:tcBorders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5C75314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供货产品名称</w:t>
            </w:r>
          </w:p>
        </w:tc>
        <w:tc>
          <w:tcPr>
            <w:tcW w:w="3846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68F1141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规格型号</w:t>
            </w:r>
          </w:p>
        </w:tc>
        <w:tc>
          <w:tcPr>
            <w:tcW w:w="1260" w:type="dxa"/>
            <w:tcBorders>
              <w:top w:val="nil"/>
            </w:tcBorders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5A7F69F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数量</w:t>
            </w:r>
          </w:p>
        </w:tc>
      </w:tr>
      <w:tr w14:paraId="7E342A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301" w:type="dxa"/>
            <w:shd w:val="clear" w:color="auto" w:fill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3B5196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粉粮机</w:t>
            </w:r>
          </w:p>
        </w:tc>
        <w:tc>
          <w:tcPr>
            <w:tcW w:w="3846" w:type="dxa"/>
            <w:shd w:val="clear" w:color="auto" w:fill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D7666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center"/>
              <w:textAlignment w:val="auto"/>
              <w:rPr>
                <w:rFonts w:hint="default" w:eastAsia="宋体" w:asciiTheme="minorEastAsia" w:hAnsi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对辊式，2吨/小时，含粉尘处理装置</w:t>
            </w:r>
          </w:p>
        </w:tc>
        <w:tc>
          <w:tcPr>
            <w:tcW w:w="1260" w:type="dxa"/>
            <w:shd w:val="clear" w:color="auto" w:fill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08419B2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600" w:lineRule="exact"/>
              <w:jc w:val="both"/>
              <w:textAlignment w:val="auto"/>
              <w:rPr>
                <w:rFonts w:hint="default" w:asciiTheme="minorEastAsia" w:hAnsiTheme="minorEastAsia" w:eastAsia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</w:pPr>
            <w:r>
              <w:rPr>
                <w:rFonts w:hint="eastAsia" w:asciiTheme="minorEastAsia" w:hAnsiTheme="minorEastAsia" w:cstheme="minorEastAsia"/>
                <w:i w:val="0"/>
                <w:iCs w:val="0"/>
                <w:caps w:val="0"/>
                <w:color w:val="0F1115"/>
                <w:spacing w:val="0"/>
                <w:kern w:val="2"/>
                <w:sz w:val="32"/>
                <w:szCs w:val="32"/>
                <w:shd w:val="clear" w:fill="FFFFFF"/>
                <w:lang w:val="en-US" w:eastAsia="zh-CN" w:bidi="ar-SA"/>
              </w:rPr>
              <w:t>1台</w:t>
            </w:r>
          </w:p>
        </w:tc>
      </w:tr>
    </w:tbl>
    <w:p w14:paraId="663EA60A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运输费用及保险由乙方承担，交付地点为甲方工厂（甘肃省嘉峪关市）。</w:t>
      </w:r>
    </w:p>
    <w:p w14:paraId="0114234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四、工期要求</w:t>
      </w:r>
    </w:p>
    <w:p w14:paraId="737AEC15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自本规格书生效之日起40日内完成供货并交付甲方工厂。</w:t>
      </w:r>
    </w:p>
    <w:p w14:paraId="07243BB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五、产品技术要求</w:t>
      </w:r>
    </w:p>
    <w:p w14:paraId="34A46F5E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1.粉碎方式：对辊粉碎；</w:t>
      </w:r>
    </w:p>
    <w:p w14:paraId="5272A6D5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2.生产能力：≥2吨/小时；</w:t>
      </w:r>
    </w:p>
    <w:p w14:paraId="190BBEE3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default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3.功率：7.5kW；380V；</w:t>
      </w:r>
    </w:p>
    <w:p w14:paraId="699DE713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4.破壳率：较现有设备提升50%以上；</w:t>
      </w:r>
    </w:p>
    <w:p w14:paraId="26E2796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5.材质：与物料接触部分为不锈钢材质，符合食品卫生要求；</w:t>
      </w:r>
    </w:p>
    <w:p w14:paraId="1889EDC6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6.结构要求：易拆装、易清理、运行平稳、噪音低；</w:t>
      </w:r>
    </w:p>
    <w:p w14:paraId="240F485F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textAlignment w:val="auto"/>
        <w:outlineLvl w:val="3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7.有粉尘处理装置；</w:t>
      </w:r>
    </w:p>
    <w:p w14:paraId="7B50CFFA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right="0" w:rightChars="0" w:firstLine="640" w:firstLineChars="200"/>
        <w:textAlignment w:val="auto"/>
        <w:outlineLvl w:val="3"/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8.安全保护：具备过载保护、紧急停机装置；</w:t>
      </w:r>
    </w:p>
    <w:p w14:paraId="429A3426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六、甲乙方的责任</w:t>
      </w:r>
    </w:p>
    <w:p w14:paraId="50BD29B8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1.乙方对设备符合本规格书要求及甲方使用工况负责。</w:t>
      </w:r>
    </w:p>
    <w:p w14:paraId="184C8A38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甲方对所提供的技术参数和使用要求负责。</w:t>
      </w:r>
    </w:p>
    <w:p w14:paraId="20CF16B2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七、技术文件</w:t>
      </w:r>
    </w:p>
    <w:p w14:paraId="48F4BBEA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乙方应在发货前3个工作日提供设备使用说明书、产品质保书、电气原理图等扫描件至甲方指定邮箱。</w:t>
      </w:r>
    </w:p>
    <w:p w14:paraId="136CDB20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八、质量保证</w:t>
      </w:r>
    </w:p>
    <w:p w14:paraId="42A46228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1.在正常使用和维护条件下，乙方保证设备粉碎效率、破壳率等指标达标。</w:t>
      </w:r>
    </w:p>
    <w:p w14:paraId="0CEEE45E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2.若设备存在质量问题且乙方未能解决，甲方有权退货，相关费用由乙方承担。</w:t>
      </w:r>
    </w:p>
    <w:p w14:paraId="4A2CDAF1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九、售后服务</w:t>
      </w:r>
    </w:p>
    <w:p w14:paraId="47F6BD3C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1.设备出现质量问题，乙方免费维修或更换。</w:t>
      </w:r>
    </w:p>
    <w:p w14:paraId="43815EB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2.乙方提供终身技术支持，2小时内响应，24小时内到现场。</w:t>
      </w:r>
    </w:p>
    <w:p w14:paraId="6DECDE2D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i w:val="0"/>
          <w:iCs w:val="0"/>
          <w:caps w:val="0"/>
          <w:color w:val="0F1115"/>
          <w:spacing w:val="0"/>
          <w:kern w:val="2"/>
          <w:sz w:val="32"/>
          <w:szCs w:val="32"/>
          <w:shd w:val="clear" w:fill="FFFFFF"/>
          <w:lang w:val="en-US" w:eastAsia="zh-CN" w:bidi="ar-SA"/>
        </w:rPr>
        <w:t>3.提供不少于4小时的现场操作与维护培训。</w:t>
      </w:r>
    </w:p>
    <w:p w14:paraId="7B277EEF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十、付款条件</w:t>
      </w:r>
    </w:p>
    <w:p w14:paraId="0D3342AE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付款方式：银行承兑/现汇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；</w:t>
      </w:r>
    </w:p>
    <w:p w14:paraId="1382C1D7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到货安装调试合格后，甲方通知乙方开具13%增值税专用发票，挂账后支付合同总价90%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；</w:t>
      </w:r>
    </w:p>
    <w:p w14:paraId="38BFD9AF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640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  <w:lang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余款10%作为质保金，质保期满一年后支付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eastAsia="zh-CN"/>
        </w:rPr>
        <w:t>；</w:t>
      </w:r>
    </w:p>
    <w:p w14:paraId="0C5B5AB2">
      <w:pPr>
        <w:pStyle w:val="5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ind w:left="0" w:right="0" w:firstLine="643" w:firstLineChars="2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十一、其他约定</w:t>
      </w:r>
    </w:p>
    <w:p w14:paraId="5FEC35CC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320" w:firstLineChars="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本规格书自双方签字盖章之日起生效。</w:t>
      </w:r>
    </w:p>
    <w:p w14:paraId="00D714D9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320" w:firstLineChars="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未尽事宜由双方友好协商解决。</w:t>
      </w:r>
    </w:p>
    <w:p w14:paraId="3DFE59C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320" w:firstLineChars="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本协议内容保密，不得泄露给第三方。</w:t>
      </w:r>
    </w:p>
    <w:p w14:paraId="5DB26225">
      <w:pPr>
        <w:pStyle w:val="6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320" w:firstLineChars="100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若乙方未中标，本协议自动失效。</w:t>
      </w:r>
    </w:p>
    <w:p w14:paraId="56F81811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甲方：甘肃雄关酒业有限责任公司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代表人：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日期：</w:t>
      </w:r>
    </w:p>
    <w:p w14:paraId="55F5A18F">
      <w:pPr>
        <w:pStyle w:val="6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ind w:left="0" w:right="0" w:firstLine="0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乙方：嘉峪关宏誉供应链管理有限公司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代表人：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br w:type="textWrapping"/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F1115"/>
          <w:spacing w:val="0"/>
          <w:sz w:val="32"/>
          <w:szCs w:val="32"/>
          <w:shd w:val="clear" w:fill="FFFFFF"/>
        </w:rPr>
        <w:t>日期：</w:t>
      </w:r>
    </w:p>
    <w:p w14:paraId="6F344A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00" w:lineRule="exact"/>
        <w:textAlignment w:val="auto"/>
        <w:rPr>
          <w:rFonts w:hint="eastAsia" w:asciiTheme="minorEastAsia" w:hAnsiTheme="minorEastAsia" w:eastAsiaTheme="minorEastAsia" w:cstheme="minorEastAsia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1D6758D"/>
    <w:multiLevelType w:val="singleLevel"/>
    <w:tmpl w:val="F1D6758D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D36DE6"/>
    <w:rsid w:val="29D22BB5"/>
    <w:rsid w:val="3C1B5675"/>
    <w:rsid w:val="52D36DE6"/>
    <w:rsid w:val="540C2539"/>
    <w:rsid w:val="7D2F1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样式 样式 行距: 1.5 倍行距 + 两端对齐 Char"/>
    <w:basedOn w:val="1"/>
    <w:qFormat/>
    <w:uiPriority w:val="99"/>
    <w:pPr>
      <w:adjustRightInd w:val="0"/>
      <w:snapToGrid w:val="0"/>
      <w:ind w:firstLine="480" w:firstLineChars="200"/>
    </w:pPr>
    <w:rPr>
      <w:rFonts w:ascii="宋体" w:hAnsi="宋体" w:cs="宋体"/>
      <w:sz w:val="24"/>
    </w:rPr>
  </w:style>
  <w:style w:type="paragraph" w:styleId="6">
    <w:name w:val="Normal (Web)"/>
    <w:basedOn w:val="1"/>
    <w:qFormat/>
    <w:uiPriority w:val="0"/>
    <w:rPr>
      <w:sz w:val="24"/>
    </w:rPr>
  </w:style>
  <w:style w:type="character" w:styleId="9">
    <w:name w:val="Strong"/>
    <w:basedOn w:val="8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1166</Words>
  <Characters>1212</Characters>
  <Lines>0</Lines>
  <Paragraphs>0</Paragraphs>
  <TotalTime>36</TotalTime>
  <ScaleCrop>false</ScaleCrop>
  <LinksUpToDate>false</LinksUpToDate>
  <CharactersWithSpaces>1212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2026-03-02T07:56:00Z</dcterms:created>
  <dc:creator>P.S</dc:creator>
  <cp:lastModifiedBy>吴琰</cp:lastModifiedBy>
  <dcterms:modified xsi:type="dcterms:W3CDTF">2026-06-26T03:16:32Z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DBDDD34161CB402A80FBFB58D8F8D293_11</vt:lpwstr>
  </property>
  <property fmtid="{D5CDD505-2E9C-101B-9397-08002B2CF9AE}" pid="4" name="KSOTemplateDocerSaveRecord">
    <vt:lpwstr>eyJoZGlkIjoiYWQ4ZTE0ZmIyOTc0ZmEzNWM4ZTRjMWVlYzg1N2U3ZDMiLCJ1c2VySWQiOiI1MTUwNzcyMjEifQ==</vt:lpwstr>
  </property>
</Properties>
</file>