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28A12"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熔铸二作业区</w:t>
      </w:r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冷却塔外委维修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实施方案</w:t>
      </w:r>
    </w:p>
    <w:p w14:paraId="1AABC690">
      <w:pPr>
        <w:tabs>
          <w:tab w:val="left" w:pos="733"/>
        </w:tabs>
        <w:bidi w:val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一、概况情况</w:t>
      </w:r>
    </w:p>
    <w:p w14:paraId="12A55972">
      <w:pPr>
        <w:keepNext w:val="0"/>
        <w:keepLines w:val="0"/>
        <w:pageBreakBefore w:val="0"/>
        <w:widowControl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1.概况介绍</w:t>
      </w:r>
    </w:p>
    <w:p w14:paraId="7346119F">
      <w:pPr>
        <w:keepNext w:val="0"/>
        <w:keepLines w:val="0"/>
        <w:pageBreakBefore w:val="0"/>
        <w:widowControl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熔铸二作业区冷却塔自投入运行后，已连续运行13年，目前塔体承重槽钢、布水管、检修平台、百叶窗支架等钢结构锈蚀劣化严重，各区填充料破损较多。作业区通过采购备品备件已整体对劣化百叶窗支架进行了加固处理，解决了冷却塔锈蚀劣化的部分问题，但塔体承重槽钢、布水管、检修平台锈蚀劣化问题作业区无法维修处理，故作业区申请提报外委维修项目，寻求专业冷却塔维修队伍处理冷却塔劣化问题。</w:t>
      </w:r>
    </w:p>
    <w:p w14:paraId="7CF8795E">
      <w:pPr>
        <w:keepNext w:val="0"/>
        <w:keepLines w:val="0"/>
        <w:pageBreakBefore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2.项目地点</w:t>
      </w:r>
    </w:p>
    <w:p w14:paraId="2FB66070">
      <w:pPr>
        <w:keepNext w:val="0"/>
        <w:keepLines w:val="0"/>
        <w:pageBreakBefore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项目位于甘肃省嘉峪关市90万吨熔铸二作业区。</w:t>
      </w:r>
    </w:p>
    <w:p w14:paraId="7478CF69">
      <w:pPr>
        <w:keepNext w:val="0"/>
        <w:keepLines w:val="0"/>
        <w:pageBreakBefore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3.计划进度</w:t>
      </w:r>
    </w:p>
    <w:p w14:paraId="7686579A">
      <w:pPr>
        <w:keepNext w:val="0"/>
        <w:keepLines w:val="0"/>
        <w:pageBreakBefore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ab/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2026年4月：上报维修技术协议、维修实施方案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完成评审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；</w:t>
      </w:r>
    </w:p>
    <w:p w14:paraId="48DEB6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；完成采购招标及合同签订</w:t>
      </w:r>
    </w:p>
    <w:p w14:paraId="32536C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20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lang w:eastAsia="zh-CN"/>
        </w:rPr>
        <w:t>：备件材料及技术指导人员到达安装现场</w:t>
      </w:r>
    </w:p>
    <w:p w14:paraId="65903F4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2026年10月：完成维修验收</w:t>
      </w:r>
    </w:p>
    <w:p w14:paraId="306D177B">
      <w:pPr>
        <w:keepNext w:val="0"/>
        <w:keepLines w:val="0"/>
        <w:pageBreakBefore w:val="0"/>
        <w:tabs>
          <w:tab w:val="left" w:pos="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4.施工环境</w:t>
      </w:r>
    </w:p>
    <w:p w14:paraId="12731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厂区海拔标高：1640m</w:t>
      </w:r>
    </w:p>
    <w:p w14:paraId="038C0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维修位置：熔铸二作业区水泵房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南侧</w:t>
      </w:r>
    </w:p>
    <w:p w14:paraId="50BC2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工作环境温度：-23℃至40℃</w:t>
      </w:r>
    </w:p>
    <w:p w14:paraId="624B9806">
      <w:pPr>
        <w:tabs>
          <w:tab w:val="left" w:pos="733"/>
        </w:tabs>
        <w:bidi w:val="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二、施工内容</w:t>
      </w:r>
    </w:p>
    <w:p w14:paraId="2596F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1.乙方负责更换冷却塔百叶窗及支架、塔体立柱及拉筋、填充料支撑架、风机检修平台、塔顶平台、喷淋管道、塔底供水管道、减速机底座、电机底座、风机传动轴。</w:t>
      </w:r>
    </w:p>
    <w:p w14:paraId="095FD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乙方负责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电机、风机、传动轴恢复安装调试。</w:t>
      </w:r>
    </w:p>
    <w:p w14:paraId="6B4FD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3.乙方负责对更换下的废旧填充料、玻璃纤维制品拉运处理，对废旧钢材进行分解。</w:t>
      </w:r>
    </w:p>
    <w:p w14:paraId="19D41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4.维修过程中，发现上述未提到冷却塔构件或材料有损伤，影响设备安全使用，则必须更换。</w:t>
      </w:r>
    </w:p>
    <w:p w14:paraId="0B95EC67">
      <w:pPr>
        <w:keepNext w:val="0"/>
        <w:keepLines w:val="0"/>
        <w:pageBreakBefore w:val="0"/>
        <w:numPr>
          <w:ilvl w:val="0"/>
          <w:numId w:val="0"/>
        </w:numPr>
        <w:tabs>
          <w:tab w:val="left" w:pos="1333"/>
        </w:tabs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GB-2312" w:hAnsi="仿宋GB-2312" w:eastAsia="仿宋GB-2312" w:cs="仿宋GB-2312"/>
          <w:b/>
          <w:bCs/>
          <w:sz w:val="30"/>
          <w:szCs w:val="30"/>
          <w:lang w:val="en-US" w:eastAsia="zh-CN"/>
        </w:rPr>
      </w:pPr>
      <w:r>
        <w:rPr>
          <w:rFonts w:hint="eastAsia" w:ascii="仿宋GB-2312" w:hAnsi="仿宋GB-2312" w:eastAsia="仿宋GB-2312" w:cs="仿宋GB-2312"/>
          <w:b/>
          <w:bCs/>
          <w:sz w:val="30"/>
          <w:szCs w:val="30"/>
          <w:lang w:val="en-US" w:eastAsia="zh-CN"/>
        </w:rPr>
        <w:t>三、技术要求</w:t>
      </w:r>
    </w:p>
    <w:p w14:paraId="3FD7C7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1.所有焊接紧固部位防腐措施均应满足使用年限要求。</w:t>
      </w:r>
    </w:p>
    <w:p w14:paraId="6BCE31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2.备件材料必须依照行业最新标准规范执行，并不得低于现场正在使用相关产品的标准。</w:t>
      </w:r>
    </w:p>
    <w:p w14:paraId="053A0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3.所有线路敷设用的标准穿线管无松动位移符合防腐要求。</w:t>
      </w:r>
    </w:p>
    <w:p w14:paraId="7A5A87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4.焊接质量应符合国家现行焊接相关标准与要求。</w:t>
      </w:r>
    </w:p>
    <w:p w14:paraId="112C75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5.塔体高度、宽度、长度的尺寸偏差≤±2mm/m，对角线偏差≤3mm。</w:t>
      </w:r>
    </w:p>
    <w:p w14:paraId="52AB9D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6.塔体垂直度偏差≤1‰，水平度偏差≤0.5‰。</w:t>
      </w:r>
    </w:p>
    <w:p w14:paraId="699285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7.面板拼接处采用专用密封胶密封，胶缝宽度均匀3-5mm，无开裂、脱落。</w:t>
      </w:r>
    </w:p>
    <w:p w14:paraId="1ECBF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8.框架使用的连接螺栓采用热镀锌或不锈钢材质，配备弹簧垫圈，紧固力矩符合设计要求，螺栓外露丝扣长度为3-5扣。</w:t>
      </w:r>
    </w:p>
    <w:p w14:paraId="5A9E5B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9.塔体满载运行时（含填料、水重），框架挠度≤L/500（L为框架跨度）。</w:t>
      </w:r>
    </w:p>
    <w:p w14:paraId="20290B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10.在风级≥8级风荷下塔体无倾覆、位移风险，地脚螺栓或焊接处强度符合设计要求。</w:t>
      </w:r>
    </w:p>
    <w:p w14:paraId="19DEBB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11.填充料无堵塞、变形、破损。安装平整度偏差≤5mm/m，层间间隙均匀。</w:t>
      </w:r>
    </w:p>
    <w:p w14:paraId="33C80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12.喷嘴出水角度偏差≤±5°。</w:t>
      </w:r>
    </w:p>
    <w:p w14:paraId="56088B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13.维修后风机运行平稳，无异常振动，振动速度≤4.5mm/s。</w:t>
      </w:r>
    </w:p>
    <w:p w14:paraId="4CCAE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14.布水均匀，淋水密度偏差≤5%，冷却水温差达到原设计要求。</w:t>
      </w:r>
    </w:p>
    <w:p w14:paraId="087781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15.冷却塔维修未经甲方同意不得改变设备原工艺性能和框架结构。</w:t>
      </w:r>
    </w:p>
    <w:p w14:paraId="752A9B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四、其他要求</w:t>
      </w:r>
    </w:p>
    <w:p w14:paraId="622E7A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1.查看现场，了解维修内容和工艺要求，结合现场实际情况，完成施工方案和安全措施的编制。 </w:t>
      </w:r>
    </w:p>
    <w:p w14:paraId="672C6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2.根据现场作业环境及施工条件，准备相应的设施及措施。 </w:t>
      </w:r>
    </w:p>
    <w:p w14:paraId="25029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3.进场前，认真进行安全技术、质量交底工作，使作业人员熟知安全技术标准、质量规范、施工方法及步骤。</w:t>
      </w:r>
    </w:p>
    <w:p w14:paraId="43C0CF1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kern w:val="2"/>
          <w:sz w:val="30"/>
          <w:szCs w:val="30"/>
        </w:rPr>
        <w:t>施工人员要求：施工人员应具备施工同类型</w:t>
      </w:r>
      <w:r>
        <w:rPr>
          <w:rFonts w:hint="eastAsia" w:ascii="仿宋" w:hAnsi="仿宋" w:eastAsia="仿宋" w:cs="仿宋"/>
          <w:kern w:val="2"/>
          <w:sz w:val="30"/>
          <w:szCs w:val="30"/>
          <w:lang w:eastAsia="zh-CN"/>
        </w:rPr>
        <w:t>冷却塔</w:t>
      </w:r>
      <w:r>
        <w:rPr>
          <w:rFonts w:hint="eastAsia" w:ascii="仿宋" w:hAnsi="仿宋" w:eastAsia="仿宋" w:cs="仿宋"/>
          <w:kern w:val="2"/>
          <w:sz w:val="30"/>
          <w:szCs w:val="30"/>
        </w:rPr>
        <w:t>不少于3个项目的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/>
        </w:rPr>
        <w:t>经验</w:t>
      </w:r>
      <w:r>
        <w:rPr>
          <w:rFonts w:hint="eastAsia" w:ascii="仿宋" w:hAnsi="仿宋" w:eastAsia="仿宋" w:cs="仿宋"/>
          <w:kern w:val="2"/>
          <w:sz w:val="30"/>
          <w:szCs w:val="30"/>
        </w:rPr>
        <w:t>。甲方现场质量监督员对不合格施工人员有权提出考核及责令返工，对不适合人员有权限制其工作范围。</w:t>
      </w:r>
    </w:p>
    <w:p w14:paraId="470DA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5.施工过程严格遵守甘肃东兴铝业有限公司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《培训管理制度》、《考核管理制度》、《危险作业安全管理办法》、《设备检修停送电管理办法》等</w:t>
      </w:r>
      <w:r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  <w:t>管理规定。</w:t>
      </w:r>
    </w:p>
    <w:p w14:paraId="5F0473E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设计、制造、检验标准</w:t>
      </w:r>
    </w:p>
    <w:tbl>
      <w:tblPr>
        <w:tblStyle w:val="4"/>
        <w:tblW w:w="9030" w:type="dxa"/>
        <w:tblInd w:w="4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5"/>
        <w:gridCol w:w="2265"/>
      </w:tblGrid>
      <w:tr w14:paraId="155CD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6765" w:type="dxa"/>
            <w:noWrap w:val="0"/>
            <w:vAlign w:val="center"/>
          </w:tcPr>
          <w:p w14:paraId="6758C29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《机械通风冷却塔》</w:t>
            </w:r>
          </w:p>
        </w:tc>
        <w:tc>
          <w:tcPr>
            <w:tcW w:w="2265" w:type="dxa"/>
            <w:noWrap w:val="0"/>
            <w:vAlign w:val="center"/>
          </w:tcPr>
          <w:p w14:paraId="39C0822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both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 xml:space="preserve">GB/T 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7190.1-2018</w:t>
            </w:r>
          </w:p>
        </w:tc>
      </w:tr>
      <w:tr w14:paraId="6F761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5" w:type="dxa"/>
            <w:noWrap w:val="0"/>
            <w:vAlign w:val="center"/>
          </w:tcPr>
          <w:p w14:paraId="77D7A2F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《工业设备防腐蚀工程施工规范》</w:t>
            </w:r>
          </w:p>
        </w:tc>
        <w:tc>
          <w:tcPr>
            <w:tcW w:w="2265" w:type="dxa"/>
            <w:noWrap w:val="0"/>
            <w:vAlign w:val="center"/>
          </w:tcPr>
          <w:p w14:paraId="21E03D8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 xml:space="preserve">GB 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50726-2012</w:t>
            </w:r>
          </w:p>
        </w:tc>
      </w:tr>
      <w:tr w14:paraId="24E9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5" w:type="dxa"/>
            <w:noWrap w:val="0"/>
            <w:vAlign w:val="center"/>
          </w:tcPr>
          <w:p w14:paraId="297FFE9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《钢材除锈等级与评定》</w:t>
            </w:r>
          </w:p>
        </w:tc>
        <w:tc>
          <w:tcPr>
            <w:tcW w:w="2265" w:type="dxa"/>
            <w:noWrap w:val="0"/>
            <w:vAlign w:val="center"/>
          </w:tcPr>
          <w:p w14:paraId="743DC913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GB/T8923.1-2011</w:t>
            </w:r>
          </w:p>
        </w:tc>
      </w:tr>
      <w:tr w14:paraId="41483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6765" w:type="dxa"/>
            <w:noWrap w:val="0"/>
            <w:vAlign w:val="center"/>
          </w:tcPr>
          <w:p w14:paraId="262B6D22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left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《金属材料焊接质量要求》</w:t>
            </w:r>
          </w:p>
        </w:tc>
        <w:tc>
          <w:tcPr>
            <w:tcW w:w="2265" w:type="dxa"/>
            <w:noWrap w:val="0"/>
            <w:vAlign w:val="center"/>
          </w:tcPr>
          <w:p w14:paraId="5AF6FBC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GB/T12467</w:t>
            </w:r>
          </w:p>
        </w:tc>
      </w:tr>
      <w:tr w14:paraId="65B45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765" w:type="dxa"/>
            <w:noWrap w:val="0"/>
            <w:vAlign w:val="center"/>
          </w:tcPr>
          <w:p w14:paraId="4C6037D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left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《钢结构工程施工及验收规范》</w:t>
            </w:r>
          </w:p>
        </w:tc>
        <w:tc>
          <w:tcPr>
            <w:tcW w:w="2265" w:type="dxa"/>
            <w:noWrap w:val="0"/>
            <w:vAlign w:val="center"/>
          </w:tcPr>
          <w:p w14:paraId="12CA362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ind w:leftChars="0"/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GB50205</w:t>
            </w:r>
          </w:p>
        </w:tc>
      </w:tr>
    </w:tbl>
    <w:p w14:paraId="3AC00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0" w:firstLineChars="100"/>
        <w:textAlignment w:val="auto"/>
        <w:rPr>
          <w:rFonts w:hint="eastAsia" w:ascii="仿宋_GB2312" w:hAnsi="宋体" w:eastAsia="仿宋_GB2312" w:cs="Times New Roman"/>
          <w:sz w:val="30"/>
          <w:szCs w:val="30"/>
          <w:lang w:eastAsia="zh-CN"/>
        </w:rPr>
      </w:pPr>
      <w:r>
        <w:rPr>
          <w:rFonts w:hint="eastAsia" w:ascii="仿宋_GB2312" w:hAnsi="宋体" w:eastAsia="仿宋_GB2312" w:cs="Times New Roman"/>
          <w:sz w:val="30"/>
          <w:szCs w:val="30"/>
          <w:lang w:eastAsia="zh-CN"/>
        </w:rPr>
        <w:t>引用标准如上，但不仅限于此。</w:t>
      </w:r>
    </w:p>
    <w:p w14:paraId="42C4E8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六、方案实施安全可行性分析：</w:t>
      </w:r>
    </w:p>
    <w:p w14:paraId="4875F6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（一）涉及的危险作业及控制措施</w:t>
      </w:r>
    </w:p>
    <w:p w14:paraId="44F601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1.作业地点在车间厂房外，施工过程涉及动火作业、吊装作业、临时用电作业、高处作业。</w:t>
      </w:r>
    </w:p>
    <w:p w14:paraId="692F92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2.控制措施</w:t>
      </w:r>
    </w:p>
    <w:p w14:paraId="75D60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（1）动火作业：作业前落实防火隔离措施。作业前做好氧气乙炔、电焊机等工器具检查确认，现场配备灭火器等消防器材。在规范作业行为下，安全风险受控。</w:t>
      </w:r>
    </w:p>
    <w:p w14:paraId="1BE85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（2）吊装作业：作业前对吊具、辅助工具检查确认，专人吊装指挥，在规范作业行为下，安全风险受控。</w:t>
      </w:r>
    </w:p>
    <w:p w14:paraId="491D1B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（3）临时用电：现场使用检修配电箱做好漏电、接地保护措施，用电负荷满足用电设备安全运行要求。作业前做好电动工器具检查确认和绝缘措施，在规范作业行为下，安全风险受控。</w:t>
      </w:r>
    </w:p>
    <w:p w14:paraId="53184C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4）高处作业：作业前对安全带、系挂点、行走通道的牢固性和可靠性检查确认，无系挂点部位增设安全带系挂点，安全带遵循“高挂低用”原则。拆除作业先拆上面再拆下面，安装时则先安装下面再安装上面。在规范作业行为下，安全风险受控。</w:t>
      </w:r>
    </w:p>
    <w:p w14:paraId="439A2D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施工作业前做好安全措施交底，办理危险作业票和检修工作票签发确认，特种作业人员持证上岗。进入作业区域先进行隐患排查治理工作后再作业，作业过程中施工单位现场安全监护人做好安全监护工作，作业区严格按照非正常生产作业“五同六有”要求落实施工方安全监管。</w:t>
      </w:r>
    </w:p>
    <w:p w14:paraId="59822D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GB-2312" w:hAnsi="仿宋GB-2312" w:eastAsia="仿宋GB-2312" w:cs="仿宋GB-2312"/>
          <w:b/>
          <w:bCs/>
          <w:sz w:val="32"/>
          <w:szCs w:val="32"/>
          <w:highlight w:val="none"/>
          <w:lang w:val="en-US" w:eastAsia="zh-CN"/>
        </w:rPr>
        <w:t>七、维修费用</w:t>
      </w:r>
    </w:p>
    <w:p w14:paraId="757C96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_GB2312" w:hAnsi="宋体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Times New Roman"/>
          <w:sz w:val="30"/>
          <w:szCs w:val="30"/>
          <w:lang w:val="en-US" w:eastAsia="zh-CN"/>
        </w:rPr>
        <w:t>本次维修费用主要为材料费用与人工费用，根据材料、人工费用计算，确定本次改造费用预算为</w:t>
      </w:r>
      <w:r>
        <w:rPr>
          <w:rFonts w:hint="eastAsia" w:ascii="仿宋_GB2312" w:hAnsi="宋体" w:eastAsia="仿宋_GB2312" w:cs="Times New Roman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Times New Roman"/>
          <w:sz w:val="30"/>
          <w:szCs w:val="30"/>
          <w:lang w:val="en-US" w:eastAsia="zh-CN"/>
        </w:rPr>
        <w:t>万元。</w:t>
      </w:r>
    </w:p>
    <w:p w14:paraId="726A2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-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wMDlmNDBjZjU5ZTE3NDEwODFlMDVlNzQwOWNiNDUifQ=="/>
  </w:docVars>
  <w:rsids>
    <w:rsidRoot w:val="00000000"/>
    <w:rsid w:val="01542059"/>
    <w:rsid w:val="01611583"/>
    <w:rsid w:val="01CB5CDE"/>
    <w:rsid w:val="01EC0334"/>
    <w:rsid w:val="02936A01"/>
    <w:rsid w:val="02A604E3"/>
    <w:rsid w:val="02AF383B"/>
    <w:rsid w:val="030B6AE6"/>
    <w:rsid w:val="03C457ED"/>
    <w:rsid w:val="03FF6280"/>
    <w:rsid w:val="04787C5D"/>
    <w:rsid w:val="04893C18"/>
    <w:rsid w:val="04FA4B16"/>
    <w:rsid w:val="053578FC"/>
    <w:rsid w:val="05681A7F"/>
    <w:rsid w:val="05856B4D"/>
    <w:rsid w:val="05B922DB"/>
    <w:rsid w:val="064C75F3"/>
    <w:rsid w:val="094E5430"/>
    <w:rsid w:val="0A424F95"/>
    <w:rsid w:val="0A747223"/>
    <w:rsid w:val="0AF41E65"/>
    <w:rsid w:val="0AF67B2D"/>
    <w:rsid w:val="0C313968"/>
    <w:rsid w:val="0C7D15AC"/>
    <w:rsid w:val="0C973276"/>
    <w:rsid w:val="0CAA191D"/>
    <w:rsid w:val="0D0429D6"/>
    <w:rsid w:val="0D904269"/>
    <w:rsid w:val="0E0769CC"/>
    <w:rsid w:val="0E1409F6"/>
    <w:rsid w:val="0E1A674D"/>
    <w:rsid w:val="0E2F59FA"/>
    <w:rsid w:val="0E8F160E"/>
    <w:rsid w:val="0EF40828"/>
    <w:rsid w:val="0F841BAC"/>
    <w:rsid w:val="11226EB7"/>
    <w:rsid w:val="11333A47"/>
    <w:rsid w:val="117D4B05"/>
    <w:rsid w:val="12833EAC"/>
    <w:rsid w:val="13901C58"/>
    <w:rsid w:val="13EB5340"/>
    <w:rsid w:val="14ED3C01"/>
    <w:rsid w:val="15387C01"/>
    <w:rsid w:val="156C55BC"/>
    <w:rsid w:val="15CC7E09"/>
    <w:rsid w:val="16ED25F3"/>
    <w:rsid w:val="17215F32"/>
    <w:rsid w:val="17F378CF"/>
    <w:rsid w:val="18335F1D"/>
    <w:rsid w:val="184B770B"/>
    <w:rsid w:val="187C5B16"/>
    <w:rsid w:val="18A74FEA"/>
    <w:rsid w:val="18D47700"/>
    <w:rsid w:val="190F698A"/>
    <w:rsid w:val="19192192"/>
    <w:rsid w:val="192E4E61"/>
    <w:rsid w:val="1AD80FFE"/>
    <w:rsid w:val="1AF25698"/>
    <w:rsid w:val="1B065B6B"/>
    <w:rsid w:val="1B1C1476"/>
    <w:rsid w:val="1BEA220E"/>
    <w:rsid w:val="1C6775FD"/>
    <w:rsid w:val="1CB665FA"/>
    <w:rsid w:val="1D8A24E1"/>
    <w:rsid w:val="1FC048AC"/>
    <w:rsid w:val="20027121"/>
    <w:rsid w:val="213D5F1B"/>
    <w:rsid w:val="23F02367"/>
    <w:rsid w:val="246D1F9D"/>
    <w:rsid w:val="25440E2B"/>
    <w:rsid w:val="25E74E9B"/>
    <w:rsid w:val="2685028B"/>
    <w:rsid w:val="27D55B2A"/>
    <w:rsid w:val="283E523E"/>
    <w:rsid w:val="29424212"/>
    <w:rsid w:val="29B303E9"/>
    <w:rsid w:val="29D85FBA"/>
    <w:rsid w:val="2A187260"/>
    <w:rsid w:val="2AA53F5E"/>
    <w:rsid w:val="2AD7158C"/>
    <w:rsid w:val="2B18076C"/>
    <w:rsid w:val="2BBD5CB2"/>
    <w:rsid w:val="2BF57C61"/>
    <w:rsid w:val="2C0A2FA9"/>
    <w:rsid w:val="2C8D280B"/>
    <w:rsid w:val="2C8E6A23"/>
    <w:rsid w:val="2D7240FD"/>
    <w:rsid w:val="2E01716D"/>
    <w:rsid w:val="2E8839A6"/>
    <w:rsid w:val="300943CD"/>
    <w:rsid w:val="3090076F"/>
    <w:rsid w:val="30DD63F1"/>
    <w:rsid w:val="310E0D7C"/>
    <w:rsid w:val="311C1E06"/>
    <w:rsid w:val="31846DE5"/>
    <w:rsid w:val="32CB7E33"/>
    <w:rsid w:val="33114C55"/>
    <w:rsid w:val="33AA5103"/>
    <w:rsid w:val="33AC58FA"/>
    <w:rsid w:val="34E22BD7"/>
    <w:rsid w:val="35552D0C"/>
    <w:rsid w:val="35E84393"/>
    <w:rsid w:val="367D3721"/>
    <w:rsid w:val="37251963"/>
    <w:rsid w:val="37F708BD"/>
    <w:rsid w:val="38A471E9"/>
    <w:rsid w:val="38B7004D"/>
    <w:rsid w:val="38D330D8"/>
    <w:rsid w:val="39B05B3D"/>
    <w:rsid w:val="39E437CE"/>
    <w:rsid w:val="39F41558"/>
    <w:rsid w:val="3AD43138"/>
    <w:rsid w:val="3BDF38D3"/>
    <w:rsid w:val="3BF70E8C"/>
    <w:rsid w:val="3C076700"/>
    <w:rsid w:val="3D566086"/>
    <w:rsid w:val="3D9C2405"/>
    <w:rsid w:val="3E9A1FA2"/>
    <w:rsid w:val="3F3B4368"/>
    <w:rsid w:val="40646E09"/>
    <w:rsid w:val="41C37DA6"/>
    <w:rsid w:val="42022339"/>
    <w:rsid w:val="423A1DC7"/>
    <w:rsid w:val="424010B3"/>
    <w:rsid w:val="42E45DEE"/>
    <w:rsid w:val="43FD54AD"/>
    <w:rsid w:val="440A0B95"/>
    <w:rsid w:val="4447497A"/>
    <w:rsid w:val="45D25C93"/>
    <w:rsid w:val="47217705"/>
    <w:rsid w:val="47F6293F"/>
    <w:rsid w:val="4981092F"/>
    <w:rsid w:val="4A3B0ADD"/>
    <w:rsid w:val="4B570551"/>
    <w:rsid w:val="4CAC7A71"/>
    <w:rsid w:val="4F0F42E7"/>
    <w:rsid w:val="50685DDC"/>
    <w:rsid w:val="50875494"/>
    <w:rsid w:val="514E5456"/>
    <w:rsid w:val="518F602D"/>
    <w:rsid w:val="529C40E3"/>
    <w:rsid w:val="52DD4E28"/>
    <w:rsid w:val="53A414A2"/>
    <w:rsid w:val="53A817EE"/>
    <w:rsid w:val="54071A30"/>
    <w:rsid w:val="54AD6A7C"/>
    <w:rsid w:val="54F93A6F"/>
    <w:rsid w:val="56A50890"/>
    <w:rsid w:val="56C2129B"/>
    <w:rsid w:val="572F28DB"/>
    <w:rsid w:val="587F6039"/>
    <w:rsid w:val="58AC31AF"/>
    <w:rsid w:val="58E55464"/>
    <w:rsid w:val="5A237A00"/>
    <w:rsid w:val="5B1C744B"/>
    <w:rsid w:val="5B411CCC"/>
    <w:rsid w:val="5C104916"/>
    <w:rsid w:val="5C1520B2"/>
    <w:rsid w:val="5E257683"/>
    <w:rsid w:val="5FC66C44"/>
    <w:rsid w:val="601C4AB5"/>
    <w:rsid w:val="6063693D"/>
    <w:rsid w:val="6071224D"/>
    <w:rsid w:val="60E92BEA"/>
    <w:rsid w:val="61C947C9"/>
    <w:rsid w:val="61F3769C"/>
    <w:rsid w:val="62061506"/>
    <w:rsid w:val="63715118"/>
    <w:rsid w:val="641E29AB"/>
    <w:rsid w:val="64347707"/>
    <w:rsid w:val="645A6607"/>
    <w:rsid w:val="646D1D84"/>
    <w:rsid w:val="646D59A9"/>
    <w:rsid w:val="64AB0BE5"/>
    <w:rsid w:val="65312DB1"/>
    <w:rsid w:val="6597768B"/>
    <w:rsid w:val="65F71905"/>
    <w:rsid w:val="665F56FC"/>
    <w:rsid w:val="66EB25E8"/>
    <w:rsid w:val="676F7BC1"/>
    <w:rsid w:val="67980EC5"/>
    <w:rsid w:val="67D62349"/>
    <w:rsid w:val="681F3395"/>
    <w:rsid w:val="68C53F3C"/>
    <w:rsid w:val="699833FF"/>
    <w:rsid w:val="6A325601"/>
    <w:rsid w:val="6B3158B9"/>
    <w:rsid w:val="6D9273BA"/>
    <w:rsid w:val="6DBB590E"/>
    <w:rsid w:val="6DE24967"/>
    <w:rsid w:val="6E210071"/>
    <w:rsid w:val="6F742218"/>
    <w:rsid w:val="6F8C57B4"/>
    <w:rsid w:val="70EB29E6"/>
    <w:rsid w:val="72DE0659"/>
    <w:rsid w:val="73010267"/>
    <w:rsid w:val="737C78ED"/>
    <w:rsid w:val="7467234B"/>
    <w:rsid w:val="74EA47B0"/>
    <w:rsid w:val="75071199"/>
    <w:rsid w:val="75FC6AC3"/>
    <w:rsid w:val="76E029B2"/>
    <w:rsid w:val="77FD7030"/>
    <w:rsid w:val="78782D79"/>
    <w:rsid w:val="78D61C6E"/>
    <w:rsid w:val="78DC5ED9"/>
    <w:rsid w:val="7AE11699"/>
    <w:rsid w:val="7B95774F"/>
    <w:rsid w:val="7BEE289A"/>
    <w:rsid w:val="7C8228F7"/>
    <w:rsid w:val="7CA92573"/>
    <w:rsid w:val="7CCF4F32"/>
    <w:rsid w:val="7DFA5FDE"/>
    <w:rsid w:val="7EE84594"/>
    <w:rsid w:val="7F6B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Calibri" w:hAnsi="Calibri" w:cs="Calibri"/>
      <w:kern w:val="2"/>
      <w:sz w:val="21"/>
      <w:szCs w:val="21"/>
      <w:lang w:val="en-US" w:eastAsia="zh-CN" w:bidi="ar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 样式 行距: 1.5 倍行距 + 两端对齐 Char"/>
    <w:basedOn w:val="1"/>
    <w:qFormat/>
    <w:uiPriority w:val="99"/>
    <w:pPr>
      <w:adjustRightInd w:val="0"/>
      <w:snapToGrid w:val="0"/>
      <w:ind w:firstLine="48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1902</Words>
  <Characters>2043</Characters>
  <Lines>0</Lines>
  <Paragraphs>0</Paragraphs>
  <TotalTime>2</TotalTime>
  <ScaleCrop>false</ScaleCrop>
  <LinksUpToDate>false</LinksUpToDate>
  <CharactersWithSpaces>2053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2021-08-17T05:56:00Z</dcterms:created>
  <dc:creator>Administrator</dc:creator>
  <cp:lastModifiedBy>张志勇</cp:lastModifiedBy>
  <dcterms:modified xsi:type="dcterms:W3CDTF">2026-05-29T03:21:22Z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6B2A3CC56A6A42FF9C331546A67EC760</vt:lpwstr>
  </property>
  <property fmtid="{D5CDD505-2E9C-101B-9397-08002B2CF9AE}" pid="4" name="KSOTemplateDocerSaveRecord">
    <vt:lpwstr>eyJoZGlkIjoiYTcyYTE3NmRhNmI0OTY0YWEyNWU5OWQyNzE5ZWMyOTMiLCJ1c2VySWQiOiIxNDg5MzA5MDE3In0=</vt:lpwstr>
  </property>
</Properties>
</file>