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C93A8">
      <w:pPr>
        <w:jc w:val="center"/>
        <w:rPr>
          <w:rFonts w:hint="eastAsia" w:ascii="创艺简仿宋" w:eastAsia="创艺简仿宋"/>
          <w:b w:val="0"/>
          <w:bCs/>
          <w:color w:val="auto"/>
          <w:sz w:val="30"/>
          <w:szCs w:val="30"/>
          <w:lang w:val="en-US" w:eastAsia="zh-CN"/>
        </w:rPr>
      </w:pPr>
    </w:p>
    <w:p w14:paraId="2E0056A7">
      <w:pPr>
        <w:pStyle w:val="14"/>
        <w:rPr>
          <w:rFonts w:hint="eastAsia"/>
          <w:color w:val="auto"/>
        </w:rPr>
      </w:pPr>
    </w:p>
    <w:p w14:paraId="7E7C8E1A">
      <w:pPr>
        <w:pStyle w:val="14"/>
        <w:rPr>
          <w:rFonts w:hint="eastAsia"/>
          <w:color w:val="auto"/>
        </w:rPr>
      </w:pPr>
    </w:p>
    <w:p w14:paraId="61575D57">
      <w:pPr>
        <w:widowControl/>
        <w:wordWrap w:val="0"/>
        <w:spacing w:before="100" w:beforeAutospacing="1" w:after="100" w:afterAutospacing="1"/>
        <w:jc w:val="center"/>
        <w:rPr>
          <w:rFonts w:hint="eastAsia" w:ascii="华文中宋" w:hAnsi="华文中宋" w:eastAsia="华文中宋" w:cs="华文中宋"/>
          <w:b/>
          <w:color w:val="auto"/>
          <w:kern w:val="0"/>
          <w:sz w:val="36"/>
          <w:szCs w:val="36"/>
          <w:highlight w:val="none"/>
          <w:lang w:eastAsia="zh-CN"/>
        </w:rPr>
      </w:pPr>
      <w:r>
        <w:rPr>
          <w:rFonts w:hint="eastAsia" w:ascii="华文中宋" w:hAnsi="华文中宋" w:eastAsia="华文中宋" w:cs="华文中宋"/>
          <w:b/>
          <w:color w:val="auto"/>
          <w:kern w:val="0"/>
          <w:sz w:val="36"/>
          <w:szCs w:val="36"/>
          <w:highlight w:val="none"/>
          <w:lang w:eastAsia="zh-CN"/>
        </w:rPr>
        <w:t>甘肃宏基检测有限公司</w:t>
      </w:r>
      <w:r>
        <w:rPr>
          <w:rFonts w:hint="eastAsia" w:ascii="华文中宋" w:hAnsi="华文中宋" w:eastAsia="华文中宋" w:cs="华文中宋"/>
          <w:b/>
          <w:color w:val="auto"/>
          <w:kern w:val="0"/>
          <w:sz w:val="36"/>
          <w:szCs w:val="36"/>
          <w:highlight w:val="none"/>
          <w:lang w:val="en-US" w:eastAsia="zh-CN"/>
        </w:rPr>
        <w:t>2025年抽风橱及气体汇流装置维修</w:t>
      </w:r>
      <w:r>
        <w:rPr>
          <w:rFonts w:hint="eastAsia" w:ascii="华文中宋" w:hAnsi="华文中宋" w:eastAsia="华文中宋" w:cs="华文中宋"/>
          <w:b/>
          <w:color w:val="auto"/>
          <w:kern w:val="0"/>
          <w:sz w:val="36"/>
          <w:szCs w:val="36"/>
          <w:highlight w:val="none"/>
          <w:lang w:eastAsia="zh-CN"/>
        </w:rPr>
        <w:t>技术规格书</w:t>
      </w:r>
    </w:p>
    <w:p w14:paraId="08FA640E">
      <w:pPr>
        <w:jc w:val="center"/>
        <w:rPr>
          <w:rFonts w:hint="eastAsia" w:ascii="创艺简仿宋" w:eastAsia="创艺简仿宋"/>
          <w:color w:val="auto"/>
          <w:sz w:val="28"/>
          <w:szCs w:val="28"/>
          <w:lang w:eastAsia="zh-CN"/>
        </w:rPr>
      </w:pPr>
    </w:p>
    <w:p w14:paraId="2B973841">
      <w:pPr>
        <w:jc w:val="center"/>
        <w:rPr>
          <w:rFonts w:hint="eastAsia" w:ascii="创艺简仿宋" w:eastAsia="创艺简仿宋"/>
          <w:color w:val="auto"/>
          <w:sz w:val="28"/>
          <w:szCs w:val="28"/>
        </w:rPr>
      </w:pPr>
    </w:p>
    <w:p w14:paraId="6C94C108">
      <w:pPr>
        <w:pStyle w:val="13"/>
        <w:rPr>
          <w:rFonts w:hint="eastAsia"/>
        </w:rPr>
      </w:pPr>
    </w:p>
    <w:p w14:paraId="0F8A4E11">
      <w:pPr>
        <w:jc w:val="center"/>
        <w:rPr>
          <w:rFonts w:hint="eastAsia" w:ascii="创艺简仿宋" w:eastAsia="创艺简仿宋"/>
          <w:color w:val="auto"/>
          <w:sz w:val="28"/>
          <w:szCs w:val="28"/>
        </w:rPr>
      </w:pPr>
    </w:p>
    <w:p w14:paraId="6C13C8AF">
      <w:pPr>
        <w:jc w:val="center"/>
        <w:rPr>
          <w:rFonts w:hint="eastAsia" w:ascii="创艺简仿宋" w:eastAsia="创艺简仿宋"/>
          <w:color w:val="auto"/>
          <w:sz w:val="28"/>
          <w:szCs w:val="28"/>
        </w:rPr>
      </w:pPr>
    </w:p>
    <w:p w14:paraId="05CFCB4B">
      <w:pPr>
        <w:ind w:firstLine="900" w:firstLineChars="300"/>
        <w:rPr>
          <w:rFonts w:hint="eastAsia" w:ascii="楷体" w:hAnsi="楷体" w:eastAsia="楷体" w:cs="楷体"/>
          <w:color w:val="auto"/>
          <w:sz w:val="30"/>
          <w:szCs w:val="30"/>
          <w:u w:val="single"/>
        </w:rPr>
      </w:pPr>
      <w:r>
        <w:rPr>
          <w:rFonts w:hint="eastAsia" w:ascii="楷体" w:hAnsi="楷体" w:eastAsia="楷体" w:cs="楷体"/>
          <w:color w:val="auto"/>
          <w:sz w:val="30"/>
          <w:szCs w:val="30"/>
          <w:lang w:val="en-US" w:eastAsia="zh-CN"/>
        </w:rPr>
        <w:t>委托</w:t>
      </w:r>
      <w:r>
        <w:rPr>
          <w:rFonts w:hint="eastAsia" w:ascii="楷体" w:hAnsi="楷体" w:eastAsia="楷体" w:cs="楷体"/>
          <w:color w:val="auto"/>
          <w:sz w:val="30"/>
          <w:szCs w:val="30"/>
        </w:rPr>
        <w:t>方（甲方）：</w:t>
      </w:r>
      <w:r>
        <w:rPr>
          <w:rFonts w:hint="eastAsia" w:ascii="楷体" w:hAnsi="楷体" w:eastAsia="楷体" w:cs="楷体"/>
          <w:color w:val="auto"/>
          <w:sz w:val="30"/>
          <w:szCs w:val="30"/>
          <w:u w:val="single"/>
        </w:rPr>
        <w:t>甘肃宏基检测有限公司</w:t>
      </w:r>
    </w:p>
    <w:p w14:paraId="1B060FD4">
      <w:pPr>
        <w:ind w:firstLine="1050" w:firstLineChars="350"/>
        <w:rPr>
          <w:rFonts w:hint="eastAsia" w:ascii="楷体" w:hAnsi="楷体" w:eastAsia="楷体" w:cs="楷体"/>
          <w:color w:val="auto"/>
          <w:sz w:val="30"/>
          <w:szCs w:val="30"/>
          <w:u w:val="single"/>
        </w:rPr>
      </w:pPr>
    </w:p>
    <w:p w14:paraId="17900756">
      <w:pPr>
        <w:ind w:firstLine="900" w:firstLineChars="300"/>
        <w:rPr>
          <w:rFonts w:hint="default" w:ascii="楷体" w:hAnsi="楷体" w:eastAsia="楷体" w:cs="楷体"/>
          <w:color w:val="auto"/>
          <w:sz w:val="30"/>
          <w:szCs w:val="30"/>
          <w:u w:val="single"/>
          <w:lang w:val="en-US"/>
        </w:rPr>
      </w:pPr>
      <w:r>
        <w:rPr>
          <w:rFonts w:hint="eastAsia" w:ascii="楷体" w:hAnsi="楷体" w:eastAsia="楷体" w:cs="楷体"/>
          <w:color w:val="auto"/>
          <w:sz w:val="30"/>
          <w:szCs w:val="30"/>
        </w:rPr>
        <w:t>承揽方（乙方）：</w:t>
      </w:r>
      <w:r>
        <w:rPr>
          <w:rFonts w:hint="eastAsia" w:ascii="楷体" w:hAnsi="楷体" w:eastAsia="楷体" w:cs="楷体"/>
          <w:color w:val="auto"/>
          <w:kern w:val="0"/>
          <w:sz w:val="30"/>
          <w:szCs w:val="30"/>
          <w:highlight w:val="none"/>
          <w:u w:val="single"/>
          <w:lang w:val="en-US" w:eastAsia="zh-CN"/>
        </w:rPr>
        <w:t xml:space="preserve">                    </w:t>
      </w:r>
    </w:p>
    <w:p w14:paraId="2B48B899">
      <w:pPr>
        <w:jc w:val="center"/>
        <w:rPr>
          <w:rFonts w:hint="eastAsia" w:ascii="创艺简仿宋" w:eastAsia="创艺简仿宋"/>
          <w:color w:val="auto"/>
          <w:sz w:val="28"/>
          <w:szCs w:val="28"/>
        </w:rPr>
      </w:pPr>
    </w:p>
    <w:p w14:paraId="400CA5B5">
      <w:pPr>
        <w:jc w:val="center"/>
        <w:rPr>
          <w:rFonts w:hint="eastAsia" w:ascii="创艺简仿宋" w:eastAsia="创艺简仿宋"/>
          <w:color w:val="auto"/>
          <w:sz w:val="28"/>
          <w:szCs w:val="28"/>
        </w:rPr>
      </w:pPr>
    </w:p>
    <w:p w14:paraId="3E03A5E6">
      <w:pPr>
        <w:jc w:val="center"/>
        <w:rPr>
          <w:rFonts w:hint="eastAsia" w:ascii="创艺简仿宋" w:eastAsia="创艺简仿宋"/>
          <w:color w:val="auto"/>
          <w:sz w:val="28"/>
          <w:szCs w:val="28"/>
        </w:rPr>
      </w:pPr>
    </w:p>
    <w:p w14:paraId="70A262EE">
      <w:pPr>
        <w:jc w:val="center"/>
        <w:rPr>
          <w:rFonts w:hint="eastAsia" w:ascii="创艺简仿宋" w:eastAsia="创艺简仿宋"/>
          <w:color w:val="auto"/>
          <w:sz w:val="28"/>
          <w:szCs w:val="28"/>
        </w:rPr>
      </w:pPr>
    </w:p>
    <w:p w14:paraId="24C92549">
      <w:pPr>
        <w:jc w:val="center"/>
        <w:rPr>
          <w:rFonts w:hint="eastAsia" w:ascii="创艺简仿宋" w:eastAsia="创艺简仿宋"/>
          <w:color w:val="auto"/>
          <w:sz w:val="28"/>
          <w:szCs w:val="28"/>
        </w:rPr>
      </w:pPr>
    </w:p>
    <w:p w14:paraId="377CB5FB">
      <w:pPr>
        <w:ind w:firstLine="2100" w:firstLineChars="700"/>
        <w:rPr>
          <w:rFonts w:hint="eastAsia" w:ascii="楷体" w:hAnsi="楷体" w:eastAsia="楷体" w:cs="楷体"/>
          <w:color w:val="auto"/>
          <w:sz w:val="30"/>
          <w:szCs w:val="30"/>
          <w:u w:val="single"/>
          <w:lang w:val="en-US" w:eastAsia="zh-CN"/>
        </w:rPr>
      </w:pPr>
    </w:p>
    <w:p w14:paraId="4E1AD834">
      <w:pPr>
        <w:rPr>
          <w:rFonts w:hint="eastAsia" w:ascii="楷体" w:hAnsi="楷体" w:eastAsia="楷体" w:cs="楷体"/>
          <w:color w:val="auto"/>
          <w:sz w:val="30"/>
          <w:szCs w:val="30"/>
          <w:lang w:val="en-US" w:eastAsia="zh-CN"/>
        </w:rPr>
      </w:pPr>
      <w:r>
        <w:rPr>
          <w:rFonts w:hint="eastAsia" w:ascii="楷体" w:hAnsi="楷体" w:eastAsia="楷体" w:cs="楷体"/>
          <w:color w:val="auto"/>
          <w:sz w:val="30"/>
          <w:szCs w:val="30"/>
          <w:lang w:val="en-US" w:eastAsia="zh-CN"/>
        </w:rPr>
        <w:br w:type="page"/>
      </w:r>
    </w:p>
    <w:p w14:paraId="3CFD1339">
      <w:pPr>
        <w:rPr>
          <w:rFonts w:hint="eastAsia" w:ascii="楷体" w:hAnsi="楷体" w:eastAsia="楷体" w:cs="楷体"/>
          <w:color w:val="auto"/>
          <w:sz w:val="30"/>
          <w:szCs w:val="30"/>
        </w:rPr>
      </w:pPr>
      <w:r>
        <w:rPr>
          <w:rFonts w:hint="eastAsia" w:ascii="楷体" w:hAnsi="楷体" w:eastAsia="楷体" w:cs="楷体"/>
          <w:color w:val="auto"/>
          <w:sz w:val="30"/>
          <w:szCs w:val="30"/>
          <w:lang w:val="en-US" w:eastAsia="zh-CN"/>
        </w:rPr>
        <w:t>委托方</w:t>
      </w:r>
      <w:r>
        <w:rPr>
          <w:rFonts w:hint="eastAsia" w:ascii="楷体" w:hAnsi="楷体" w:eastAsia="楷体" w:cs="楷体"/>
          <w:color w:val="auto"/>
          <w:sz w:val="30"/>
          <w:szCs w:val="30"/>
        </w:rPr>
        <w:t>（甲方）</w:t>
      </w:r>
      <w:r>
        <w:rPr>
          <w:rFonts w:hint="eastAsia" w:ascii="楷体" w:hAnsi="楷体" w:eastAsia="楷体" w:cs="楷体"/>
          <w:color w:val="auto"/>
          <w:sz w:val="30"/>
          <w:szCs w:val="30"/>
          <w:lang w:eastAsia="zh-CN"/>
        </w:rPr>
        <w:t>：</w:t>
      </w:r>
      <w:r>
        <w:rPr>
          <w:rFonts w:hint="eastAsia" w:ascii="楷体" w:hAnsi="楷体" w:eastAsia="楷体" w:cs="楷体"/>
          <w:color w:val="auto"/>
          <w:sz w:val="30"/>
          <w:szCs w:val="30"/>
        </w:rPr>
        <w:t>甘肃宏基检测有限公司</w:t>
      </w:r>
    </w:p>
    <w:p w14:paraId="5A6DA74F">
      <w:pPr>
        <w:rPr>
          <w:rFonts w:hint="eastAsia" w:ascii="楷体" w:hAnsi="楷体" w:eastAsia="楷体" w:cs="楷体"/>
          <w:color w:val="auto"/>
          <w:sz w:val="30"/>
          <w:szCs w:val="30"/>
        </w:rPr>
      </w:pPr>
      <w:r>
        <w:rPr>
          <w:rFonts w:hint="eastAsia" w:ascii="楷体" w:hAnsi="楷体" w:eastAsia="楷体" w:cs="楷体"/>
          <w:color w:val="auto"/>
          <w:sz w:val="30"/>
          <w:szCs w:val="30"/>
        </w:rPr>
        <w:t>承揽</w:t>
      </w:r>
      <w:r>
        <w:rPr>
          <w:rFonts w:hint="eastAsia" w:ascii="楷体" w:hAnsi="楷体" w:eastAsia="楷体" w:cs="楷体"/>
          <w:color w:val="auto"/>
          <w:sz w:val="30"/>
          <w:szCs w:val="30"/>
          <w:lang w:val="en-US" w:eastAsia="zh-CN"/>
        </w:rPr>
        <w:t>方</w:t>
      </w:r>
      <w:r>
        <w:rPr>
          <w:rFonts w:hint="eastAsia" w:ascii="楷体" w:hAnsi="楷体" w:eastAsia="楷体" w:cs="楷体"/>
          <w:color w:val="auto"/>
          <w:sz w:val="30"/>
          <w:szCs w:val="30"/>
        </w:rPr>
        <w:t>（乙方）</w:t>
      </w:r>
      <w:r>
        <w:rPr>
          <w:rFonts w:hint="eastAsia" w:ascii="楷体" w:hAnsi="楷体" w:eastAsia="楷体" w:cs="楷体"/>
          <w:color w:val="auto"/>
          <w:sz w:val="30"/>
          <w:szCs w:val="30"/>
          <w:lang w:eastAsia="zh-CN"/>
        </w:rPr>
        <w:t>：</w:t>
      </w:r>
    </w:p>
    <w:p w14:paraId="12A22F0E">
      <w:pPr>
        <w:rPr>
          <w:rFonts w:hint="eastAsia" w:ascii="黑体" w:hAnsi="黑体" w:eastAsia="黑体" w:cs="黑体"/>
          <w:b/>
          <w:color w:val="auto"/>
          <w:sz w:val="32"/>
          <w:szCs w:val="32"/>
          <w:lang w:val="en-US" w:eastAsia="zh-CN"/>
        </w:rPr>
      </w:pPr>
      <w:r>
        <w:rPr>
          <w:rFonts w:hint="eastAsia" w:ascii="黑体" w:hAnsi="黑体" w:eastAsia="黑体" w:cs="黑体"/>
          <w:b/>
          <w:color w:val="auto"/>
          <w:sz w:val="32"/>
          <w:szCs w:val="32"/>
          <w:lang w:val="en-US" w:eastAsia="zh-CN"/>
        </w:rPr>
        <w:t>一、总则</w:t>
      </w:r>
    </w:p>
    <w:p w14:paraId="18718E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本技术</w:t>
      </w:r>
      <w:r>
        <w:rPr>
          <w:rFonts w:hint="eastAsia" w:ascii="仿宋" w:hAnsi="仿宋" w:eastAsia="仿宋" w:cs="仿宋"/>
          <w:color w:val="auto"/>
          <w:sz w:val="32"/>
          <w:szCs w:val="32"/>
          <w:lang w:eastAsia="zh-CN"/>
        </w:rPr>
        <w:t>规格书</w:t>
      </w:r>
      <w:r>
        <w:rPr>
          <w:rFonts w:hint="eastAsia" w:ascii="仿宋" w:hAnsi="仿宋" w:eastAsia="仿宋" w:cs="仿宋"/>
          <w:color w:val="auto"/>
          <w:sz w:val="32"/>
          <w:szCs w:val="32"/>
        </w:rPr>
        <w:t>适用于甘肃宏基检测有限公司</w:t>
      </w:r>
      <w:r>
        <w:rPr>
          <w:rFonts w:hint="eastAsia" w:ascii="仿宋" w:hAnsi="仿宋" w:eastAsia="仿宋" w:cs="仿宋"/>
          <w:color w:val="auto"/>
          <w:sz w:val="32"/>
          <w:szCs w:val="32"/>
          <w:lang w:val="en-US" w:eastAsia="zh-CN"/>
        </w:rPr>
        <w:t>2024年抽风橱及气体汇流装置维修</w:t>
      </w:r>
      <w:r>
        <w:rPr>
          <w:rFonts w:hint="eastAsia" w:ascii="仿宋" w:hAnsi="仿宋" w:eastAsia="仿宋" w:cs="仿宋"/>
          <w:color w:val="auto"/>
          <w:sz w:val="32"/>
          <w:szCs w:val="32"/>
          <w:lang w:eastAsia="zh-CN"/>
        </w:rPr>
        <w:t>服务</w:t>
      </w:r>
      <w:r>
        <w:rPr>
          <w:rFonts w:hint="eastAsia" w:ascii="仿宋" w:hAnsi="仿宋" w:eastAsia="仿宋" w:cs="仿宋"/>
          <w:color w:val="auto"/>
          <w:sz w:val="32"/>
          <w:szCs w:val="32"/>
        </w:rPr>
        <w:t>采购；经双方确认后作为合同的附件，与合同正文具有同等法律效力。合同执行期间双方再协商形成的补充协议和追加条款也具有同等法律效力。</w:t>
      </w:r>
    </w:p>
    <w:p w14:paraId="0228A403">
      <w:pPr>
        <w:rPr>
          <w:rFonts w:hint="eastAsia" w:ascii="黑体" w:hAnsi="黑体" w:eastAsia="黑体" w:cs="黑体"/>
          <w:b/>
          <w:bCs w:val="0"/>
          <w:color w:val="auto"/>
          <w:sz w:val="32"/>
          <w:szCs w:val="32"/>
          <w:lang w:val="en-US" w:eastAsia="zh-CN"/>
        </w:rPr>
      </w:pPr>
      <w:r>
        <w:rPr>
          <w:rFonts w:hint="eastAsia" w:ascii="黑体" w:hAnsi="黑体" w:eastAsia="黑体" w:cs="黑体"/>
          <w:b/>
          <w:bCs w:val="0"/>
          <w:color w:val="auto"/>
          <w:sz w:val="32"/>
          <w:szCs w:val="32"/>
          <w:lang w:val="en-US" w:eastAsia="zh-CN"/>
        </w:rPr>
        <w:t>二、维修内容</w:t>
      </w:r>
    </w:p>
    <w:p w14:paraId="1ADE890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1.对黑色金属检验站焦化区域4台抽风橱进行大修，更换老化电气线路、控制系统、PVC管道。对防爆风机进行维护保养。</w:t>
      </w:r>
    </w:p>
    <w:p w14:paraId="6D2AFA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val="en-US" w:eastAsia="zh-CN"/>
        </w:rPr>
        <w:t>.对现有柜体进行拆解后搬迁至黑色金属检验站焦化区域二楼气相色谱室后进行重新安装、调试。</w:t>
      </w:r>
    </w:p>
    <w:p w14:paraId="22DF4F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pPr>
      <w:r>
        <w:rPr>
          <w:rFonts w:hint="eastAsia" w:ascii="仿宋" w:hAnsi="仿宋" w:eastAsia="仿宋" w:cs="仿宋"/>
          <w:color w:val="auto"/>
          <w:sz w:val="32"/>
          <w:szCs w:val="32"/>
          <w:lang w:val="en-US" w:eastAsia="zh-CN"/>
        </w:rPr>
        <w:t>3.对黑色金属检验站炼钢区域气体管路进行维修改造，将现有气瓶暂存间搬迁至1楼气瓶室，增加气体汇流装置并安装固定式氧气报警器、固定式一氧化碳报警器</w:t>
      </w:r>
      <w:r>
        <w:rPr>
          <w:rFonts w:hint="eastAsia" w:ascii="仿宋_GB2312" w:hAnsi="宋体" w:eastAsia="仿宋_GB2312" w:cs="仿宋_GB2312"/>
          <w:color w:val="000000"/>
          <w:kern w:val="0"/>
          <w:sz w:val="31"/>
          <w:szCs w:val="31"/>
          <w:lang w:val="en-US" w:eastAsia="zh-CN" w:bidi="ar"/>
        </w:rPr>
        <w:t>。</w:t>
      </w:r>
    </w:p>
    <w:p w14:paraId="4C210C05">
      <w:pPr>
        <w:rPr>
          <w:rFonts w:hint="eastAsia" w:ascii="黑体" w:hAnsi="黑体" w:eastAsia="黑体" w:cs="黑体"/>
          <w:b/>
          <w:bCs w:val="0"/>
          <w:color w:val="auto"/>
          <w:sz w:val="32"/>
          <w:szCs w:val="32"/>
          <w:lang w:val="en-US" w:eastAsia="zh-CN"/>
        </w:rPr>
      </w:pPr>
      <w:r>
        <w:rPr>
          <w:rFonts w:hint="eastAsia" w:ascii="黑体" w:hAnsi="黑体" w:eastAsia="黑体" w:cs="黑体"/>
          <w:b/>
          <w:bCs w:val="0"/>
          <w:color w:val="auto"/>
          <w:sz w:val="32"/>
          <w:szCs w:val="32"/>
          <w:lang w:val="en-US" w:eastAsia="zh-CN"/>
        </w:rPr>
        <w:t>三、质保</w:t>
      </w:r>
    </w:p>
    <w:p w14:paraId="709EB3D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1.维修质保期为12个月，包含更换备件，质保期从设备验收</w:t>
      </w:r>
      <w:bookmarkStart w:id="0" w:name="_GoBack"/>
      <w:bookmarkEnd w:id="0"/>
      <w:r>
        <w:rPr>
          <w:rFonts w:hint="eastAsia" w:ascii="仿宋" w:hAnsi="仿宋" w:eastAsia="仿宋" w:cs="仿宋"/>
          <w:color w:val="auto"/>
          <w:sz w:val="32"/>
          <w:szCs w:val="32"/>
          <w:lang w:val="en-US" w:eastAsia="zh-CN"/>
        </w:rPr>
        <w:t>合格后甲、乙双方签署验收报告之日起计算。质保期内出现故障，乙方接到甲方通知后48小时内到达甲方现场，免费解决存在故障、更换备件，所更换备件必须是本协议中规定的备件。</w:t>
      </w:r>
    </w:p>
    <w:p w14:paraId="0D0680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2.故障率：设备连续正常运行12个月无大故障。</w:t>
      </w:r>
    </w:p>
    <w:p w14:paraId="2D42242B">
      <w:pPr>
        <w:pStyle w:val="8"/>
        <w:ind w:left="0" w:leftChars="0" w:firstLine="600" w:firstLineChars="200"/>
        <w:rPr>
          <w:rFonts w:hint="eastAsia"/>
          <w:lang w:val="en-US" w:eastAsia="zh-CN"/>
        </w:rPr>
      </w:pPr>
    </w:p>
    <w:p w14:paraId="575941BD">
      <w:pPr>
        <w:keepNext w:val="0"/>
        <w:keepLines w:val="0"/>
        <w:pageBreakBefore w:val="0"/>
        <w:widowControl w:val="0"/>
        <w:tabs>
          <w:tab w:val="left" w:pos="1943"/>
        </w:tabs>
        <w:kinsoku/>
        <w:wordWrap/>
        <w:overflowPunct/>
        <w:topLinePunct w:val="0"/>
        <w:autoSpaceDE/>
        <w:autoSpaceDN/>
        <w:bidi w:val="0"/>
        <w:snapToGrid/>
        <w:spacing w:line="240" w:lineRule="auto"/>
        <w:ind w:firstLine="562" w:firstLineChars="200"/>
        <w:rPr>
          <w:rFonts w:hint="eastAsia" w:ascii="宋体" w:hAnsi="宋体" w:cs="宋体"/>
          <w:b/>
          <w:sz w:val="28"/>
          <w:szCs w:val="2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创艺简仿宋">
    <w:altName w:val="宋体"/>
    <w:panose1 w:val="00000000000000000000"/>
    <w:charset w:val="86"/>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wYWYzZjc3ODU2YzMzNDM4MWNiYTY0MmY3NzJjM2EifQ=="/>
  </w:docVars>
  <w:rsids>
    <w:rsidRoot w:val="0B1156B1"/>
    <w:rsid w:val="02DD7006"/>
    <w:rsid w:val="03120229"/>
    <w:rsid w:val="078214C6"/>
    <w:rsid w:val="08004EDE"/>
    <w:rsid w:val="084D03B2"/>
    <w:rsid w:val="08DC24C7"/>
    <w:rsid w:val="08DC33B9"/>
    <w:rsid w:val="0933230F"/>
    <w:rsid w:val="0B1156B1"/>
    <w:rsid w:val="0C8A1CF7"/>
    <w:rsid w:val="0CA0400D"/>
    <w:rsid w:val="0CA65C8F"/>
    <w:rsid w:val="0D7035F2"/>
    <w:rsid w:val="12800679"/>
    <w:rsid w:val="129474F6"/>
    <w:rsid w:val="14141970"/>
    <w:rsid w:val="14797894"/>
    <w:rsid w:val="152C2C92"/>
    <w:rsid w:val="17657D4C"/>
    <w:rsid w:val="18563584"/>
    <w:rsid w:val="1A0674CC"/>
    <w:rsid w:val="1AFD4B9A"/>
    <w:rsid w:val="1B5A48AF"/>
    <w:rsid w:val="1C2C5338"/>
    <w:rsid w:val="1DD567E7"/>
    <w:rsid w:val="236972BD"/>
    <w:rsid w:val="24BC5FAD"/>
    <w:rsid w:val="254774E6"/>
    <w:rsid w:val="254D4201"/>
    <w:rsid w:val="265D0C41"/>
    <w:rsid w:val="270D6FA4"/>
    <w:rsid w:val="280F18F2"/>
    <w:rsid w:val="2ACE260D"/>
    <w:rsid w:val="2B5647E4"/>
    <w:rsid w:val="2B7C742A"/>
    <w:rsid w:val="2C404EFA"/>
    <w:rsid w:val="2C4E635F"/>
    <w:rsid w:val="2EE05461"/>
    <w:rsid w:val="308873AB"/>
    <w:rsid w:val="309B0F61"/>
    <w:rsid w:val="31DF568D"/>
    <w:rsid w:val="337027D3"/>
    <w:rsid w:val="33D94CE8"/>
    <w:rsid w:val="33EC73F2"/>
    <w:rsid w:val="37591514"/>
    <w:rsid w:val="376A2D1B"/>
    <w:rsid w:val="38C85145"/>
    <w:rsid w:val="39B65D08"/>
    <w:rsid w:val="3AE75F9F"/>
    <w:rsid w:val="409D121C"/>
    <w:rsid w:val="42A2308F"/>
    <w:rsid w:val="44E1210B"/>
    <w:rsid w:val="49041C35"/>
    <w:rsid w:val="490865D0"/>
    <w:rsid w:val="4C5366FD"/>
    <w:rsid w:val="4C9265EF"/>
    <w:rsid w:val="4E626E80"/>
    <w:rsid w:val="4F4D38E2"/>
    <w:rsid w:val="503D0E93"/>
    <w:rsid w:val="509147E5"/>
    <w:rsid w:val="51EC31B1"/>
    <w:rsid w:val="53761B16"/>
    <w:rsid w:val="55EF0A7D"/>
    <w:rsid w:val="566F505B"/>
    <w:rsid w:val="56F4297B"/>
    <w:rsid w:val="58516322"/>
    <w:rsid w:val="58A302C0"/>
    <w:rsid w:val="58C6669C"/>
    <w:rsid w:val="59D250EC"/>
    <w:rsid w:val="59EB443A"/>
    <w:rsid w:val="5ABE2252"/>
    <w:rsid w:val="5B050AE8"/>
    <w:rsid w:val="5B081933"/>
    <w:rsid w:val="5DDD11BA"/>
    <w:rsid w:val="60972772"/>
    <w:rsid w:val="61CF3EBE"/>
    <w:rsid w:val="628F7E58"/>
    <w:rsid w:val="6545474A"/>
    <w:rsid w:val="66285868"/>
    <w:rsid w:val="68DA4DE1"/>
    <w:rsid w:val="6A871BB5"/>
    <w:rsid w:val="6C872CAD"/>
    <w:rsid w:val="6C874048"/>
    <w:rsid w:val="6E7A7D3C"/>
    <w:rsid w:val="70EE6B28"/>
    <w:rsid w:val="71D3692C"/>
    <w:rsid w:val="725228BB"/>
    <w:rsid w:val="728C2C2B"/>
    <w:rsid w:val="747660DA"/>
    <w:rsid w:val="75BF51A7"/>
    <w:rsid w:val="78BA0A29"/>
    <w:rsid w:val="78D07EF1"/>
    <w:rsid w:val="791C09D4"/>
    <w:rsid w:val="7C1F312B"/>
    <w:rsid w:val="7D3A3BE4"/>
    <w:rsid w:val="7DCF3459"/>
    <w:rsid w:val="7DFE63CC"/>
    <w:rsid w:val="7FEA1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5"/>
    <w:next w:val="1"/>
    <w:qFormat/>
    <w:uiPriority w:val="0"/>
    <w:pPr>
      <w:widowControl w:val="0"/>
      <w:ind w:left="1680"/>
      <w:jc w:val="both"/>
    </w:pPr>
    <w:rPr>
      <w:rFonts w:ascii="仿宋_GB2312" w:hAnsi="Times New Roman" w:eastAsia="仿宋_GB2312" w:cs="Times New Roman"/>
      <w:kern w:val="2"/>
      <w:sz w:val="21"/>
      <w:lang w:val="en-US" w:eastAsia="zh-CN" w:bidi="ar-SA"/>
    </w:rPr>
  </w:style>
  <w:style w:type="paragraph" w:styleId="3">
    <w:name w:val="index 6"/>
    <w:basedOn w:val="1"/>
    <w:next w:val="1"/>
    <w:qFormat/>
    <w:uiPriority w:val="0"/>
    <w:pPr>
      <w:ind w:left="2100"/>
      <w:jc w:val="left"/>
    </w:pPr>
  </w:style>
  <w:style w:type="paragraph" w:styleId="4">
    <w:name w:val="Body Text"/>
    <w:basedOn w:val="1"/>
    <w:next w:val="2"/>
    <w:unhideWhenUsed/>
    <w:qFormat/>
    <w:uiPriority w:val="99"/>
    <w:pPr>
      <w:spacing w:after="120"/>
    </w:pPr>
  </w:style>
  <w:style w:type="paragraph" w:styleId="5">
    <w:name w:val="Body Text Indent"/>
    <w:basedOn w:val="1"/>
    <w:qFormat/>
    <w:uiPriority w:val="0"/>
    <w:pPr>
      <w:spacing w:after="120"/>
      <w:ind w:left="420" w:leftChars="200"/>
    </w:pPr>
  </w:style>
  <w:style w:type="paragraph" w:styleId="6">
    <w:name w:val="toc 5"/>
    <w:basedOn w:val="1"/>
    <w:next w:val="1"/>
    <w:qFormat/>
    <w:uiPriority w:val="0"/>
    <w:pPr>
      <w:wordWrap w:val="0"/>
      <w:spacing w:before="0" w:line="240" w:lineRule="auto"/>
      <w:ind w:left="1275"/>
      <w:jc w:val="both"/>
    </w:pPr>
    <w:rPr>
      <w:rFonts w:ascii="Times New Roman" w:hAnsi="Times New Roman" w:eastAsia="宋体" w:cs="Times New Roman"/>
      <w:sz w:val="21"/>
    </w:rPr>
  </w:style>
  <w:style w:type="paragraph" w:styleId="7">
    <w:name w:val="Plain Text"/>
    <w:basedOn w:val="1"/>
    <w:qFormat/>
    <w:uiPriority w:val="0"/>
    <w:rPr>
      <w:rFonts w:ascii="宋体" w:hAnsi="Courier New" w:eastAsia="仿宋_GB2312" w:cs="Courier New"/>
      <w:szCs w:val="21"/>
    </w:rPr>
  </w:style>
  <w:style w:type="paragraph" w:styleId="8">
    <w:name w:val="Body Text First Indent"/>
    <w:basedOn w:val="4"/>
    <w:next w:val="3"/>
    <w:unhideWhenUsed/>
    <w:qFormat/>
    <w:uiPriority w:val="0"/>
    <w:pPr>
      <w:adjustRightInd w:val="0"/>
      <w:snapToGrid w:val="0"/>
      <w:spacing w:line="500" w:lineRule="exact"/>
      <w:ind w:firstLine="600" w:firstLineChars="200"/>
    </w:pPr>
    <w:rPr>
      <w:rFonts w:ascii="仿宋_GB2312" w:eastAsia="仿宋_GB2312"/>
      <w:kern w:val="96"/>
      <w:sz w:val="30"/>
      <w:szCs w:val="18"/>
    </w:rPr>
  </w:style>
  <w:style w:type="paragraph" w:styleId="9">
    <w:name w:val="Body Text First Indent 2"/>
    <w:basedOn w:val="5"/>
    <w:qFormat/>
    <w:uiPriority w:val="99"/>
    <w:pPr>
      <w:spacing w:after="120" w:afterLines="0"/>
      <w:ind w:left="420" w:firstLine="210"/>
    </w:pPr>
    <w:rPr>
      <w:rFonts w:ascii="Times New Roman"/>
      <w:szCs w:val="24"/>
      <w:lang w:bidi="he-IL"/>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样式 样式 行距: 1.5 倍行距 + 两端对齐 Char"/>
    <w:basedOn w:val="1"/>
    <w:qFormat/>
    <w:uiPriority w:val="99"/>
    <w:pPr>
      <w:adjustRightInd w:val="0"/>
      <w:snapToGrid w:val="0"/>
      <w:ind w:firstLine="480" w:firstLineChars="200"/>
    </w:pPr>
    <w:rPr>
      <w:rFonts w:ascii="宋体" w:hAnsi="宋体" w:cs="宋体"/>
      <w:sz w:val="24"/>
    </w:rPr>
  </w:style>
  <w:style w:type="paragraph" w:customStyle="1" w:styleId="14">
    <w:name w:val="正式文本"/>
    <w:basedOn w:val="1"/>
    <w:qFormat/>
    <w:uiPriority w:val="0"/>
    <w:pPr>
      <w:spacing w:line="540" w:lineRule="exact"/>
      <w:ind w:firstLine="200" w:firstLineChars="200"/>
    </w:pPr>
    <w:rPr>
      <w:rFonts w:ascii="宋体" w:hAnsi="Arial Narrow"/>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2655</Words>
  <Characters>2788</Characters>
  <Lines>0</Lines>
  <Paragraphs>0</Paragraphs>
  <TotalTime>0</TotalTime>
  <ScaleCrop>false</ScaleCrop>
  <LinksUpToDate>false</LinksUpToDate>
  <CharactersWithSpaces>2931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2022-02-24T04:45:00Z</dcterms:created>
  <dc:creator>幸运星</dc:creator>
  <cp:lastModifiedBy>雷超</cp:lastModifiedBy>
  <dcterms:modified xsi:type="dcterms:W3CDTF">2025-09-12T08:52:39Z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7885947E04754CB29BE6EF588ED30F14_12</vt:lpwstr>
  </property>
  <property fmtid="{D5CDD505-2E9C-101B-9397-08002B2CF9AE}" pid="4" name="KSOTemplateDocerSaveRecord">
    <vt:lpwstr>eyJoZGlkIjoiOTMwYWYzZjc3ODU2YzMzNDM4MWNiYTY0MmY3NzJjM2EiLCJ1c2VySWQiOiIxNDg5MzAxNjMxIn0=</vt:lpwstr>
  </property>
</Properties>
</file>