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A503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cs="宋体" w:asciiTheme="minorEastAsia" w:hAnsiTheme="minorEastAsia" w:eastAsiaTheme="minorEastAsia"/>
          <w:b/>
          <w:bCs/>
          <w:kern w:val="0"/>
          <w:sz w:val="36"/>
          <w:szCs w:val="36"/>
          <w:lang w:val="en-US" w:eastAsia="zh-CN" w:bidi="ar-SA"/>
        </w:rPr>
      </w:pPr>
      <w:r>
        <w:rPr>
          <w:rFonts w:hint="eastAsia" w:ascii="华文中宋" w:hAnsi="华文中宋" w:eastAsia="华文中宋" w:cs="华文中宋"/>
          <w:b w:val="0"/>
          <w:bCs w:val="0"/>
          <w:kern w:val="0"/>
          <w:sz w:val="36"/>
          <w:szCs w:val="36"/>
        </w:rPr>
        <w:t>上海酒钢大酒店电梯</w:t>
      </w:r>
      <w:r>
        <w:rPr>
          <w:rFonts w:hint="eastAsia" w:cs="宋体" w:asciiTheme="minorEastAsia" w:hAnsiTheme="minorEastAsia" w:eastAsiaTheme="minorEastAsia"/>
          <w:b/>
          <w:bCs/>
          <w:kern w:val="0"/>
          <w:sz w:val="36"/>
          <w:szCs w:val="36"/>
          <w:lang w:val="en-US" w:eastAsia="zh-CN" w:bidi="ar-SA"/>
        </w:rPr>
        <w:t>技术服务采购主要内容</w:t>
      </w:r>
    </w:p>
    <w:p w14:paraId="6E2B54D5">
      <w:pPr>
        <w:pStyle w:val="2"/>
        <w:numPr>
          <w:numId w:val="0"/>
        </w:numPr>
        <w:ind w:leftChars="0"/>
        <w:rPr>
          <w:lang w:val="en-US" w:eastAsia="zh-CN"/>
        </w:rPr>
      </w:pPr>
    </w:p>
    <w:p w14:paraId="32F269C8">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ascii="仿宋" w:hAnsi="仿宋" w:eastAsia="仿宋" w:cs="宋体"/>
          <w:b/>
          <w:kern w:val="0"/>
          <w:sz w:val="24"/>
          <w:szCs w:val="24"/>
          <w:highlight w:val="none"/>
          <w:lang w:val="en-US" w:eastAsia="zh-CN" w:bidi="ar-SA"/>
        </w:rPr>
      </w:pPr>
      <w:r>
        <w:rPr>
          <w:rFonts w:hint="eastAsia" w:ascii="仿宋" w:hAnsi="仿宋" w:eastAsia="仿宋" w:cs="宋体"/>
          <w:b/>
          <w:kern w:val="0"/>
          <w:sz w:val="24"/>
          <w:szCs w:val="24"/>
          <w:highlight w:val="none"/>
          <w:lang w:val="en-US" w:eastAsia="zh-CN" w:bidi="ar-SA"/>
        </w:rPr>
        <w:t>一、 技术服务范围及内容</w:t>
      </w:r>
    </w:p>
    <w:p w14:paraId="0A42B1E8">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ascii="仿宋" w:hAnsi="仿宋" w:eastAsia="仿宋" w:cs="宋体"/>
          <w:kern w:val="0"/>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（一）服务范围：</w:t>
      </w:r>
    </w:p>
    <w:p w14:paraId="59064183">
      <w:pPr>
        <w:keepNext w:val="0"/>
        <w:keepLines w:val="0"/>
        <w:pageBreakBefore w:val="0"/>
        <w:widowControl w:val="0"/>
        <w:kinsoku/>
        <w:wordWrap/>
        <w:overflowPunct/>
        <w:topLinePunct w:val="0"/>
        <w:autoSpaceDE/>
        <w:autoSpaceDN/>
        <w:bidi w:val="0"/>
        <w:adjustRightInd/>
        <w:spacing w:line="360" w:lineRule="exact"/>
        <w:ind w:firstLine="720" w:firstLineChars="300"/>
        <w:textAlignment w:val="auto"/>
        <w:rPr>
          <w:rFonts w:ascii="仿宋" w:hAnsi="仿宋" w:eastAsia="仿宋" w:cs="宋体"/>
          <w:kern w:val="0"/>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乙方为甲方提供3部电梯的全流程技术支撑服务，涵盖日常运行保障、性能优化、故障诊断、应急技术支持、年检技术协调等全场景服务：上海酒钢大酒店有限公司客用电梯</w:t>
      </w:r>
      <w:r>
        <w:rPr>
          <w:rFonts w:hint="eastAsia" w:ascii="仿宋" w:hAnsi="仿宋" w:eastAsia="仿宋" w:cs="宋体"/>
          <w:kern w:val="0"/>
          <w:sz w:val="24"/>
          <w:szCs w:val="24"/>
          <w:highlight w:val="none"/>
          <w:u w:val="single"/>
          <w:lang w:val="en-US" w:eastAsia="zh-CN" w:bidi="ar-SA"/>
        </w:rPr>
        <w:t>2</w:t>
      </w:r>
      <w:r>
        <w:rPr>
          <w:rFonts w:hint="eastAsia" w:ascii="仿宋" w:hAnsi="仿宋" w:eastAsia="仿宋" w:cs="Times New Roman"/>
          <w:kern w:val="2"/>
          <w:sz w:val="24"/>
          <w:szCs w:val="24"/>
          <w:highlight w:val="none"/>
          <w:lang w:val="en-US" w:eastAsia="zh-CN" w:bidi="ar-SA"/>
        </w:rPr>
        <w:t>部（7层7站），食梯</w:t>
      </w:r>
      <w:r>
        <w:rPr>
          <w:rFonts w:hint="eastAsia" w:ascii="仿宋" w:hAnsi="仿宋" w:eastAsia="仿宋" w:cs="宋体"/>
          <w:kern w:val="0"/>
          <w:sz w:val="24"/>
          <w:szCs w:val="24"/>
          <w:highlight w:val="none"/>
          <w:u w:val="single"/>
          <w:lang w:val="en-US" w:eastAsia="zh-CN" w:bidi="ar-SA"/>
        </w:rPr>
        <w:t>1</w:t>
      </w:r>
      <w:r>
        <w:rPr>
          <w:rFonts w:hint="eastAsia" w:ascii="仿宋" w:hAnsi="仿宋" w:eastAsia="仿宋" w:cs="Times New Roman"/>
          <w:kern w:val="2"/>
          <w:sz w:val="24"/>
          <w:szCs w:val="24"/>
          <w:highlight w:val="none"/>
          <w:lang w:val="en-US" w:eastAsia="zh-CN" w:bidi="ar-SA"/>
        </w:rPr>
        <w:t>部（2层2站），共计</w:t>
      </w:r>
      <w:r>
        <w:rPr>
          <w:rFonts w:hint="eastAsia" w:ascii="仿宋" w:hAnsi="仿宋" w:eastAsia="仿宋" w:cs="宋体"/>
          <w:kern w:val="0"/>
          <w:sz w:val="24"/>
          <w:szCs w:val="24"/>
          <w:highlight w:val="none"/>
          <w:u w:val="single"/>
          <w:lang w:val="en-US" w:eastAsia="zh-CN" w:bidi="ar-SA"/>
        </w:rPr>
        <w:t>3</w:t>
      </w:r>
      <w:r>
        <w:rPr>
          <w:rFonts w:hint="eastAsia" w:ascii="仿宋" w:hAnsi="仿宋" w:eastAsia="仿宋" w:cs="Times New Roman"/>
          <w:kern w:val="2"/>
          <w:sz w:val="24"/>
          <w:szCs w:val="24"/>
          <w:highlight w:val="none"/>
          <w:lang w:val="en-US" w:eastAsia="zh-CN" w:bidi="ar-SA"/>
        </w:rPr>
        <w:t>部电梯。</w:t>
      </w:r>
    </w:p>
    <w:p w14:paraId="6776CBFD">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ascii="仿宋" w:hAnsi="仿宋" w:eastAsia="仿宋" w:cs="宋体"/>
          <w:kern w:val="0"/>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（二）服务内容：</w:t>
      </w:r>
    </w:p>
    <w:p w14:paraId="36594D13">
      <w:pPr>
        <w:keepNext w:val="0"/>
        <w:keepLines w:val="0"/>
        <w:pageBreakBefore w:val="0"/>
        <w:widowControl w:val="0"/>
        <w:kinsoku/>
        <w:wordWrap/>
        <w:overflowPunct/>
        <w:topLinePunct w:val="0"/>
        <w:autoSpaceDE/>
        <w:autoSpaceDN/>
        <w:bidi w:val="0"/>
        <w:adjustRightInd/>
        <w:spacing w:line="360" w:lineRule="exact"/>
        <w:ind w:firstLine="720" w:firstLineChars="300"/>
        <w:textAlignment w:val="auto"/>
        <w:rPr>
          <w:rFonts w:ascii="仿宋" w:hAnsi="仿宋" w:eastAsia="仿宋" w:cs="宋体"/>
          <w:kern w:val="0"/>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乙方按照国家、行业有关法规标准为本合同服务范围中列明的</w:t>
      </w:r>
      <w:r>
        <w:rPr>
          <w:rFonts w:hint="eastAsia" w:ascii="仿宋" w:hAnsi="仿宋" w:eastAsia="仿宋" w:cs="宋体"/>
          <w:kern w:val="0"/>
          <w:sz w:val="24"/>
          <w:szCs w:val="24"/>
          <w:highlight w:val="none"/>
          <w:u w:val="single"/>
          <w:lang w:val="en-US" w:eastAsia="zh-CN" w:bidi="ar-SA"/>
        </w:rPr>
        <w:t>3</w:t>
      </w:r>
      <w:r>
        <w:rPr>
          <w:rFonts w:hint="eastAsia" w:ascii="仿宋" w:hAnsi="仿宋" w:eastAsia="仿宋" w:cs="Times New Roman"/>
          <w:kern w:val="2"/>
          <w:sz w:val="24"/>
          <w:szCs w:val="24"/>
          <w:highlight w:val="none"/>
          <w:lang w:val="en-US" w:eastAsia="zh-CN" w:bidi="ar-SA"/>
        </w:rPr>
        <w:t>部电梯提供日常技术巡检、性能状态监测、故障技术诊断、部件寿命评估、维修技术方案制定、紧急故障技术支持，参与电梯事故应急救援演练与处置。服务项目应该覆盖并达到《电梯使用管理与技术服务规则》（TSG T5002-2017）规定的半月、季度、半年、年度服务项目及要求：</w:t>
      </w:r>
    </w:p>
    <w:p w14:paraId="58EA8BED">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ascii="仿宋" w:hAnsi="仿宋" w:eastAsia="仿宋" w:cs="宋体"/>
          <w:kern w:val="0"/>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定期出具电梯运行性能评估报告，提供技术升级改造建议，协助甲方建立电梯设备全生命周期技术管理台账。</w:t>
      </w:r>
    </w:p>
    <w:p w14:paraId="7036C932">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ascii="仿宋" w:hAnsi="仿宋" w:eastAsia="仿宋" w:cs="宋体"/>
          <w:kern w:val="0"/>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除上述服务内容外，还应当满足甲方提出的如下要求：</w:t>
      </w:r>
    </w:p>
    <w:p w14:paraId="6EB62FBD">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ascii="仿宋" w:hAnsi="仿宋" w:eastAsia="仿宋" w:cs="宋体"/>
          <w:kern w:val="0"/>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1.每周保证对全部电梯进行一次巡检，严格做好技术服务记录，并由甲方指派服务项目代表签字确认。</w:t>
      </w:r>
    </w:p>
    <w:p w14:paraId="1DA75DDA">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ascii="仿宋" w:hAnsi="仿宋" w:eastAsia="仿宋" w:cs="宋体"/>
          <w:kern w:val="0"/>
          <w:sz w:val="24"/>
          <w:szCs w:val="24"/>
          <w:highlight w:val="none"/>
        </w:rPr>
      </w:pPr>
      <w:r>
        <w:rPr>
          <w:rFonts w:hint="eastAsia" w:ascii="仿宋" w:hAnsi="仿宋" w:eastAsia="仿宋" w:cs="宋体"/>
          <w:kern w:val="0"/>
          <w:sz w:val="24"/>
          <w:szCs w:val="24"/>
          <w:highlight w:val="none"/>
          <w:lang w:val="en-US" w:eastAsia="zh-CN"/>
        </w:rPr>
        <w:t>2</w:t>
      </w:r>
      <w:r>
        <w:rPr>
          <w:rFonts w:hint="eastAsia" w:ascii="仿宋" w:hAnsi="仿宋" w:eastAsia="仿宋" w:cs="宋体"/>
          <w:kern w:val="0"/>
          <w:sz w:val="24"/>
          <w:szCs w:val="24"/>
          <w:highlight w:val="none"/>
        </w:rPr>
        <w:t>.负责每台电梯及时通过技术监督部门的年检，负责年检时提出的整改项目的实施，报检费用由甲方另行支付。</w:t>
      </w:r>
    </w:p>
    <w:p w14:paraId="359BAAE3">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ascii="仿宋" w:hAnsi="仿宋" w:eastAsia="仿宋" w:cs="宋体"/>
          <w:kern w:val="0"/>
          <w:sz w:val="24"/>
          <w:szCs w:val="24"/>
          <w:highlight w:val="none"/>
        </w:rPr>
      </w:pPr>
      <w:r>
        <w:rPr>
          <w:rFonts w:hint="eastAsia" w:ascii="仿宋" w:hAnsi="仿宋" w:eastAsia="仿宋" w:cs="宋体"/>
          <w:kern w:val="0"/>
          <w:sz w:val="24"/>
          <w:szCs w:val="24"/>
          <w:highlight w:val="none"/>
          <w:lang w:val="en-US" w:eastAsia="zh-CN"/>
        </w:rPr>
        <w:t>3</w:t>
      </w:r>
      <w:r>
        <w:rPr>
          <w:rFonts w:hint="eastAsia" w:ascii="仿宋" w:hAnsi="仿宋" w:eastAsia="仿宋" w:cs="宋体"/>
          <w:kern w:val="0"/>
          <w:sz w:val="24"/>
          <w:szCs w:val="24"/>
          <w:highlight w:val="none"/>
        </w:rPr>
        <w:t>.对于现场1小时内不能解决或需要甲方更换配件方可修复的电梯故障，自乙方</w:t>
      </w:r>
      <w:r>
        <w:rPr>
          <w:rFonts w:hint="eastAsia" w:ascii="仿宋" w:hAnsi="仿宋" w:eastAsia="仿宋" w:cs="宋体"/>
          <w:kern w:val="0"/>
          <w:sz w:val="24"/>
          <w:szCs w:val="24"/>
          <w:highlight w:val="none"/>
          <w:lang w:val="en-US" w:eastAsia="zh-CN"/>
        </w:rPr>
        <w:t>技术</w:t>
      </w:r>
      <w:r>
        <w:rPr>
          <w:rFonts w:hint="eastAsia" w:ascii="仿宋" w:hAnsi="仿宋" w:eastAsia="仿宋" w:cs="宋体"/>
          <w:kern w:val="0"/>
          <w:sz w:val="24"/>
          <w:szCs w:val="24"/>
          <w:highlight w:val="none"/>
        </w:rPr>
        <w:t>人员接到故障维修通知后2小时内向甲方出具电梯故障诊断书，说明故障原因、维修所需配件规格型号及费用清单，并加盖单位公章或由合同履行负责人签字确认。</w:t>
      </w:r>
    </w:p>
    <w:p w14:paraId="37536144">
      <w:pPr>
        <w:keepNext w:val="0"/>
        <w:keepLines w:val="0"/>
        <w:pageBreakBefore w:val="0"/>
        <w:widowControl w:val="0"/>
        <w:kinsoku/>
        <w:wordWrap/>
        <w:overflowPunct/>
        <w:topLinePunct w:val="0"/>
        <w:autoSpaceDE/>
        <w:autoSpaceDN/>
        <w:bidi w:val="0"/>
        <w:adjustRightInd/>
        <w:spacing w:line="360" w:lineRule="exact"/>
        <w:ind w:left="1" w:leftChars="0" w:firstLine="479" w:firstLineChars="199"/>
        <w:textAlignment w:val="auto"/>
        <w:rPr>
          <w:rFonts w:ascii="仿宋" w:hAnsi="仿宋" w:eastAsia="仿宋" w:cs="宋体"/>
          <w:b/>
          <w:kern w:val="0"/>
          <w:sz w:val="24"/>
          <w:szCs w:val="24"/>
          <w:highlight w:val="none"/>
          <w:lang w:val="en-US" w:eastAsia="zh-CN" w:bidi="ar-SA"/>
        </w:rPr>
      </w:pPr>
      <w:r>
        <w:rPr>
          <w:rFonts w:hint="eastAsia" w:ascii="仿宋" w:hAnsi="仿宋" w:eastAsia="仿宋" w:cs="宋体"/>
          <w:b/>
          <w:kern w:val="0"/>
          <w:sz w:val="24"/>
          <w:szCs w:val="24"/>
          <w:highlight w:val="none"/>
          <w:lang w:val="en-US" w:eastAsia="zh-CN" w:bidi="ar-SA"/>
        </w:rPr>
        <w:t>二、技术服务实施方式</w:t>
      </w:r>
    </w:p>
    <w:p w14:paraId="386652D5">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ascii="仿宋" w:hAnsi="仿宋" w:eastAsia="仿宋" w:cs="宋体"/>
          <w:kern w:val="0"/>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乙方组建专属技术服务团队，提供定制化电梯技术解决方案，服务过程形成完整技术文档交付甲方，不得转包或分包服务内容。不承担电梯零部件购置费用（除乙方人为因素造成的损失外）。</w:t>
      </w:r>
    </w:p>
    <w:p w14:paraId="07513CE6">
      <w:pPr>
        <w:keepNext w:val="0"/>
        <w:keepLines w:val="0"/>
        <w:pageBreakBefore w:val="0"/>
        <w:widowControl w:val="0"/>
        <w:kinsoku/>
        <w:wordWrap/>
        <w:overflowPunct/>
        <w:topLinePunct w:val="0"/>
        <w:autoSpaceDE/>
        <w:autoSpaceDN/>
        <w:bidi w:val="0"/>
        <w:adjustRightInd/>
        <w:spacing w:line="360" w:lineRule="exact"/>
        <w:ind w:left="1" w:leftChars="0" w:firstLine="479" w:firstLineChars="199"/>
        <w:textAlignment w:val="auto"/>
        <w:rPr>
          <w:rFonts w:ascii="仿宋" w:hAnsi="仿宋" w:eastAsia="仿宋" w:cs="宋体"/>
          <w:b/>
          <w:kern w:val="0"/>
          <w:sz w:val="24"/>
          <w:szCs w:val="24"/>
          <w:highlight w:val="none"/>
          <w:lang w:val="en-US" w:eastAsia="zh-CN" w:bidi="ar-SA"/>
        </w:rPr>
      </w:pPr>
      <w:r>
        <w:rPr>
          <w:rFonts w:hint="eastAsia" w:ascii="仿宋" w:hAnsi="仿宋" w:eastAsia="仿宋" w:cs="宋体"/>
          <w:b/>
          <w:kern w:val="0"/>
          <w:sz w:val="24"/>
          <w:szCs w:val="24"/>
          <w:highlight w:val="none"/>
          <w:lang w:val="en-US" w:eastAsia="zh-CN" w:bidi="ar-SA"/>
        </w:rPr>
        <w:t>三、技术服务期限</w:t>
      </w:r>
      <w:bookmarkStart w:id="0" w:name="_GoBack"/>
      <w:bookmarkEnd w:id="0"/>
    </w:p>
    <w:p w14:paraId="51153643">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ascii="仿宋" w:hAnsi="仿宋" w:eastAsia="仿宋" w:cs="宋体"/>
          <w:kern w:val="0"/>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本合同服务期限自</w:t>
      </w:r>
      <w:r>
        <w:rPr>
          <w:rFonts w:hint="eastAsia" w:ascii="仿宋" w:hAnsi="仿宋" w:eastAsia="仿宋" w:cs="宋体"/>
          <w:kern w:val="0"/>
          <w:sz w:val="24"/>
          <w:szCs w:val="24"/>
          <w:highlight w:val="none"/>
          <w:u w:val="single"/>
          <w:lang w:val="en-US" w:eastAsia="zh-CN" w:bidi="ar-SA"/>
        </w:rPr>
        <w:t>2026年5月1日</w:t>
      </w:r>
      <w:r>
        <w:rPr>
          <w:rFonts w:hint="eastAsia" w:ascii="仿宋" w:hAnsi="仿宋" w:eastAsia="仿宋" w:cs="Times New Roman"/>
          <w:kern w:val="2"/>
          <w:sz w:val="24"/>
          <w:szCs w:val="24"/>
          <w:highlight w:val="none"/>
          <w:lang w:val="en-US" w:eastAsia="zh-CN" w:bidi="ar-SA"/>
        </w:rPr>
        <w:t>起至</w:t>
      </w:r>
      <w:r>
        <w:rPr>
          <w:rFonts w:hint="eastAsia" w:ascii="仿宋" w:hAnsi="仿宋" w:eastAsia="仿宋" w:cs="宋体"/>
          <w:kern w:val="0"/>
          <w:sz w:val="24"/>
          <w:szCs w:val="24"/>
          <w:highlight w:val="none"/>
          <w:u w:val="single"/>
          <w:lang w:val="en-US" w:eastAsia="zh-CN" w:bidi="ar-SA"/>
        </w:rPr>
        <w:t>2027年4月30</w:t>
      </w:r>
      <w:r>
        <w:rPr>
          <w:rFonts w:hint="eastAsia" w:ascii="仿宋" w:hAnsi="仿宋" w:eastAsia="仿宋" w:cs="Times New Roman"/>
          <w:kern w:val="2"/>
          <w:sz w:val="24"/>
          <w:szCs w:val="24"/>
          <w:highlight w:val="none"/>
          <w:lang w:val="en-US" w:eastAsia="zh-CN" w:bidi="ar-SA"/>
        </w:rPr>
        <w:t>日止，合同履行期限届满后，除双方另有书面约定外，本合同自动终止。</w:t>
      </w:r>
    </w:p>
    <w:p w14:paraId="13A2CDEC">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ascii="仿宋" w:hAnsi="仿宋" w:eastAsia="仿宋" w:cs="宋体"/>
          <w:kern w:val="0"/>
          <w:sz w:val="24"/>
          <w:szCs w:val="24"/>
          <w:highlight w:val="none"/>
        </w:rPr>
      </w:pPr>
      <w:r>
        <w:rPr>
          <w:rFonts w:hint="eastAsia" w:ascii="仿宋" w:hAnsi="仿宋" w:eastAsia="仿宋" w:cs="宋体"/>
          <w:kern w:val="0"/>
          <w:sz w:val="24"/>
          <w:szCs w:val="24"/>
          <w:highlight w:val="none"/>
        </w:rPr>
        <w:t>（</w:t>
      </w:r>
      <w:r>
        <w:rPr>
          <w:rFonts w:hint="eastAsia" w:ascii="仿宋" w:hAnsi="仿宋" w:eastAsia="仿宋" w:cs="宋体"/>
          <w:kern w:val="0"/>
          <w:sz w:val="24"/>
          <w:szCs w:val="24"/>
          <w:highlight w:val="none"/>
          <w:lang w:val="en-US" w:eastAsia="zh-CN"/>
        </w:rPr>
        <w:t>一</w:t>
      </w:r>
      <w:r>
        <w:rPr>
          <w:rFonts w:hint="eastAsia" w:ascii="仿宋" w:hAnsi="仿宋" w:eastAsia="仿宋" w:cs="宋体"/>
          <w:kern w:val="0"/>
          <w:sz w:val="24"/>
          <w:szCs w:val="24"/>
          <w:highlight w:val="none"/>
        </w:rPr>
        <w:t>）约定标准：</w:t>
      </w:r>
    </w:p>
    <w:p w14:paraId="4E87DB58">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ascii="仿宋" w:hAnsi="仿宋" w:eastAsia="仿宋" w:cs="宋体"/>
          <w:kern w:val="0"/>
          <w:sz w:val="24"/>
          <w:szCs w:val="24"/>
          <w:highlight w:val="none"/>
        </w:rPr>
      </w:pPr>
      <w:r>
        <w:rPr>
          <w:rFonts w:hint="eastAsia" w:ascii="仿宋" w:hAnsi="仿宋" w:eastAsia="仿宋" w:cs="宋体"/>
          <w:kern w:val="0"/>
          <w:sz w:val="24"/>
          <w:szCs w:val="24"/>
          <w:highlight w:val="none"/>
        </w:rPr>
        <w:t>1.安全性指标</w:t>
      </w:r>
    </w:p>
    <w:p w14:paraId="2C45F9BE">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ascii="仿宋" w:hAnsi="仿宋" w:eastAsia="仿宋" w:cs="宋体"/>
          <w:kern w:val="0"/>
          <w:sz w:val="24"/>
          <w:szCs w:val="24"/>
          <w:highlight w:val="none"/>
        </w:rPr>
      </w:pPr>
      <w:r>
        <w:rPr>
          <w:rFonts w:hint="eastAsia" w:ascii="仿宋" w:hAnsi="仿宋" w:eastAsia="仿宋" w:cs="宋体"/>
          <w:kern w:val="0"/>
          <w:sz w:val="24"/>
          <w:szCs w:val="24"/>
          <w:highlight w:val="none"/>
        </w:rPr>
        <w:t>合同期内，不发生一般及以上机械和设备损坏事故；不发生一般及以上人身伤亡事故；不发生一般及以上火灾事故。</w:t>
      </w:r>
    </w:p>
    <w:p w14:paraId="1E79315F">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ascii="仿宋" w:hAnsi="仿宋" w:eastAsia="仿宋" w:cs="宋体"/>
          <w:kern w:val="0"/>
          <w:sz w:val="24"/>
          <w:szCs w:val="24"/>
          <w:highlight w:val="none"/>
        </w:rPr>
      </w:pPr>
      <w:r>
        <w:rPr>
          <w:rFonts w:hint="eastAsia" w:ascii="仿宋" w:hAnsi="仿宋" w:eastAsia="仿宋" w:cs="宋体"/>
          <w:kern w:val="0"/>
          <w:sz w:val="24"/>
          <w:szCs w:val="24"/>
          <w:highlight w:val="none"/>
        </w:rPr>
        <w:t>2.工作质量要求</w:t>
      </w:r>
    </w:p>
    <w:p w14:paraId="01BF120C">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ascii="仿宋" w:hAnsi="仿宋" w:eastAsia="仿宋" w:cs="宋体"/>
          <w:kern w:val="0"/>
          <w:sz w:val="24"/>
          <w:szCs w:val="24"/>
          <w:highlight w:val="none"/>
        </w:rPr>
      </w:pPr>
      <w:r>
        <w:rPr>
          <w:rFonts w:hint="eastAsia" w:ascii="仿宋" w:hAnsi="仿宋" w:eastAsia="仿宋" w:cs="宋体"/>
          <w:kern w:val="0"/>
          <w:sz w:val="24"/>
          <w:szCs w:val="24"/>
          <w:highlight w:val="none"/>
        </w:rPr>
        <w:t>设备消缺率、及时率达到100%；无人为因素月重复消缺率为零；设备发现隐患或故障时，立即进行修复，不得带故障运行；设备定期试验项目遗漏率为零。</w:t>
      </w:r>
    </w:p>
    <w:p w14:paraId="72538DE2">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ascii="仿宋" w:hAnsi="仿宋" w:eastAsia="仿宋" w:cs="宋体"/>
          <w:kern w:val="0"/>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3.技术指标要求</w:t>
      </w:r>
    </w:p>
    <w:p w14:paraId="7237C09E">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ascii="仿宋" w:hAnsi="仿宋" w:eastAsia="仿宋" w:cs="宋体"/>
          <w:kern w:val="0"/>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技术服务响应准确率100%，技术方案可行性100%，故障技术诊断准确率98%以上，每年提供至少2次电梯技术升级专项培训。</w:t>
      </w:r>
    </w:p>
    <w:p w14:paraId="6F457E07">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ascii="仿宋" w:hAnsi="仿宋" w:eastAsia="仿宋" w:cs="宋体"/>
          <w:kern w:val="0"/>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（二）技术服务费支付专项约定</w:t>
      </w:r>
    </w:p>
    <w:p w14:paraId="6AD1D41E">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ascii="仿宋" w:hAnsi="仿宋" w:eastAsia="仿宋" w:cs="宋体"/>
          <w:kern w:val="0"/>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1. 技术服务费核算说明：本合同项下技术服务费包含乙方提供技术巡检、故障诊断、方案制定、性能评估、技术培训、应急支持等所有技术服务人工成本，以及技术文档编制、管理系统运维等服务成本，不含电梯零部件采购、改造工程等非技术服务类费用；</w:t>
      </w:r>
    </w:p>
    <w:p w14:paraId="33A77061">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ascii="仿宋" w:hAnsi="仿宋" w:eastAsia="仿宋" w:cs="宋体"/>
          <w:kern w:val="0"/>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2. 支付调整机制：若季度技术服务未达到合同约定质量标准，甲方有权按未达标项目对应比例扣除相应技术服务费，具体扣除比例由双方根据服务考核结果协商确定；</w:t>
      </w:r>
    </w:p>
    <w:p w14:paraId="1F7EBB32">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ascii="仿宋" w:hAnsi="仿宋" w:eastAsia="仿宋" w:cs="宋体"/>
          <w:kern w:val="0"/>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3. 支付触发条件：每季度服务期满后，乙方需向甲方提交该季度技术服务工作报告，包含季度巡检记录、故障分析报告、性能评估数据、服务完成证明等材料，经甲方审核确认服务达标后，方可启动付款流程；</w:t>
      </w:r>
    </w:p>
    <w:p w14:paraId="52999A18">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ascii="仿宋" w:hAnsi="仿宋" w:eastAsia="仿宋" w:cs="宋体"/>
          <w:b/>
          <w:kern w:val="0"/>
          <w:sz w:val="24"/>
          <w:szCs w:val="24"/>
          <w:highlight w:val="none"/>
          <w:lang w:val="en-US" w:eastAsia="zh-CN" w:bidi="ar-SA"/>
        </w:rPr>
      </w:pPr>
      <w:r>
        <w:rPr>
          <w:rFonts w:hint="eastAsia" w:ascii="仿宋" w:hAnsi="仿宋" w:eastAsia="仿宋" w:cs="宋体"/>
          <w:b/>
          <w:kern w:val="0"/>
          <w:sz w:val="24"/>
          <w:szCs w:val="24"/>
          <w:highlight w:val="none"/>
          <w:lang w:val="en-US" w:eastAsia="zh-CN" w:bidi="ar-SA"/>
        </w:rPr>
        <w:t>四、技术服务费用边界界定</w:t>
      </w:r>
    </w:p>
    <w:p w14:paraId="247F4402">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ascii="仿宋" w:hAnsi="仿宋" w:eastAsia="仿宋" w:cs="宋体"/>
          <w:kern w:val="0"/>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技术服务费包含技术咨询、方案制定、诊断评估等人工成本，零部件采购费用另行核算。</w:t>
      </w:r>
    </w:p>
    <w:p w14:paraId="657F5530">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ascii="仿宋" w:hAnsi="仿宋" w:eastAsia="仿宋" w:cs="宋体"/>
          <w:kern w:val="0"/>
          <w:sz w:val="24"/>
          <w:szCs w:val="24"/>
          <w:highlight w:val="none"/>
        </w:rPr>
      </w:pPr>
      <w:r>
        <w:rPr>
          <w:rFonts w:hint="eastAsia" w:ascii="仿宋" w:hAnsi="仿宋" w:eastAsia="仿宋" w:cs="宋体"/>
          <w:kern w:val="0"/>
          <w:sz w:val="24"/>
          <w:szCs w:val="24"/>
          <w:highlight w:val="none"/>
        </w:rPr>
        <w:t>（一）由甲方书面提出或对电梯设备进行改造和更换部件时的费用由甲方承担。</w:t>
      </w:r>
    </w:p>
    <w:p w14:paraId="4E625C03">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ascii="仿宋" w:hAnsi="仿宋" w:eastAsia="仿宋" w:cs="宋体"/>
          <w:kern w:val="0"/>
          <w:sz w:val="24"/>
          <w:szCs w:val="24"/>
          <w:highlight w:val="none"/>
        </w:rPr>
      </w:pPr>
      <w:r>
        <w:rPr>
          <w:rFonts w:hint="eastAsia" w:ascii="仿宋" w:hAnsi="仿宋" w:eastAsia="仿宋" w:cs="宋体"/>
          <w:kern w:val="0"/>
          <w:sz w:val="24"/>
          <w:szCs w:val="24"/>
          <w:highlight w:val="none"/>
        </w:rPr>
        <w:t>（二）甲方电梯备件损坏，乙方应积极维修，确实无法修复的，乙方应出具盖有单位公章的国家标准要求的相关材料，经甲方签字确认后更换，备件更换费用由甲方承担。更换后的零部件由甲方保管。若甲方事后经过检测，更换下的零部件符合国家标准使用要求或可以修复后使用的，因此产生的所有费用由乙方承担。</w:t>
      </w:r>
    </w:p>
    <w:p w14:paraId="18CB3AA9">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ascii="仿宋" w:hAnsi="仿宋" w:eastAsia="仿宋" w:cs="宋体"/>
          <w:kern w:val="0"/>
          <w:sz w:val="24"/>
          <w:szCs w:val="24"/>
          <w:highlight w:val="none"/>
        </w:rPr>
      </w:pPr>
      <w:r>
        <w:rPr>
          <w:rFonts w:hint="eastAsia" w:ascii="仿宋" w:hAnsi="仿宋" w:eastAsia="仿宋" w:cs="宋体"/>
          <w:kern w:val="0"/>
          <w:sz w:val="24"/>
          <w:szCs w:val="24"/>
          <w:highlight w:val="none"/>
        </w:rPr>
        <w:t>（三）因乙方及乙方人员原因造成的甲方电梯故障及备件损坏，损失及费用由乙方承担。</w:t>
      </w:r>
    </w:p>
    <w:p w14:paraId="3C956F3F">
      <w:pPr>
        <w:keepNext w:val="0"/>
        <w:keepLines w:val="0"/>
        <w:pageBreakBefore w:val="0"/>
        <w:widowControl w:val="0"/>
        <w:kinsoku/>
        <w:wordWrap/>
        <w:overflowPunct/>
        <w:topLinePunct w:val="0"/>
        <w:autoSpaceDE/>
        <w:autoSpaceDN/>
        <w:bidi w:val="0"/>
        <w:adjustRightInd/>
        <w:spacing w:line="360" w:lineRule="exact"/>
        <w:ind w:firstLine="480" w:firstLineChars="200"/>
        <w:textAlignment w:val="auto"/>
        <w:rPr>
          <w:rFonts w:ascii="仿宋" w:hAnsi="仿宋" w:eastAsia="仿宋" w:cs="宋体"/>
          <w:kern w:val="0"/>
          <w:sz w:val="24"/>
          <w:szCs w:val="24"/>
          <w:highlight w:val="none"/>
        </w:rPr>
      </w:pPr>
      <w:r>
        <w:rPr>
          <w:rFonts w:hint="eastAsia" w:ascii="仿宋" w:hAnsi="仿宋" w:eastAsia="仿宋" w:cs="宋体"/>
          <w:kern w:val="0"/>
          <w:sz w:val="24"/>
          <w:szCs w:val="24"/>
          <w:highlight w:val="none"/>
        </w:rPr>
        <w:t>（四）若电梯备件由乙方提供，则乙方必须出具税率为</w:t>
      </w:r>
      <w:r>
        <w:rPr>
          <w:rFonts w:hint="eastAsia" w:ascii="仿宋" w:hAnsi="仿宋" w:eastAsia="仿宋" w:cs="宋体"/>
          <w:kern w:val="0"/>
          <w:sz w:val="24"/>
          <w:szCs w:val="24"/>
          <w:highlight w:val="none"/>
          <w:u w:val="single"/>
        </w:rPr>
        <w:t>13%</w:t>
      </w:r>
      <w:r>
        <w:rPr>
          <w:rFonts w:hint="eastAsia" w:ascii="仿宋" w:hAnsi="仿宋" w:eastAsia="仿宋" w:cs="宋体"/>
          <w:kern w:val="0"/>
          <w:sz w:val="24"/>
          <w:szCs w:val="24"/>
          <w:highlight w:val="none"/>
        </w:rPr>
        <w:t>的增值税专用发票。</w:t>
      </w:r>
    </w:p>
    <w:p w14:paraId="10B76AF3">
      <w:pPr>
        <w:pStyle w:val="8"/>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宋体"/>
          <w:sz w:val="24"/>
          <w:szCs w:val="24"/>
        </w:rPr>
      </w:pPr>
    </w:p>
    <w:p w14:paraId="3DC584F9">
      <w:pPr>
        <w:pStyle w:val="8"/>
        <w:keepNext w:val="0"/>
        <w:keepLines w:val="0"/>
        <w:pageBreakBefore w:val="0"/>
        <w:widowControl w:val="0"/>
        <w:kinsoku/>
        <w:wordWrap/>
        <w:overflowPunct/>
        <w:topLinePunct w:val="0"/>
        <w:autoSpaceDE/>
        <w:autoSpaceDN/>
        <w:bidi w:val="0"/>
        <w:adjustRightInd/>
        <w:spacing w:line="360" w:lineRule="exact"/>
        <w:textAlignment w:val="auto"/>
        <w:rPr>
          <w:sz w:val="24"/>
          <w:szCs w:val="24"/>
        </w:rPr>
      </w:pPr>
    </w:p>
    <w:sectPr>
      <w:headerReference r:id="rId3" w:type="default"/>
      <w:footerReference r:id="rId4" w:type="default"/>
      <w:footerReference r:id="rId5" w:type="even"/>
      <w:pgSz w:w="11906" w:h="16838"/>
      <w:pgMar w:top="1644" w:right="1531" w:bottom="164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3B395">
    <w:pPr>
      <w:pStyle w:val="8"/>
      <w:framePr w:wrap="around" w:vAnchor="text" w:hAnchor="margin" w:xAlign="center" w:y="1"/>
    </w:pPr>
    <w:r>
      <w:rPr>
        <w:rFonts w:hint="eastAsia"/>
      </w:rPr>
      <w:t xml:space="preserve">第 </w:t>
    </w:r>
    <w:r>
      <w:fldChar w:fldCharType="begin"/>
    </w:r>
    <w:r>
      <w:instrText xml:space="preserve"> PAGE  \* MERGEFORMAT </w:instrText>
    </w:r>
    <w:r>
      <w:fldChar w:fldCharType="separate"/>
    </w:r>
    <w:r>
      <w:t>17</w:t>
    </w:r>
    <w:r>
      <w:fldChar w:fldCharType="end"/>
    </w:r>
    <w:r>
      <w:rPr>
        <w:rFonts w:hint="eastAsia"/>
      </w:rPr>
      <w:t xml:space="preserve"> 页 共 </w:t>
    </w:r>
    <w:r>
      <w:fldChar w:fldCharType="begin"/>
    </w:r>
    <w:r>
      <w:instrText xml:space="preserve"> NUMPAGES  \* MERGEFORMAT </w:instrText>
    </w:r>
    <w:r>
      <w:fldChar w:fldCharType="separate"/>
    </w:r>
    <w:r>
      <w:t>20</w:t>
    </w:r>
    <w:r>
      <w:fldChar w:fldCharType="end"/>
    </w:r>
    <w:r>
      <w:rPr>
        <w:rFonts w:hint="eastAsia"/>
      </w:rPr>
      <w:t xml:space="preserve"> 页</w:t>
    </w:r>
  </w:p>
  <w:p w14:paraId="67276CBE">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71A9E">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14:paraId="63DDAFAB">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10FAE">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335E6F"/>
    <w:multiLevelType w:val="multilevel"/>
    <w:tmpl w:val="46335E6F"/>
    <w:lvl w:ilvl="0" w:tentative="0">
      <w:start w:val="1"/>
      <w:numFmt w:val="decimal"/>
      <w:pStyle w:val="3"/>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
    <w:nsid w:val="6DE37B95"/>
    <w:multiLevelType w:val="multilevel"/>
    <w:tmpl w:val="6DE37B95"/>
    <w:lvl w:ilvl="0" w:tentative="0">
      <w:start w:val="1"/>
      <w:numFmt w:val="decimal"/>
      <w:lvlText w:val="1.4.5.%1"/>
      <w:lvlJc w:val="left"/>
      <w:pPr>
        <w:tabs>
          <w:tab w:val="left" w:pos="720"/>
        </w:tabs>
        <w:ind w:left="0" w:firstLine="0"/>
      </w:pPr>
      <w:rPr>
        <w:rFonts w:hint="eastAsia"/>
      </w:rPr>
    </w:lvl>
    <w:lvl w:ilvl="1" w:tentative="0">
      <w:start w:val="1"/>
      <w:numFmt w:val="decimal"/>
      <w:pStyle w:val="2"/>
      <w:lvlText w:val="%1.%2"/>
      <w:lvlJc w:val="left"/>
      <w:pPr>
        <w:tabs>
          <w:tab w:val="left" w:pos="360"/>
        </w:tabs>
        <w:ind w:left="0" w:firstLine="0"/>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4MTliYzIzMDU3MjEwMjcyODgyYjFmM2UwY2RmNzkifQ=="/>
    <w:docVar w:name="KSO_WPS_MARK_KEY" w:val="a78cfdef-15d6-45f2-8d22-96dc254c9bd3"/>
  </w:docVars>
  <w:rsids>
    <w:rsidRoot w:val="001410AA"/>
    <w:rsid w:val="00021766"/>
    <w:rsid w:val="00023DE4"/>
    <w:rsid w:val="000263BB"/>
    <w:rsid w:val="00030BFC"/>
    <w:rsid w:val="0004558B"/>
    <w:rsid w:val="00052606"/>
    <w:rsid w:val="00075E4B"/>
    <w:rsid w:val="00083F33"/>
    <w:rsid w:val="000A1CA3"/>
    <w:rsid w:val="000B2B02"/>
    <w:rsid w:val="000B78AE"/>
    <w:rsid w:val="000F6841"/>
    <w:rsid w:val="000F72FA"/>
    <w:rsid w:val="00101D28"/>
    <w:rsid w:val="00105900"/>
    <w:rsid w:val="00115A74"/>
    <w:rsid w:val="00130EEF"/>
    <w:rsid w:val="001410AA"/>
    <w:rsid w:val="001508B1"/>
    <w:rsid w:val="001540EE"/>
    <w:rsid w:val="0015538B"/>
    <w:rsid w:val="00182E63"/>
    <w:rsid w:val="00182F7F"/>
    <w:rsid w:val="001A3F58"/>
    <w:rsid w:val="001F6580"/>
    <w:rsid w:val="001F7648"/>
    <w:rsid w:val="00207967"/>
    <w:rsid w:val="002143BE"/>
    <w:rsid w:val="002213C5"/>
    <w:rsid w:val="002215E0"/>
    <w:rsid w:val="00257315"/>
    <w:rsid w:val="00261EBB"/>
    <w:rsid w:val="00274D35"/>
    <w:rsid w:val="002777B9"/>
    <w:rsid w:val="002833EC"/>
    <w:rsid w:val="002A5404"/>
    <w:rsid w:val="002C2B6A"/>
    <w:rsid w:val="002D0D19"/>
    <w:rsid w:val="002E566B"/>
    <w:rsid w:val="00306FCE"/>
    <w:rsid w:val="003119C3"/>
    <w:rsid w:val="00313AC3"/>
    <w:rsid w:val="00331E16"/>
    <w:rsid w:val="0035615D"/>
    <w:rsid w:val="00357030"/>
    <w:rsid w:val="003E2A62"/>
    <w:rsid w:val="003E2F75"/>
    <w:rsid w:val="004056DD"/>
    <w:rsid w:val="00430279"/>
    <w:rsid w:val="00441423"/>
    <w:rsid w:val="004467EB"/>
    <w:rsid w:val="0047669F"/>
    <w:rsid w:val="004A19E3"/>
    <w:rsid w:val="004B3900"/>
    <w:rsid w:val="004B47E1"/>
    <w:rsid w:val="004D1098"/>
    <w:rsid w:val="004D783E"/>
    <w:rsid w:val="005044E4"/>
    <w:rsid w:val="00540A32"/>
    <w:rsid w:val="0056474E"/>
    <w:rsid w:val="00573580"/>
    <w:rsid w:val="00577EEA"/>
    <w:rsid w:val="005918C5"/>
    <w:rsid w:val="00595C54"/>
    <w:rsid w:val="005978D5"/>
    <w:rsid w:val="005A5014"/>
    <w:rsid w:val="005C3FB2"/>
    <w:rsid w:val="005D39B6"/>
    <w:rsid w:val="005E3D76"/>
    <w:rsid w:val="005F4213"/>
    <w:rsid w:val="005F661A"/>
    <w:rsid w:val="006111D9"/>
    <w:rsid w:val="0067038A"/>
    <w:rsid w:val="00677E8F"/>
    <w:rsid w:val="00697A3B"/>
    <w:rsid w:val="006A20A4"/>
    <w:rsid w:val="006B5146"/>
    <w:rsid w:val="006B5FCF"/>
    <w:rsid w:val="006D2DE2"/>
    <w:rsid w:val="006E4E5C"/>
    <w:rsid w:val="006F0880"/>
    <w:rsid w:val="0071463A"/>
    <w:rsid w:val="0074522A"/>
    <w:rsid w:val="00762871"/>
    <w:rsid w:val="00771D04"/>
    <w:rsid w:val="00782851"/>
    <w:rsid w:val="007B68FE"/>
    <w:rsid w:val="007F0B08"/>
    <w:rsid w:val="0080458A"/>
    <w:rsid w:val="00811231"/>
    <w:rsid w:val="00816971"/>
    <w:rsid w:val="00823241"/>
    <w:rsid w:val="008266E5"/>
    <w:rsid w:val="00842AFA"/>
    <w:rsid w:val="00843098"/>
    <w:rsid w:val="00860219"/>
    <w:rsid w:val="00865D07"/>
    <w:rsid w:val="00871E5F"/>
    <w:rsid w:val="00875476"/>
    <w:rsid w:val="008A7236"/>
    <w:rsid w:val="008B4DBE"/>
    <w:rsid w:val="008B5017"/>
    <w:rsid w:val="008C29E4"/>
    <w:rsid w:val="008D5C80"/>
    <w:rsid w:val="00901F3C"/>
    <w:rsid w:val="00912664"/>
    <w:rsid w:val="00924477"/>
    <w:rsid w:val="009263E6"/>
    <w:rsid w:val="00942A13"/>
    <w:rsid w:val="00946298"/>
    <w:rsid w:val="009518F1"/>
    <w:rsid w:val="009603DF"/>
    <w:rsid w:val="009A2C79"/>
    <w:rsid w:val="009B0574"/>
    <w:rsid w:val="00A05D7E"/>
    <w:rsid w:val="00A21523"/>
    <w:rsid w:val="00A47C7F"/>
    <w:rsid w:val="00A541E7"/>
    <w:rsid w:val="00A57511"/>
    <w:rsid w:val="00A80EF4"/>
    <w:rsid w:val="00AA251E"/>
    <w:rsid w:val="00AB74AC"/>
    <w:rsid w:val="00AD1F5A"/>
    <w:rsid w:val="00B20483"/>
    <w:rsid w:val="00B43115"/>
    <w:rsid w:val="00B55A5C"/>
    <w:rsid w:val="00B753F5"/>
    <w:rsid w:val="00B81B62"/>
    <w:rsid w:val="00BA78E0"/>
    <w:rsid w:val="00BC20D1"/>
    <w:rsid w:val="00BE2F02"/>
    <w:rsid w:val="00BF0EE3"/>
    <w:rsid w:val="00BF5710"/>
    <w:rsid w:val="00C110CC"/>
    <w:rsid w:val="00C202B2"/>
    <w:rsid w:val="00C313A3"/>
    <w:rsid w:val="00C62CEC"/>
    <w:rsid w:val="00C74CB8"/>
    <w:rsid w:val="00C92CDA"/>
    <w:rsid w:val="00CA087F"/>
    <w:rsid w:val="00CA1945"/>
    <w:rsid w:val="00CA5447"/>
    <w:rsid w:val="00CA5590"/>
    <w:rsid w:val="00CB527B"/>
    <w:rsid w:val="00CB72F7"/>
    <w:rsid w:val="00CE28E9"/>
    <w:rsid w:val="00CF54ED"/>
    <w:rsid w:val="00D036F3"/>
    <w:rsid w:val="00D14920"/>
    <w:rsid w:val="00D33C0F"/>
    <w:rsid w:val="00D55BB8"/>
    <w:rsid w:val="00DC745D"/>
    <w:rsid w:val="00DE6777"/>
    <w:rsid w:val="00E03327"/>
    <w:rsid w:val="00E11229"/>
    <w:rsid w:val="00E33C92"/>
    <w:rsid w:val="00E505EA"/>
    <w:rsid w:val="00E57AE9"/>
    <w:rsid w:val="00E8762D"/>
    <w:rsid w:val="00E900C5"/>
    <w:rsid w:val="00E91EF8"/>
    <w:rsid w:val="00EB4A46"/>
    <w:rsid w:val="00EB7831"/>
    <w:rsid w:val="00ED0ACD"/>
    <w:rsid w:val="00F0665D"/>
    <w:rsid w:val="00F17508"/>
    <w:rsid w:val="00F67467"/>
    <w:rsid w:val="00FA5CA3"/>
    <w:rsid w:val="00FB3590"/>
    <w:rsid w:val="00FB3F1B"/>
    <w:rsid w:val="00FB42DF"/>
    <w:rsid w:val="00FC7B72"/>
    <w:rsid w:val="0106783C"/>
    <w:rsid w:val="017C5EE6"/>
    <w:rsid w:val="01D1761C"/>
    <w:rsid w:val="03E736D5"/>
    <w:rsid w:val="04C3174A"/>
    <w:rsid w:val="0566720C"/>
    <w:rsid w:val="05A82283"/>
    <w:rsid w:val="0665430B"/>
    <w:rsid w:val="07864B5E"/>
    <w:rsid w:val="08355717"/>
    <w:rsid w:val="08CA234D"/>
    <w:rsid w:val="0AD603CF"/>
    <w:rsid w:val="0BB3054B"/>
    <w:rsid w:val="0BC47E9F"/>
    <w:rsid w:val="0DAF515C"/>
    <w:rsid w:val="0E371171"/>
    <w:rsid w:val="0F04512D"/>
    <w:rsid w:val="0F8B2F3A"/>
    <w:rsid w:val="117458B4"/>
    <w:rsid w:val="128C6A61"/>
    <w:rsid w:val="12C6620B"/>
    <w:rsid w:val="13CA1EBA"/>
    <w:rsid w:val="15225E04"/>
    <w:rsid w:val="157A2BF1"/>
    <w:rsid w:val="1707385C"/>
    <w:rsid w:val="18EB2979"/>
    <w:rsid w:val="1981631B"/>
    <w:rsid w:val="1A2D5398"/>
    <w:rsid w:val="1A8C6B46"/>
    <w:rsid w:val="1AF807D5"/>
    <w:rsid w:val="1B2E5E02"/>
    <w:rsid w:val="1B6D2016"/>
    <w:rsid w:val="1C807C94"/>
    <w:rsid w:val="1D0D1990"/>
    <w:rsid w:val="1D144170"/>
    <w:rsid w:val="1D7C5E1C"/>
    <w:rsid w:val="1DF75563"/>
    <w:rsid w:val="1EED3033"/>
    <w:rsid w:val="1EEF08DC"/>
    <w:rsid w:val="22BD49A5"/>
    <w:rsid w:val="22E11FD6"/>
    <w:rsid w:val="2403745D"/>
    <w:rsid w:val="25D33D5C"/>
    <w:rsid w:val="26634311"/>
    <w:rsid w:val="267253AF"/>
    <w:rsid w:val="27500157"/>
    <w:rsid w:val="27CB6838"/>
    <w:rsid w:val="27EA0F9E"/>
    <w:rsid w:val="28ED2BC0"/>
    <w:rsid w:val="29BF724A"/>
    <w:rsid w:val="2CFD2B67"/>
    <w:rsid w:val="2D433CEE"/>
    <w:rsid w:val="2E864BA1"/>
    <w:rsid w:val="311B3B9C"/>
    <w:rsid w:val="32282E17"/>
    <w:rsid w:val="32434E2A"/>
    <w:rsid w:val="326B415C"/>
    <w:rsid w:val="32764140"/>
    <w:rsid w:val="33716C80"/>
    <w:rsid w:val="338747DE"/>
    <w:rsid w:val="349E59CD"/>
    <w:rsid w:val="34D60809"/>
    <w:rsid w:val="34FB0C10"/>
    <w:rsid w:val="35A501FA"/>
    <w:rsid w:val="3B9B3E7C"/>
    <w:rsid w:val="3CAA57A9"/>
    <w:rsid w:val="3D7DCE9C"/>
    <w:rsid w:val="3D837BC3"/>
    <w:rsid w:val="3D8753A7"/>
    <w:rsid w:val="3DB30851"/>
    <w:rsid w:val="3DBC5C4F"/>
    <w:rsid w:val="3DF751B4"/>
    <w:rsid w:val="3E2277C4"/>
    <w:rsid w:val="3F275B2B"/>
    <w:rsid w:val="3FC2564D"/>
    <w:rsid w:val="3FF972E6"/>
    <w:rsid w:val="40EE2281"/>
    <w:rsid w:val="412F6F3C"/>
    <w:rsid w:val="42604518"/>
    <w:rsid w:val="43261AF8"/>
    <w:rsid w:val="43C053A5"/>
    <w:rsid w:val="440C2ACD"/>
    <w:rsid w:val="44265C82"/>
    <w:rsid w:val="4446644C"/>
    <w:rsid w:val="449415B4"/>
    <w:rsid w:val="45276764"/>
    <w:rsid w:val="469D4D1C"/>
    <w:rsid w:val="47410109"/>
    <w:rsid w:val="48293E3A"/>
    <w:rsid w:val="492E74F5"/>
    <w:rsid w:val="497C6897"/>
    <w:rsid w:val="49C24BA2"/>
    <w:rsid w:val="49D23233"/>
    <w:rsid w:val="4B266732"/>
    <w:rsid w:val="4B595C23"/>
    <w:rsid w:val="4B81235A"/>
    <w:rsid w:val="4C1D6316"/>
    <w:rsid w:val="4C9556EF"/>
    <w:rsid w:val="4CAD1463"/>
    <w:rsid w:val="4CF07C46"/>
    <w:rsid w:val="4D4E09F3"/>
    <w:rsid w:val="4DE33943"/>
    <w:rsid w:val="4EB814FB"/>
    <w:rsid w:val="4F542BFC"/>
    <w:rsid w:val="501C599E"/>
    <w:rsid w:val="512E363A"/>
    <w:rsid w:val="516A74AC"/>
    <w:rsid w:val="519E4B0B"/>
    <w:rsid w:val="51D503CD"/>
    <w:rsid w:val="529671F9"/>
    <w:rsid w:val="52FA13DD"/>
    <w:rsid w:val="537F7666"/>
    <w:rsid w:val="5420040B"/>
    <w:rsid w:val="55484D06"/>
    <w:rsid w:val="58115890"/>
    <w:rsid w:val="58E77FB3"/>
    <w:rsid w:val="59DF2B42"/>
    <w:rsid w:val="59FA5754"/>
    <w:rsid w:val="5A5244B3"/>
    <w:rsid w:val="5A75477C"/>
    <w:rsid w:val="5AE761B8"/>
    <w:rsid w:val="5BC71E37"/>
    <w:rsid w:val="5C1E6D57"/>
    <w:rsid w:val="5C77448B"/>
    <w:rsid w:val="5D0420A0"/>
    <w:rsid w:val="5EDB4DB7"/>
    <w:rsid w:val="5F7E6FBE"/>
    <w:rsid w:val="5FF72FCF"/>
    <w:rsid w:val="60E75E2A"/>
    <w:rsid w:val="620103C0"/>
    <w:rsid w:val="629C3213"/>
    <w:rsid w:val="62B2091D"/>
    <w:rsid w:val="63510D26"/>
    <w:rsid w:val="64633FE3"/>
    <w:rsid w:val="648D731F"/>
    <w:rsid w:val="65D20444"/>
    <w:rsid w:val="65D90FEF"/>
    <w:rsid w:val="67BC7E0A"/>
    <w:rsid w:val="67E037C3"/>
    <w:rsid w:val="69B5110F"/>
    <w:rsid w:val="6A8C735E"/>
    <w:rsid w:val="6BAD0A9E"/>
    <w:rsid w:val="6C2632A2"/>
    <w:rsid w:val="6C8D2FC3"/>
    <w:rsid w:val="6CF43673"/>
    <w:rsid w:val="6E1E0077"/>
    <w:rsid w:val="6E6210BC"/>
    <w:rsid w:val="6F4D1078"/>
    <w:rsid w:val="6FE018BD"/>
    <w:rsid w:val="75AB2B8A"/>
    <w:rsid w:val="77F51961"/>
    <w:rsid w:val="7865368A"/>
    <w:rsid w:val="7984533C"/>
    <w:rsid w:val="798C56F4"/>
    <w:rsid w:val="7A7D24CE"/>
    <w:rsid w:val="7E0A06CC"/>
    <w:rsid w:val="7E81126D"/>
    <w:rsid w:val="7E91392E"/>
    <w:rsid w:val="7F62795D"/>
    <w:rsid w:val="7F8B072E"/>
    <w:rsid w:val="7FEF6CDB"/>
    <w:rsid w:val="8DEA6DE6"/>
    <w:rsid w:val="FFFFF148"/>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引言二级条标题"/>
    <w:basedOn w:val="3"/>
    <w:next w:val="4"/>
    <w:qFormat/>
    <w:uiPriority w:val="0"/>
    <w:pPr>
      <w:numPr>
        <w:ilvl w:val="1"/>
        <w:numId w:val="1"/>
      </w:numPr>
    </w:pPr>
    <w:rPr>
      <w:rFonts w:ascii="Calibri" w:hAnsi="Calibri"/>
      <w:b w:val="0"/>
    </w:rPr>
  </w:style>
  <w:style w:type="paragraph" w:customStyle="1" w:styleId="3">
    <w:name w:val="引言一级条标题"/>
    <w:basedOn w:val="1"/>
    <w:next w:val="4"/>
    <w:qFormat/>
    <w:uiPriority w:val="0"/>
    <w:pPr>
      <w:numPr>
        <w:ilvl w:val="0"/>
        <w:numId w:val="2"/>
      </w:numPr>
    </w:pPr>
    <w:rPr>
      <w:rFonts w:eastAsia="黑体"/>
      <w:b/>
    </w:rPr>
  </w:style>
  <w:style w:type="paragraph" w:customStyle="1" w:styleId="4">
    <w:name w:val="段"/>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styleId="5">
    <w:name w:val="annotation text"/>
    <w:basedOn w:val="1"/>
    <w:link w:val="17"/>
    <w:semiHidden/>
    <w:qFormat/>
    <w:uiPriority w:val="99"/>
    <w:pPr>
      <w:jc w:val="left"/>
    </w:pPr>
  </w:style>
  <w:style w:type="paragraph" w:styleId="6">
    <w:name w:val="Body Text"/>
    <w:basedOn w:val="1"/>
    <w:qFormat/>
    <w:uiPriority w:val="0"/>
    <w:pPr>
      <w:spacing w:after="120"/>
    </w:pPr>
    <w:rPr>
      <w:rFonts w:ascii="宋体" w:hAnsi="宋体"/>
      <w:sz w:val="24"/>
    </w:rPr>
  </w:style>
  <w:style w:type="paragraph" w:styleId="7">
    <w:name w:val="Balloon Text"/>
    <w:basedOn w:val="1"/>
    <w:link w:val="19"/>
    <w:semiHidden/>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sz w:val="18"/>
      <w:szCs w:val="18"/>
    </w:rPr>
  </w:style>
  <w:style w:type="paragraph" w:styleId="9">
    <w:name w:val="header"/>
    <w:basedOn w:val="1"/>
    <w:link w:val="21"/>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0">
    <w:name w:val="annotation subject"/>
    <w:basedOn w:val="5"/>
    <w:next w:val="5"/>
    <w:link w:val="18"/>
    <w:semiHidden/>
    <w:qFormat/>
    <w:uiPriority w:val="99"/>
    <w:rPr>
      <w:b/>
      <w:bCs/>
    </w:rPr>
  </w:style>
  <w:style w:type="table" w:styleId="12">
    <w:name w:val="Table Grid"/>
    <w:basedOn w:val="11"/>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99"/>
    <w:rPr>
      <w:rFonts w:cs="Times New Roman"/>
    </w:rPr>
  </w:style>
  <w:style w:type="character" w:styleId="15">
    <w:name w:val="Hyperlink"/>
    <w:basedOn w:val="13"/>
    <w:semiHidden/>
    <w:unhideWhenUsed/>
    <w:qFormat/>
    <w:uiPriority w:val="99"/>
    <w:rPr>
      <w:color w:val="0000FF"/>
      <w:u w:val="single"/>
    </w:rPr>
  </w:style>
  <w:style w:type="character" w:styleId="16">
    <w:name w:val="annotation reference"/>
    <w:basedOn w:val="13"/>
    <w:semiHidden/>
    <w:qFormat/>
    <w:uiPriority w:val="99"/>
    <w:rPr>
      <w:rFonts w:cs="Times New Roman"/>
      <w:sz w:val="21"/>
      <w:szCs w:val="21"/>
    </w:rPr>
  </w:style>
  <w:style w:type="character" w:customStyle="1" w:styleId="17">
    <w:name w:val="批注文字 Char"/>
    <w:basedOn w:val="13"/>
    <w:link w:val="5"/>
    <w:semiHidden/>
    <w:qFormat/>
    <w:locked/>
    <w:uiPriority w:val="99"/>
    <w:rPr>
      <w:rFonts w:ascii="Times New Roman" w:hAnsi="Times New Roman" w:eastAsia="宋体" w:cs="Times New Roman"/>
      <w:sz w:val="24"/>
      <w:szCs w:val="24"/>
    </w:rPr>
  </w:style>
  <w:style w:type="character" w:customStyle="1" w:styleId="18">
    <w:name w:val="批注主题 Char"/>
    <w:basedOn w:val="17"/>
    <w:link w:val="10"/>
    <w:semiHidden/>
    <w:qFormat/>
    <w:locked/>
    <w:uiPriority w:val="99"/>
    <w:rPr>
      <w:b/>
      <w:bCs/>
    </w:rPr>
  </w:style>
  <w:style w:type="character" w:customStyle="1" w:styleId="19">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0">
    <w:name w:val="页脚 Char"/>
    <w:basedOn w:val="13"/>
    <w:link w:val="8"/>
    <w:qFormat/>
    <w:locked/>
    <w:uiPriority w:val="99"/>
    <w:rPr>
      <w:rFonts w:cs="Times New Roman"/>
      <w:sz w:val="18"/>
      <w:szCs w:val="18"/>
    </w:rPr>
  </w:style>
  <w:style w:type="character" w:customStyle="1" w:styleId="21">
    <w:name w:val="页眉 Char"/>
    <w:basedOn w:val="13"/>
    <w:link w:val="9"/>
    <w:qFormat/>
    <w:locked/>
    <w:uiPriority w:val="99"/>
    <w:rPr>
      <w:rFonts w:cs="Times New Roman"/>
      <w:sz w:val="18"/>
      <w:szCs w:val="18"/>
    </w:rPr>
  </w:style>
  <w:style w:type="character" w:customStyle="1" w:styleId="22">
    <w:name w:val="font21"/>
    <w:basedOn w:val="13"/>
    <w:qFormat/>
    <w:uiPriority w:val="0"/>
    <w:rPr>
      <w:rFonts w:hint="eastAsia" w:ascii="宋体" w:hAnsi="宋体" w:eastAsia="宋体" w:cs="宋体"/>
      <w:color w:val="000000"/>
      <w:sz w:val="24"/>
      <w:szCs w:val="24"/>
      <w:u w:val="none"/>
    </w:rPr>
  </w:style>
  <w:style w:type="paragraph" w:styleId="23">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微软中国</Company>
  <Pages>2</Pages>
  <Words>8089</Words>
  <Characters>8577</Characters>
  <Lines>8</Lines>
  <Paragraphs>17</Paragraphs>
  <TotalTime>11</TotalTime>
  <ScaleCrop>false</ScaleCrop>
  <LinksUpToDate>false</LinksUpToDate>
  <CharactersWithSpaces>8868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2017-05-02T18:22:00Z</dcterms:created>
  <dc:creator>微软用户</dc:creator>
  <cp:lastModifiedBy>赵薇</cp:lastModifiedBy>
  <cp:lastPrinted>2021-06-18T10:09:00Z</cp:lastPrinted>
  <dcterms:modified xsi:type="dcterms:W3CDTF">2026-04-02T10:02:34Z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73B0A99ED29844DEA5FBEE489C527EBA_13</vt:lpwstr>
  </property>
  <property fmtid="{D5CDD505-2E9C-101B-9397-08002B2CF9AE}" pid="4" name="KSOTemplateDocerSaveRecord">
    <vt:lpwstr>eyJoZGlkIjoiYjk5OGRiOGM0ZDViYTk2MGNhNTk3ZjZjN2M2M2FiM2IifQ==</vt:lpwstr>
  </property>
</Properties>
</file>