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20" w:lineRule="exact"/>
        <w:jc w:val="center"/>
        <w:textAlignment w:val="auto"/>
        <w:rPr>
          <w:rFonts w:hint="eastAsia" w:ascii="华文中宋" w:hAnsi="华文中宋" w:eastAsia="华文中宋" w:cs="Arial"/>
          <w:color w:val="auto"/>
          <w:kern w:val="44"/>
          <w:sz w:val="36"/>
          <w:szCs w:val="22"/>
          <w:highlight w:val="none"/>
          <w:lang w:val="en-US" w:eastAsia="zh-CN" w:bidi="ar-SA"/>
        </w:rPr>
      </w:pPr>
      <w:r>
        <w:rPr>
          <w:rFonts w:hint="eastAsia" w:ascii="华文中宋" w:hAnsi="华文中宋" w:eastAsia="华文中宋" w:cs="Arial"/>
          <w:color w:val="auto"/>
          <w:kern w:val="44"/>
          <w:sz w:val="36"/>
          <w:szCs w:val="22"/>
          <w:highlight w:val="none"/>
          <w:lang w:val="en-US" w:eastAsia="zh-CN" w:bidi="ar-SA"/>
        </w:rPr>
        <w:t>酒钢集团甘肃东兴嘉信新材料有限公司不可拆卸及便携式监视和测量器具检测方案</w:t>
      </w:r>
    </w:p>
    <w:p>
      <w:pPr>
        <w:keepNext w:val="0"/>
        <w:keepLines w:val="0"/>
        <w:pageBreakBefore w:val="0"/>
        <w:widowControl w:val="0"/>
        <w:tabs>
          <w:tab w:val="left" w:pos="525"/>
          <w:tab w:val="left" w:pos="987"/>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rPr>
      </w:pPr>
    </w:p>
    <w:p>
      <w:pPr>
        <w:keepNext w:val="0"/>
        <w:keepLines w:val="0"/>
        <w:pageBreakBefore w:val="0"/>
        <w:widowControl w:val="0"/>
        <w:tabs>
          <w:tab w:val="left" w:pos="525"/>
          <w:tab w:val="left" w:pos="987"/>
        </w:tabs>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工作内容</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kern w:val="0"/>
          <w:sz w:val="32"/>
          <w:szCs w:val="32"/>
          <w:lang w:eastAsia="zh-CN"/>
        </w:rPr>
        <w:t>乙方在甲方</w:t>
      </w:r>
      <w:r>
        <w:rPr>
          <w:rFonts w:hint="eastAsia" w:ascii="仿宋_GB2312" w:hAnsi="宋体" w:eastAsia="仿宋_GB2312" w:cs="宋体"/>
          <w:kern w:val="0"/>
          <w:sz w:val="32"/>
          <w:szCs w:val="32"/>
          <w:lang w:val="en-US" w:eastAsia="zh-CN"/>
        </w:rPr>
        <w:t>厂区</w:t>
      </w:r>
      <w:r>
        <w:rPr>
          <w:rFonts w:hint="eastAsia" w:ascii="仿宋_GB2312" w:hAnsi="宋体" w:eastAsia="仿宋_GB2312" w:cs="宋体"/>
          <w:kern w:val="0"/>
          <w:sz w:val="32"/>
          <w:szCs w:val="32"/>
          <w:lang w:eastAsia="zh-CN"/>
        </w:rPr>
        <w:t>指定的生产区域完成</w:t>
      </w:r>
      <w:r>
        <w:rPr>
          <w:rFonts w:hint="eastAsia" w:ascii="仿宋_GB2312" w:hAnsi="宋体" w:eastAsia="仿宋_GB2312" w:cs="宋体"/>
          <w:kern w:val="0"/>
          <w:sz w:val="32"/>
          <w:szCs w:val="32"/>
          <w:lang w:val="en-US" w:eastAsia="zh-CN"/>
        </w:rPr>
        <w:t>不可拆卸监视和测量器具的检定或校准服务。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二、技术要求</w:t>
      </w:r>
    </w:p>
    <w:p>
      <w:pPr>
        <w:keepNext w:val="0"/>
        <w:keepLines w:val="0"/>
        <w:pageBreakBefore w:val="0"/>
        <w:widowControl w:val="0"/>
        <w:tabs>
          <w:tab w:val="left" w:pos="525"/>
          <w:tab w:val="left" w:pos="987"/>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lang w:eastAsia="zh-CN"/>
        </w:rPr>
        <w:t>（一）</w:t>
      </w:r>
      <w:r>
        <w:rPr>
          <w:rFonts w:hint="eastAsia" w:ascii="仿宋_GB2312" w:hAnsi="宋体" w:eastAsia="仿宋_GB2312" w:cs="宋体"/>
          <w:kern w:val="0"/>
          <w:sz w:val="32"/>
          <w:szCs w:val="32"/>
        </w:rPr>
        <w:t>本次计量器具委托检测项目</w:t>
      </w:r>
      <w:r>
        <w:rPr>
          <w:rFonts w:hint="eastAsia" w:ascii="仿宋_GB2312" w:hAnsi="宋体" w:eastAsia="仿宋_GB2312" w:cs="宋体"/>
          <w:kern w:val="0"/>
          <w:sz w:val="32"/>
          <w:szCs w:val="32"/>
          <w:lang w:eastAsia="zh-CN"/>
        </w:rPr>
        <w:t>乙</w:t>
      </w:r>
      <w:r>
        <w:rPr>
          <w:rFonts w:hint="eastAsia" w:ascii="仿宋_GB2312" w:hAnsi="宋体" w:eastAsia="仿宋_GB2312" w:cs="宋体"/>
          <w:kern w:val="0"/>
          <w:sz w:val="32"/>
          <w:szCs w:val="32"/>
        </w:rPr>
        <w:t>方须严格执行技术标准，按国家规范完成</w:t>
      </w:r>
      <w:r>
        <w:rPr>
          <w:rFonts w:hint="eastAsia" w:ascii="仿宋_GB2312" w:hAnsi="宋体" w:eastAsia="仿宋_GB2312" w:cs="宋体"/>
          <w:kern w:val="0"/>
          <w:sz w:val="32"/>
          <w:szCs w:val="32"/>
          <w:lang w:val="en-US" w:eastAsia="zh-CN"/>
        </w:rPr>
        <w:t>监视和测量</w:t>
      </w:r>
      <w:r>
        <w:rPr>
          <w:rFonts w:hint="eastAsia" w:ascii="仿宋_GB2312" w:hAnsi="宋体" w:eastAsia="仿宋_GB2312" w:cs="宋体"/>
          <w:kern w:val="0"/>
          <w:sz w:val="32"/>
          <w:szCs w:val="32"/>
        </w:rPr>
        <w:t>器具检测工作</w:t>
      </w:r>
      <w:r>
        <w:rPr>
          <w:rFonts w:hint="eastAsia" w:ascii="仿宋_GB2312" w:hAnsi="宋体" w:eastAsia="仿宋_GB2312" w:cs="宋体"/>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二</w:t>
      </w:r>
      <w:r>
        <w:rPr>
          <w:rFonts w:hint="eastAsia" w:ascii="仿宋_GB2312" w:hAnsi="宋体" w:eastAsia="仿宋_GB2312" w:cs="宋体"/>
          <w:kern w:val="0"/>
          <w:sz w:val="32"/>
          <w:szCs w:val="32"/>
        </w:rPr>
        <w:t>）对于没有计量检定规程的计量器具</w:t>
      </w:r>
      <w:r>
        <w:rPr>
          <w:rFonts w:hint="eastAsia" w:ascii="仿宋_GB2312" w:hAnsi="宋体" w:eastAsia="仿宋_GB2312" w:cs="宋体"/>
          <w:kern w:val="0"/>
          <w:sz w:val="32"/>
          <w:szCs w:val="32"/>
          <w:lang w:eastAsia="zh-CN"/>
        </w:rPr>
        <w:t>乙方</w:t>
      </w:r>
      <w:r>
        <w:rPr>
          <w:rFonts w:hint="eastAsia" w:ascii="仿宋_GB2312" w:hAnsi="宋体" w:eastAsia="仿宋_GB2312" w:cs="宋体"/>
          <w:kern w:val="0"/>
          <w:sz w:val="32"/>
          <w:szCs w:val="32"/>
        </w:rPr>
        <w:t>可使用设备制造商指定的方法；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三</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乙方</w:t>
      </w:r>
      <w:r>
        <w:rPr>
          <w:rFonts w:hint="eastAsia" w:ascii="仿宋_GB2312" w:hAnsi="宋体" w:eastAsia="仿宋_GB2312" w:cs="宋体"/>
          <w:kern w:val="0"/>
          <w:sz w:val="32"/>
          <w:szCs w:val="32"/>
        </w:rPr>
        <w:t>使用非标准方法时，应征得</w:t>
      </w:r>
      <w:r>
        <w:rPr>
          <w:rFonts w:hint="eastAsia" w:ascii="仿宋_GB2312" w:hAnsi="宋体" w:eastAsia="仿宋_GB2312" w:cs="宋体"/>
          <w:kern w:val="0"/>
          <w:sz w:val="32"/>
          <w:szCs w:val="32"/>
          <w:lang w:eastAsia="zh-CN"/>
        </w:rPr>
        <w:t>甲方</w:t>
      </w:r>
      <w:r>
        <w:rPr>
          <w:rFonts w:hint="eastAsia" w:ascii="仿宋_GB2312" w:hAnsi="宋体" w:eastAsia="仿宋_GB2312" w:cs="宋体"/>
          <w:kern w:val="0"/>
          <w:sz w:val="32"/>
          <w:szCs w:val="32"/>
        </w:rPr>
        <w:t>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eastAsia="zh-CN"/>
        </w:rPr>
        <w:t>四</w:t>
      </w:r>
      <w:r>
        <w:rPr>
          <w:rFonts w:hint="eastAsia" w:ascii="仿宋_GB2312" w:hAnsi="宋体" w:eastAsia="仿宋_GB2312" w:cs="宋体"/>
          <w:kern w:val="0"/>
          <w:sz w:val="32"/>
          <w:szCs w:val="32"/>
        </w:rPr>
        <w:t>）现场检定/校准环境条件对检定员有特殊要求或对其健康安全有影响时，</w:t>
      </w:r>
      <w:r>
        <w:rPr>
          <w:rFonts w:hint="eastAsia" w:ascii="仿宋_GB2312" w:hAnsi="宋体" w:eastAsia="仿宋_GB2312" w:cs="宋体"/>
          <w:kern w:val="0"/>
          <w:sz w:val="32"/>
          <w:szCs w:val="32"/>
          <w:lang w:eastAsia="zh-CN"/>
        </w:rPr>
        <w:t>乙方</w:t>
      </w:r>
      <w:r>
        <w:rPr>
          <w:rFonts w:hint="eastAsia" w:ascii="仿宋_GB2312" w:hAnsi="宋体" w:eastAsia="仿宋_GB2312" w:cs="宋体"/>
          <w:kern w:val="0"/>
          <w:sz w:val="32"/>
          <w:szCs w:val="32"/>
        </w:rPr>
        <w:t>将在检定工作开始前就有关事项进行告知。</w:t>
      </w:r>
    </w:p>
    <w:p>
      <w:pPr>
        <w:keepNext w:val="0"/>
        <w:keepLines w:val="0"/>
        <w:pageBreakBefore w:val="0"/>
        <w:widowControl w:val="0"/>
        <w:tabs>
          <w:tab w:val="left" w:pos="525"/>
          <w:tab w:val="left" w:pos="987"/>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napToGrid w:val="0"/>
          <w:kern w:val="28"/>
          <w:sz w:val="32"/>
          <w:szCs w:val="32"/>
          <w:lang w:val="en-US"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w:t>
      </w:r>
      <w:r>
        <w:rPr>
          <w:rFonts w:hint="eastAsia" w:ascii="黑体" w:hAnsi="黑体" w:eastAsia="黑体" w:cs="黑体"/>
          <w:b w:val="0"/>
          <w:bCs/>
          <w:snapToGrid w:val="0"/>
          <w:kern w:val="28"/>
          <w:sz w:val="32"/>
          <w:szCs w:val="32"/>
        </w:rPr>
        <w:t>投标人资格要求</w:t>
      </w:r>
    </w:p>
    <w:p>
      <w:pPr>
        <w:keepNext w:val="0"/>
        <w:keepLines w:val="0"/>
        <w:pageBreakBefore w:val="0"/>
        <w:widowControl w:val="0"/>
        <w:tabs>
          <w:tab w:val="left" w:pos="525"/>
          <w:tab w:val="left" w:pos="987"/>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kern w:val="28"/>
          <w:sz w:val="32"/>
          <w:szCs w:val="32"/>
          <w:lang w:val="en-US" w:eastAsia="zh-CN"/>
        </w:rPr>
        <w:t>1.</w:t>
      </w:r>
      <w:r>
        <w:rPr>
          <w:rFonts w:hint="eastAsia" w:ascii="仿宋_GB2312" w:hAnsi="仿宋_GB2312" w:eastAsia="仿宋_GB2312" w:cs="仿宋_GB2312"/>
          <w:sz w:val="32"/>
          <w:szCs w:val="32"/>
          <w:lang w:val="en-US" w:eastAsia="zh-CN"/>
        </w:rPr>
        <w:t>投标人须为中华人民共和国境内的独立法人或其他组织；</w:t>
      </w:r>
    </w:p>
    <w:p>
      <w:pPr>
        <w:keepNext w:val="0"/>
        <w:keepLines w:val="0"/>
        <w:pageBreakBefore w:val="0"/>
        <w:widowControl w:val="0"/>
        <w:tabs>
          <w:tab w:val="left" w:pos="525"/>
          <w:tab w:val="left" w:pos="987"/>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2.投标人不是被最高人民法院在“信用中国”网站或各级信用信息共享平台中列入的失信被执行人；</w:t>
      </w:r>
    </w:p>
    <w:p>
      <w:pPr>
        <w:keepNext w:val="0"/>
        <w:keepLines w:val="0"/>
        <w:pageBreakBefore w:val="0"/>
        <w:widowControl w:val="0"/>
        <w:tabs>
          <w:tab w:val="left" w:pos="525"/>
          <w:tab w:val="left" w:pos="987"/>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sz w:val="32"/>
          <w:szCs w:val="32"/>
          <w:lang w:eastAsia="zh-CN"/>
        </w:rPr>
      </w:pPr>
      <w:r>
        <w:rPr>
          <w:rFonts w:hint="eastAsia" w:ascii="仿宋_GB2312" w:hAnsi="仿宋_GB2312" w:eastAsia="仿宋_GB2312" w:cs="仿宋_GB2312"/>
          <w:sz w:val="32"/>
          <w:szCs w:val="32"/>
          <w:lang w:val="en-US" w:eastAsia="zh-CN"/>
        </w:rPr>
        <w:t>3.投标单位具有市场监督管理局（原质量技术监督局）颁发的法定计量检定机构计量授权证书，且法定授权证书附表授权项目包含电磁流量计、质量流量计、铂热电阻、压力表等项目资质。</w:t>
      </w:r>
    </w:p>
    <w:p>
      <w:pPr>
        <w:keepNext w:val="0"/>
        <w:keepLines w:val="0"/>
        <w:pageBreakBefore w:val="0"/>
        <w:widowControl w:val="0"/>
        <w:tabs>
          <w:tab w:val="left" w:pos="525"/>
          <w:tab w:val="left" w:pos="987"/>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lang w:val="en-US" w:eastAsia="zh-CN"/>
        </w:rPr>
        <w:t>费用支付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 w:hAnsi="仿宋" w:eastAsia="仿宋" w:cs="仿宋"/>
          <w:i w:val="0"/>
          <w:caps w:val="0"/>
          <w:color w:val="0D0D2E"/>
          <w:spacing w:val="0"/>
          <w:sz w:val="32"/>
          <w:szCs w:val="32"/>
        </w:rPr>
        <w:t>同意</w:t>
      </w:r>
      <w:r>
        <w:rPr>
          <w:rFonts w:hint="eastAsia" w:ascii="仿宋" w:hAnsi="仿宋" w:eastAsia="仿宋" w:cs="仿宋"/>
          <w:i w:val="0"/>
          <w:caps w:val="0"/>
          <w:color w:val="0D0D2E"/>
          <w:spacing w:val="0"/>
          <w:sz w:val="32"/>
          <w:szCs w:val="32"/>
          <w:lang w:val="en-US" w:eastAsia="zh-CN"/>
        </w:rPr>
        <w:t>甘肃</w:t>
      </w:r>
      <w:r>
        <w:rPr>
          <w:rFonts w:hint="eastAsia" w:ascii="仿宋" w:hAnsi="仿宋" w:eastAsia="仿宋" w:cs="仿宋"/>
          <w:i w:val="0"/>
          <w:caps w:val="0"/>
          <w:color w:val="0D0D2E"/>
          <w:spacing w:val="0"/>
          <w:sz w:val="32"/>
          <w:szCs w:val="32"/>
        </w:rPr>
        <w:t>东兴铝</w:t>
      </w:r>
      <w:r>
        <w:rPr>
          <w:rFonts w:hint="eastAsia" w:ascii="仿宋" w:hAnsi="仿宋" w:eastAsia="仿宋" w:cs="仿宋"/>
          <w:i w:val="0"/>
          <w:caps w:val="0"/>
          <w:color w:val="0D0D2E"/>
          <w:spacing w:val="0"/>
          <w:sz w:val="32"/>
          <w:szCs w:val="32"/>
          <w:lang w:val="en-US" w:eastAsia="zh-CN"/>
        </w:rPr>
        <w:t>嘉信新材料有限公司</w:t>
      </w:r>
      <w:r>
        <w:rPr>
          <w:rFonts w:hint="eastAsia" w:ascii="仿宋" w:hAnsi="仿宋" w:eastAsia="仿宋" w:cs="仿宋"/>
          <w:i w:val="0"/>
          <w:caps w:val="0"/>
          <w:color w:val="0D0D2E"/>
          <w:spacing w:val="0"/>
          <w:sz w:val="32"/>
          <w:szCs w:val="32"/>
        </w:rPr>
        <w:t>先</w:t>
      </w:r>
      <w:r>
        <w:rPr>
          <w:rFonts w:hint="eastAsia" w:ascii="仿宋" w:hAnsi="仿宋" w:eastAsia="仿宋" w:cs="仿宋"/>
          <w:i w:val="0"/>
          <w:caps w:val="0"/>
          <w:color w:val="0D0D2E"/>
          <w:spacing w:val="0"/>
          <w:sz w:val="32"/>
          <w:szCs w:val="32"/>
          <w:lang w:val="en-US" w:eastAsia="zh-CN"/>
        </w:rPr>
        <w:t>检测</w:t>
      </w:r>
      <w:r>
        <w:rPr>
          <w:rFonts w:hint="eastAsia" w:ascii="仿宋" w:hAnsi="仿宋" w:eastAsia="仿宋" w:cs="仿宋"/>
          <w:i w:val="0"/>
          <w:caps w:val="0"/>
          <w:color w:val="0D0D2E"/>
          <w:spacing w:val="0"/>
          <w:sz w:val="32"/>
          <w:szCs w:val="32"/>
        </w:rPr>
        <w:t>后</w:t>
      </w:r>
      <w:r>
        <w:rPr>
          <w:rFonts w:hint="eastAsia" w:ascii="仿宋" w:hAnsi="仿宋" w:eastAsia="仿宋" w:cs="仿宋"/>
          <w:i w:val="0"/>
          <w:caps w:val="0"/>
          <w:color w:val="0D0D2E"/>
          <w:spacing w:val="0"/>
          <w:sz w:val="32"/>
          <w:szCs w:val="32"/>
          <w:lang w:val="en-US" w:eastAsia="zh-CN"/>
        </w:rPr>
        <w:t>付</w:t>
      </w:r>
      <w:r>
        <w:rPr>
          <w:rFonts w:hint="eastAsia" w:ascii="仿宋" w:hAnsi="仿宋" w:eastAsia="仿宋" w:cs="仿宋"/>
          <w:i w:val="0"/>
          <w:caps w:val="0"/>
          <w:color w:val="0D0D2E"/>
          <w:spacing w:val="0"/>
          <w:sz w:val="32"/>
          <w:szCs w:val="32"/>
        </w:rPr>
        <w:t>款的付款方式</w:t>
      </w:r>
      <w:r>
        <w:rPr>
          <w:rFonts w:hint="eastAsia" w:ascii="仿宋" w:hAnsi="仿宋" w:eastAsia="仿宋" w:cs="仿宋"/>
          <w:i w:val="0"/>
          <w:caps w:val="0"/>
          <w:color w:val="0D0D2E"/>
          <w:spacing w:val="0"/>
          <w:sz w:val="32"/>
          <w:szCs w:val="32"/>
          <w:lang w:eastAsia="zh-CN"/>
        </w:rPr>
        <w:t>，</w:t>
      </w:r>
      <w:r>
        <w:rPr>
          <w:rFonts w:hint="eastAsia" w:ascii="仿宋_GB2312" w:hAnsi="仿宋_GB2312" w:eastAsia="仿宋_GB2312" w:cs="仿宋_GB2312"/>
          <w:sz w:val="32"/>
          <w:szCs w:val="32"/>
          <w:lang w:val="en-US" w:eastAsia="zh-CN"/>
        </w:rPr>
        <w:t>乙方要确保开具6%的增值税专用发票，在所有</w:t>
      </w:r>
      <w:r>
        <w:rPr>
          <w:rFonts w:hint="eastAsia" w:ascii="仿宋_GB2312" w:hAnsi="宋体" w:eastAsia="仿宋_GB2312" w:cs="宋体"/>
          <w:kern w:val="0"/>
          <w:sz w:val="32"/>
          <w:szCs w:val="32"/>
          <w:lang w:val="en-US" w:eastAsia="zh-CN"/>
        </w:rPr>
        <w:t>监视和测量</w:t>
      </w:r>
      <w:r>
        <w:rPr>
          <w:rFonts w:hint="eastAsia" w:ascii="仿宋_GB2312" w:hAnsi="宋体" w:eastAsia="仿宋_GB2312" w:cs="宋体"/>
          <w:kern w:val="0"/>
          <w:sz w:val="32"/>
          <w:szCs w:val="32"/>
        </w:rPr>
        <w:t>器具</w:t>
      </w:r>
      <w:r>
        <w:rPr>
          <w:rFonts w:hint="eastAsia" w:ascii="仿宋_GB2312" w:hAnsi="宋体" w:eastAsia="仿宋_GB2312" w:cs="宋体"/>
          <w:kern w:val="0"/>
          <w:sz w:val="32"/>
          <w:szCs w:val="32"/>
          <w:lang w:val="en-US" w:eastAsia="zh-CN"/>
        </w:rPr>
        <w:t>检测完成后由甲方确认其检测数量，</w:t>
      </w:r>
      <w:r>
        <w:rPr>
          <w:rFonts w:hint="eastAsia" w:ascii="仿宋_GB2312" w:hAnsi="仿宋_GB2312" w:eastAsia="仿宋_GB2312" w:cs="仿宋_GB2312"/>
          <w:sz w:val="32"/>
          <w:szCs w:val="32"/>
          <w:lang w:val="en-US" w:eastAsia="zh-CN"/>
        </w:rPr>
        <w:t>由甲方挂账支付。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五、评标办法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此次竞价以最低价中标。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六、监视和测量器具检测明细</w:t>
      </w:r>
    </w:p>
    <w:tbl>
      <w:tblPr>
        <w:tblStyle w:val="6"/>
        <w:tblW w:w="7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0"/>
        <w:gridCol w:w="4707"/>
        <w:gridCol w:w="1013"/>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器具名称</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单位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固定式可燃气体检测报警器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天然气泄漏消防声光报警器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便携式氧气检测报警器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便携式可燃气体检测报警器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四合一复合气体检测报警器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固定式氧气检测报警器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压力变送器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温度变送器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压力传感器</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氩气流量计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压缩空气流量计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水流量计</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温度控制仪</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块</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4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温度显示仪</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块</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宋体" w:eastAsia="仿宋_GB2312" w:cs="仿宋_GB2312"/>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rPr>
            </w:pPr>
            <w:r>
              <w:rPr>
                <w:rFonts w:hint="eastAsia" w:ascii="仿宋_GB2312" w:hAnsi="仿宋_GB2312" w:eastAsia="仿宋_GB2312" w:cs="仿宋_GB2312"/>
                <w:i w:val="0"/>
                <w:color w:val="000000"/>
                <w:kern w:val="0"/>
                <w:sz w:val="24"/>
                <w:szCs w:val="24"/>
                <w:u w:val="none"/>
                <w:lang w:val="en-US" w:eastAsia="zh-CN" w:bidi="ar"/>
              </w:rPr>
              <w:t>138</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630F8"/>
    <w:rsid w:val="16881A6A"/>
    <w:rsid w:val="2C26327D"/>
    <w:rsid w:val="397A3ED0"/>
    <w:rsid w:val="56BE3C53"/>
    <w:rsid w:val="79963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styleId="3">
    <w:name w:val="index 6"/>
    <w:basedOn w:val="1"/>
    <w:next w:val="1"/>
    <w:qFormat/>
    <w:uiPriority w:val="0"/>
    <w:pPr>
      <w:ind w:left="2100"/>
      <w:jc w:val="left"/>
    </w:pPr>
  </w:style>
  <w:style w:type="paragraph" w:styleId="4">
    <w:name w:val="Body Text"/>
    <w:basedOn w:val="1"/>
    <w:next w:val="1"/>
    <w:qFormat/>
    <w:uiPriority w:val="0"/>
    <w:pPr>
      <w:spacing w:after="120"/>
    </w:pPr>
  </w:style>
  <w:style w:type="paragraph" w:styleId="5">
    <w:name w:val="Body Text First Indent"/>
    <w:basedOn w:val="4"/>
    <w:next w:val="3"/>
    <w:qFormat/>
    <w:uiPriority w:val="0"/>
    <w:pPr>
      <w:ind w:firstLine="420" w:firstLineChars="1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2025-02-17T03:06:00Z</dcterms:created>
  <dc:creator>Administrator</dc:creator>
  <cp:lastModifiedBy>建龙</cp:lastModifiedBy>
  <dcterms:modified xsi:type="dcterms:W3CDTF">2026-04-01T10:03:37Z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