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line="360" w:lineRule="auto"/>
        <w:ind w:firstLine="883" w:firstLineChars="200"/>
        <w:jc w:val="both"/>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甘肃酒钢集团宏兴钢铁股份有限公司</w:t>
      </w:r>
      <w:r>
        <w:rPr>
          <w:rFonts w:hint="eastAsia" w:ascii="仿宋" w:hAnsi="仿宋" w:eastAsia="仿宋" w:cs="仿宋"/>
          <w:b/>
          <w:color w:val="auto"/>
          <w:sz w:val="44"/>
          <w:szCs w:val="44"/>
          <w:highlight w:val="none"/>
          <w:lang w:eastAsia="zh-CN"/>
        </w:rPr>
        <w:t>炼铁</w:t>
      </w:r>
      <w:r>
        <w:rPr>
          <w:rFonts w:hint="eastAsia" w:ascii="仿宋" w:hAnsi="仿宋" w:eastAsia="仿宋" w:cs="仿宋"/>
          <w:b/>
          <w:color w:val="auto"/>
          <w:sz w:val="44"/>
          <w:szCs w:val="44"/>
          <w:highlight w:val="none"/>
        </w:rPr>
        <w:t>厂</w:t>
      </w:r>
    </w:p>
    <w:p>
      <w:pPr>
        <w:snapToGrid w:val="0"/>
        <w:spacing w:line="360" w:lineRule="auto"/>
        <w:ind w:right="-447"/>
        <w:jc w:val="center"/>
        <w:rPr>
          <w:rFonts w:hint="eastAsia" w:ascii="仿宋" w:hAnsi="仿宋" w:eastAsia="仿宋" w:cs="仿宋"/>
          <w:b/>
          <w:color w:val="auto"/>
          <w:sz w:val="24"/>
          <w:szCs w:val="36"/>
          <w:highlight w:val="none"/>
          <w:lang w:val="en-US" w:eastAsia="zh-CN"/>
        </w:rPr>
      </w:pPr>
      <w:r>
        <w:rPr>
          <w:rFonts w:hint="eastAsia" w:ascii="仿宋" w:hAnsi="仿宋" w:eastAsia="仿宋" w:cs="仿宋"/>
          <w:b/>
          <w:color w:val="auto"/>
          <w:sz w:val="24"/>
          <w:szCs w:val="36"/>
          <w:highlight w:val="none"/>
          <w:lang w:val="en-US" w:eastAsia="zh-CN"/>
        </w:rPr>
        <w:t>陶瓷闸阀\Z644TC-16C DN100 JGLTY3</w:t>
      </w:r>
    </w:p>
    <w:p>
      <w:pPr>
        <w:snapToGrid w:val="0"/>
        <w:spacing w:line="360" w:lineRule="auto"/>
        <w:ind w:right="-447"/>
        <w:jc w:val="center"/>
        <w:rPr>
          <w:rFonts w:hint="eastAsia" w:ascii="仿宋" w:hAnsi="仿宋" w:eastAsia="仿宋" w:cs="仿宋"/>
          <w:b/>
          <w:color w:val="auto"/>
          <w:sz w:val="36"/>
          <w:szCs w:val="48"/>
          <w:highlight w:val="none"/>
        </w:rPr>
      </w:pPr>
      <w:r>
        <w:rPr>
          <w:rFonts w:hint="eastAsia" w:ascii="仿宋" w:hAnsi="仿宋" w:eastAsia="仿宋" w:cs="仿宋"/>
          <w:b/>
          <w:color w:val="auto"/>
          <w:sz w:val="24"/>
          <w:szCs w:val="36"/>
          <w:highlight w:val="none"/>
          <w:lang w:val="en-US" w:eastAsia="zh-CN"/>
        </w:rPr>
        <w:t>（70360732）</w:t>
      </w:r>
      <w:r>
        <w:rPr>
          <w:rFonts w:hint="eastAsia" w:ascii="仿宋" w:hAnsi="仿宋" w:eastAsia="仿宋" w:cs="仿宋"/>
          <w:b/>
          <w:color w:val="auto"/>
          <w:sz w:val="24"/>
          <w:szCs w:val="36"/>
          <w:highlight w:val="none"/>
          <w:lang w:val="en-US" w:eastAsia="zh-CN"/>
        </w:rPr>
        <w:br w:type="textWrapping"/>
      </w:r>
      <w:r>
        <w:rPr>
          <w:rFonts w:hint="eastAsia" w:ascii="仿宋" w:hAnsi="仿宋" w:eastAsia="仿宋" w:cs="仿宋"/>
          <w:b/>
          <w:color w:val="auto"/>
          <w:sz w:val="40"/>
          <w:szCs w:val="52"/>
          <w:highlight w:val="none"/>
        </w:rPr>
        <w:t>采购技术</w:t>
      </w:r>
      <w:r>
        <w:rPr>
          <w:rFonts w:hint="eastAsia" w:ascii="仿宋" w:hAnsi="仿宋" w:eastAsia="仿宋" w:cs="仿宋"/>
          <w:b/>
          <w:color w:val="auto"/>
          <w:sz w:val="40"/>
          <w:szCs w:val="52"/>
          <w:highlight w:val="none"/>
          <w:lang w:val="en-US" w:eastAsia="zh-CN"/>
        </w:rPr>
        <w:t>规格要求</w:t>
      </w:r>
      <w:bookmarkStart w:id="1" w:name="_GoBack"/>
      <w:bookmarkEnd w:id="1"/>
    </w:p>
    <w:p>
      <w:pPr>
        <w:snapToGrid w:val="0"/>
        <w:spacing w:line="360" w:lineRule="auto"/>
        <w:ind w:right="-447"/>
        <w:jc w:val="center"/>
        <w:rPr>
          <w:rFonts w:hint="eastAsia" w:ascii="仿宋" w:hAnsi="仿宋" w:eastAsia="仿宋" w:cs="仿宋"/>
          <w:b/>
          <w:color w:val="auto"/>
          <w:sz w:val="36"/>
          <w:szCs w:val="48"/>
          <w:highlight w:val="none"/>
        </w:rPr>
      </w:pPr>
    </w:p>
    <w:p>
      <w:pPr>
        <w:pStyle w:val="3"/>
        <w:rPr>
          <w:rFonts w:hint="eastAsia" w:ascii="仿宋" w:hAnsi="仿宋" w:eastAsia="仿宋" w:cs="仿宋"/>
          <w:color w:val="auto"/>
          <w:highlight w:val="none"/>
        </w:rPr>
      </w:pPr>
    </w:p>
    <w:p>
      <w:pPr>
        <w:snapToGrid w:val="0"/>
        <w:spacing w:line="360" w:lineRule="auto"/>
        <w:ind w:right="2" w:rightChars="1" w:firstLine="703" w:firstLineChars="250"/>
        <w:rPr>
          <w:rFonts w:hint="eastAsia"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rPr>
        <w:br w:type="textWrapping"/>
      </w:r>
      <w:r>
        <w:rPr>
          <w:rFonts w:hint="eastAsia" w:ascii="仿宋" w:hAnsi="仿宋" w:eastAsia="仿宋" w:cs="仿宋"/>
          <w:b/>
          <w:color w:val="auto"/>
          <w:sz w:val="28"/>
          <w:szCs w:val="28"/>
          <w:highlight w:val="none"/>
        </w:rPr>
        <w:br w:type="textWrapping"/>
      </w:r>
      <w:r>
        <w:rPr>
          <w:rFonts w:hint="eastAsia" w:ascii="仿宋" w:hAnsi="仿宋" w:eastAsia="仿宋" w:cs="仿宋"/>
          <w:b/>
          <w:color w:val="auto"/>
          <w:sz w:val="28"/>
          <w:szCs w:val="28"/>
          <w:highlight w:val="none"/>
        </w:rPr>
        <w:br w:type="textWrapping"/>
      </w:r>
      <w:r>
        <w:rPr>
          <w:rFonts w:hint="eastAsia" w:ascii="仿宋" w:hAnsi="仿宋" w:eastAsia="仿宋" w:cs="仿宋"/>
          <w:b/>
          <w:color w:val="auto"/>
          <w:sz w:val="28"/>
          <w:szCs w:val="28"/>
          <w:highlight w:val="none"/>
        </w:rPr>
        <w:br w:type="textWrapping"/>
      </w:r>
      <w:r>
        <w:rPr>
          <w:rFonts w:hint="eastAsia" w:ascii="仿宋" w:hAnsi="仿宋" w:eastAsia="仿宋" w:cs="仿宋"/>
          <w:b/>
          <w:color w:val="auto"/>
          <w:sz w:val="28"/>
          <w:szCs w:val="28"/>
          <w:highlight w:val="none"/>
        </w:rPr>
        <w:br w:type="textWrapping"/>
      </w:r>
      <w:r>
        <w:rPr>
          <w:rFonts w:hint="eastAsia" w:ascii="仿宋" w:hAnsi="仿宋" w:eastAsia="仿宋" w:cs="仿宋"/>
          <w:b/>
          <w:color w:val="auto"/>
          <w:sz w:val="28"/>
          <w:szCs w:val="28"/>
          <w:highlight w:val="none"/>
        </w:rPr>
        <w:br w:type="textWrapping"/>
      </w:r>
      <w:r>
        <w:rPr>
          <w:rFonts w:hint="eastAsia" w:ascii="仿宋" w:hAnsi="仿宋" w:eastAsia="仿宋" w:cs="仿宋"/>
          <w:b/>
          <w:color w:val="auto"/>
          <w:sz w:val="28"/>
          <w:szCs w:val="28"/>
          <w:highlight w:val="none"/>
          <w:lang w:val="en-US" w:eastAsia="zh-CN"/>
        </w:rPr>
        <w:t xml:space="preserve">     </w:t>
      </w:r>
      <w:r>
        <w:rPr>
          <w:rFonts w:hint="eastAsia" w:ascii="仿宋" w:hAnsi="仿宋" w:eastAsia="仿宋" w:cs="仿宋"/>
          <w:b/>
          <w:color w:val="auto"/>
          <w:sz w:val="28"/>
          <w:szCs w:val="28"/>
          <w:highlight w:val="none"/>
        </w:rPr>
        <w:t>甲方：甘肃酒钢集团宏兴钢铁股份有限公司</w:t>
      </w:r>
      <w:r>
        <w:rPr>
          <w:rFonts w:hint="eastAsia" w:ascii="仿宋" w:hAnsi="仿宋" w:eastAsia="仿宋" w:cs="仿宋"/>
          <w:b/>
          <w:color w:val="auto"/>
          <w:sz w:val="28"/>
          <w:szCs w:val="28"/>
          <w:highlight w:val="none"/>
          <w:lang w:eastAsia="zh-CN"/>
        </w:rPr>
        <w:t>炼铁厂</w:t>
      </w:r>
    </w:p>
    <w:p>
      <w:pPr>
        <w:spacing w:before="100" w:beforeAutospacing="1" w:after="100" w:afterAutospacing="1" w:line="360" w:lineRule="auto"/>
        <w:ind w:firstLine="722" w:firstLineChars="257"/>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甲方代表（签字）：</w:t>
      </w:r>
    </w:p>
    <w:p>
      <w:pPr>
        <w:spacing w:before="100" w:beforeAutospacing="1" w:after="100" w:afterAutospacing="1" w:line="360" w:lineRule="auto"/>
        <w:ind w:firstLine="722" w:firstLineChars="257"/>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乙方：</w:t>
      </w:r>
    </w:p>
    <w:p>
      <w:pPr>
        <w:snapToGrid w:val="0"/>
        <w:spacing w:before="100" w:beforeAutospacing="1" w:after="100" w:afterAutospacing="1" w:line="360" w:lineRule="auto"/>
        <w:ind w:right="-447" w:firstLine="722" w:firstLineChars="257"/>
        <w:jc w:val="both"/>
        <w:rPr>
          <w:rFonts w:hint="eastAsia" w:ascii="仿宋" w:hAnsi="仿宋" w:eastAsia="仿宋" w:cs="仿宋"/>
          <w:color w:val="auto"/>
          <w:sz w:val="48"/>
          <w:szCs w:val="48"/>
          <w:highlight w:val="none"/>
        </w:rPr>
      </w:pPr>
      <w:r>
        <w:rPr>
          <w:rFonts w:hint="eastAsia" w:ascii="仿宋" w:hAnsi="仿宋" w:eastAsia="仿宋" w:cs="仿宋"/>
          <w:b/>
          <w:color w:val="auto"/>
          <w:sz w:val="28"/>
          <w:szCs w:val="28"/>
          <w:highlight w:val="none"/>
        </w:rPr>
        <w:t>乙方代表（签字）：</w:t>
      </w:r>
      <w:r>
        <w:rPr>
          <w:rFonts w:hint="eastAsia" w:ascii="仿宋" w:hAnsi="仿宋" w:eastAsia="仿宋" w:cs="仿宋"/>
          <w:b/>
          <w:color w:val="auto"/>
          <w:sz w:val="28"/>
          <w:szCs w:val="28"/>
          <w:highlight w:val="none"/>
        </w:rPr>
        <w:br w:type="textWrapping"/>
      </w:r>
      <w:r>
        <w:rPr>
          <w:rFonts w:hint="eastAsia" w:ascii="仿宋" w:hAnsi="仿宋" w:eastAsia="仿宋" w:cs="仿宋"/>
          <w:b/>
          <w:color w:val="auto"/>
          <w:sz w:val="28"/>
          <w:szCs w:val="28"/>
          <w:highlight w:val="none"/>
          <w:lang w:val="en-US" w:eastAsia="zh-CN"/>
        </w:rPr>
        <w:t xml:space="preserve">     </w:t>
      </w:r>
      <w:r>
        <w:rPr>
          <w:rFonts w:hint="eastAsia" w:ascii="仿宋" w:hAnsi="仿宋" w:eastAsia="仿宋" w:cs="仿宋"/>
          <w:b/>
          <w:color w:val="auto"/>
          <w:sz w:val="28"/>
          <w:szCs w:val="28"/>
          <w:highlight w:val="none"/>
          <w:lang w:val="en-US" w:eastAsia="zh-CN"/>
        </w:rPr>
        <w:br w:type="textWrapping"/>
      </w:r>
      <w:r>
        <w:rPr>
          <w:rFonts w:hint="eastAsia" w:ascii="仿宋" w:hAnsi="仿宋" w:eastAsia="仿宋" w:cs="仿宋"/>
          <w:b/>
          <w:color w:val="auto"/>
          <w:sz w:val="28"/>
          <w:szCs w:val="28"/>
          <w:highlight w:val="none"/>
          <w:lang w:val="en-US" w:eastAsia="zh-CN"/>
        </w:rPr>
        <w:t xml:space="preserve">     </w:t>
      </w:r>
      <w:r>
        <w:rPr>
          <w:rFonts w:hint="eastAsia" w:ascii="仿宋" w:hAnsi="仿宋" w:eastAsia="仿宋" w:cs="仿宋"/>
          <w:b/>
          <w:color w:val="auto"/>
          <w:sz w:val="30"/>
          <w:szCs w:val="30"/>
          <w:highlight w:val="none"/>
        </w:rPr>
        <w:t>20</w:t>
      </w:r>
      <w:r>
        <w:rPr>
          <w:rFonts w:hint="eastAsia" w:ascii="仿宋" w:hAnsi="仿宋" w:eastAsia="仿宋" w:cs="仿宋"/>
          <w:b/>
          <w:color w:val="auto"/>
          <w:sz w:val="30"/>
          <w:szCs w:val="30"/>
          <w:highlight w:val="none"/>
          <w:lang w:val="en-US" w:eastAsia="zh-CN"/>
        </w:rPr>
        <w:t>25</w:t>
      </w:r>
      <w:r>
        <w:rPr>
          <w:rFonts w:hint="eastAsia" w:ascii="仿宋" w:hAnsi="仿宋" w:eastAsia="仿宋" w:cs="仿宋"/>
          <w:b/>
          <w:color w:val="auto"/>
          <w:sz w:val="30"/>
          <w:szCs w:val="30"/>
          <w:highlight w:val="none"/>
        </w:rPr>
        <w:t xml:space="preserve">年 </w:t>
      </w:r>
      <w:r>
        <w:rPr>
          <w:rFonts w:hint="eastAsia" w:ascii="仿宋" w:hAnsi="仿宋" w:eastAsia="仿宋" w:cs="仿宋"/>
          <w:b/>
          <w:color w:val="auto"/>
          <w:sz w:val="30"/>
          <w:szCs w:val="30"/>
          <w:highlight w:val="none"/>
          <w:lang w:val="en-US" w:eastAsia="zh-CN"/>
        </w:rPr>
        <w:t xml:space="preserve"> </w:t>
      </w:r>
      <w:r>
        <w:rPr>
          <w:rFonts w:hint="eastAsia" w:ascii="仿宋" w:hAnsi="仿宋" w:eastAsia="仿宋" w:cs="仿宋"/>
          <w:b/>
          <w:color w:val="auto"/>
          <w:sz w:val="30"/>
          <w:szCs w:val="30"/>
          <w:highlight w:val="none"/>
        </w:rPr>
        <w:t>月</w:t>
      </w:r>
      <w:r>
        <w:rPr>
          <w:rFonts w:hint="eastAsia" w:ascii="仿宋" w:hAnsi="仿宋" w:eastAsia="仿宋" w:cs="仿宋"/>
          <w:b/>
          <w:color w:val="auto"/>
          <w:sz w:val="30"/>
          <w:szCs w:val="30"/>
          <w:highlight w:val="none"/>
          <w:lang w:val="en-US" w:eastAsia="zh-CN"/>
        </w:rPr>
        <w:t xml:space="preserve">  </w:t>
      </w:r>
      <w:r>
        <w:rPr>
          <w:rFonts w:hint="eastAsia" w:ascii="仿宋" w:hAnsi="仿宋" w:eastAsia="仿宋" w:cs="仿宋"/>
          <w:b/>
          <w:color w:val="auto"/>
          <w:sz w:val="30"/>
          <w:szCs w:val="30"/>
          <w:highlight w:val="none"/>
        </w:rPr>
        <w:t>日</w:t>
      </w:r>
    </w:p>
    <w:p>
      <w:pPr>
        <w:spacing w:line="360" w:lineRule="auto"/>
        <w:rPr>
          <w:rFonts w:hint="eastAsia" w:ascii="仿宋" w:hAnsi="仿宋" w:eastAsia="仿宋" w:cs="仿宋"/>
          <w:bCs/>
          <w:color w:val="auto"/>
          <w:highlight w:val="none"/>
        </w:rPr>
      </w:pPr>
    </w:p>
    <w:p>
      <w:pPr>
        <w:spacing w:line="360" w:lineRule="auto"/>
        <w:ind w:firstLine="3791" w:firstLineChars="1049"/>
        <w:rPr>
          <w:rFonts w:hint="eastAsia" w:ascii="仿宋" w:hAnsi="仿宋" w:eastAsia="仿宋" w:cs="仿宋"/>
          <w:b/>
          <w:color w:val="auto"/>
          <w:sz w:val="36"/>
          <w:szCs w:val="36"/>
          <w:highlight w:val="none"/>
        </w:rPr>
      </w:pPr>
    </w:p>
    <w:p>
      <w:pPr>
        <w:spacing w:line="360" w:lineRule="auto"/>
        <w:ind w:firstLine="3791" w:firstLineChars="1049"/>
        <w:rPr>
          <w:rFonts w:hint="eastAsia" w:ascii="仿宋" w:hAnsi="仿宋" w:eastAsia="仿宋" w:cs="仿宋"/>
          <w:b/>
          <w:color w:val="auto"/>
          <w:sz w:val="36"/>
          <w:szCs w:val="36"/>
          <w:highlight w:val="none"/>
        </w:rPr>
      </w:pPr>
    </w:p>
    <w:p>
      <w:pPr>
        <w:spacing w:line="360" w:lineRule="auto"/>
        <w:ind w:firstLine="3791" w:firstLineChars="1049"/>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目    录</w:t>
      </w:r>
    </w:p>
    <w:p>
      <w:pPr>
        <w:spacing w:line="360" w:lineRule="auto"/>
        <w:ind w:firstLine="3791" w:firstLineChars="1049"/>
        <w:rPr>
          <w:rFonts w:hint="eastAsia" w:ascii="仿宋" w:hAnsi="仿宋" w:eastAsia="仿宋" w:cs="仿宋"/>
          <w:b/>
          <w:color w:val="auto"/>
          <w:sz w:val="36"/>
          <w:szCs w:val="36"/>
          <w:highlight w:val="none"/>
        </w:rPr>
      </w:pP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附件一    总则</w:t>
      </w: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附件二    制造要求</w:t>
      </w: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附件三    系统设备设施供货范围</w:t>
      </w: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附件四    提供资料</w:t>
      </w: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附件五    售后服务</w:t>
      </w: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附件六    交货时间及地点</w:t>
      </w: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附件七    其它</w:t>
      </w:r>
    </w:p>
    <w:p>
      <w:pPr>
        <w:snapToGrid w:val="0"/>
        <w:spacing w:line="360" w:lineRule="auto"/>
        <w:ind w:right="-447"/>
        <w:jc w:val="both"/>
        <w:rPr>
          <w:rFonts w:hint="eastAsia" w:ascii="仿宋" w:hAnsi="仿宋" w:eastAsia="仿宋" w:cs="仿宋"/>
          <w:b/>
          <w:color w:val="auto"/>
          <w:sz w:val="28"/>
          <w:szCs w:val="28"/>
          <w:highlight w:val="none"/>
        </w:rPr>
      </w:pPr>
    </w:p>
    <w:p>
      <w:pPr>
        <w:snapToGrid w:val="0"/>
        <w:spacing w:line="360" w:lineRule="auto"/>
        <w:ind w:right="-447"/>
        <w:jc w:val="both"/>
        <w:rPr>
          <w:rFonts w:hint="eastAsia" w:ascii="仿宋" w:hAnsi="仿宋" w:eastAsia="仿宋" w:cs="仿宋"/>
          <w:b/>
          <w:color w:val="auto"/>
          <w:sz w:val="28"/>
          <w:szCs w:val="28"/>
          <w:highlight w:val="none"/>
        </w:rPr>
      </w:pPr>
    </w:p>
    <w:p>
      <w:pPr>
        <w:snapToGrid w:val="0"/>
        <w:spacing w:line="360" w:lineRule="auto"/>
        <w:ind w:right="-447"/>
        <w:jc w:val="both"/>
        <w:rPr>
          <w:rFonts w:hint="eastAsia" w:ascii="仿宋" w:hAnsi="仿宋" w:eastAsia="仿宋" w:cs="仿宋"/>
          <w:b/>
          <w:color w:val="auto"/>
          <w:sz w:val="28"/>
          <w:szCs w:val="28"/>
          <w:highlight w:val="none"/>
        </w:rPr>
      </w:pPr>
    </w:p>
    <w:p>
      <w:pPr>
        <w:snapToGrid w:val="0"/>
        <w:spacing w:line="360" w:lineRule="auto"/>
        <w:ind w:right="-447"/>
        <w:jc w:val="both"/>
        <w:rPr>
          <w:rFonts w:hint="eastAsia" w:ascii="仿宋" w:hAnsi="仿宋" w:eastAsia="仿宋" w:cs="仿宋"/>
          <w:b/>
          <w:color w:val="auto"/>
          <w:sz w:val="28"/>
          <w:szCs w:val="28"/>
          <w:highlight w:val="none"/>
        </w:rPr>
      </w:pPr>
    </w:p>
    <w:p>
      <w:pPr>
        <w:snapToGrid w:val="0"/>
        <w:spacing w:line="360" w:lineRule="auto"/>
        <w:ind w:right="-447"/>
        <w:jc w:val="both"/>
        <w:rPr>
          <w:rFonts w:hint="eastAsia" w:ascii="仿宋" w:hAnsi="仿宋" w:eastAsia="仿宋" w:cs="仿宋"/>
          <w:b/>
          <w:color w:val="auto"/>
          <w:sz w:val="28"/>
          <w:szCs w:val="28"/>
          <w:highlight w:val="none"/>
        </w:rPr>
      </w:pPr>
    </w:p>
    <w:p>
      <w:pPr>
        <w:snapToGrid w:val="0"/>
        <w:spacing w:line="360" w:lineRule="auto"/>
        <w:ind w:right="-447"/>
        <w:jc w:val="both"/>
        <w:rPr>
          <w:rFonts w:hint="eastAsia" w:ascii="仿宋" w:hAnsi="仿宋" w:eastAsia="仿宋" w:cs="仿宋"/>
          <w:b/>
          <w:color w:val="auto"/>
          <w:sz w:val="28"/>
          <w:szCs w:val="28"/>
          <w:highlight w:val="none"/>
        </w:rPr>
      </w:pPr>
    </w:p>
    <w:p>
      <w:pPr>
        <w:snapToGrid w:val="0"/>
        <w:spacing w:line="360" w:lineRule="auto"/>
        <w:ind w:right="-447"/>
        <w:jc w:val="both"/>
        <w:rPr>
          <w:rFonts w:hint="eastAsia" w:ascii="仿宋" w:hAnsi="仿宋" w:eastAsia="仿宋" w:cs="仿宋"/>
          <w:b/>
          <w:color w:val="auto"/>
          <w:sz w:val="28"/>
          <w:szCs w:val="28"/>
          <w:highlight w:val="none"/>
        </w:rPr>
      </w:pPr>
    </w:p>
    <w:p>
      <w:pPr>
        <w:widowControl/>
        <w:autoSpaceDE w:val="0"/>
        <w:autoSpaceDN w:val="0"/>
        <w:adjustRightInd/>
        <w:spacing w:line="360" w:lineRule="auto"/>
        <w:ind w:firstLine="420" w:firstLineChars="200"/>
        <w:jc w:val="left"/>
        <w:textAlignment w:val="auto"/>
        <w:rPr>
          <w:rFonts w:hint="eastAsia" w:ascii="仿宋" w:hAnsi="仿宋" w:eastAsia="仿宋" w:cs="仿宋"/>
          <w:color w:val="auto"/>
          <w:sz w:val="21"/>
          <w:szCs w:val="21"/>
          <w:highlight w:val="none"/>
        </w:rPr>
      </w:pPr>
    </w:p>
    <w:p>
      <w:pPr>
        <w:widowControl/>
        <w:autoSpaceDE w:val="0"/>
        <w:autoSpaceDN w:val="0"/>
        <w:adjustRightIn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br w:type="textWrapping"/>
      </w:r>
    </w:p>
    <w:p>
      <w:pPr>
        <w:widowControl/>
        <w:autoSpaceDE w:val="0"/>
        <w:autoSpaceDN w:val="0"/>
        <w:adjustRightIn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甘肃酒钢集团宏兴钢铁股份有限公司</w:t>
      </w:r>
      <w:r>
        <w:rPr>
          <w:rFonts w:hint="eastAsia" w:ascii="仿宋" w:hAnsi="仿宋" w:eastAsia="仿宋" w:cs="仿宋"/>
          <w:color w:val="auto"/>
          <w:sz w:val="21"/>
          <w:szCs w:val="21"/>
          <w:highlight w:val="none"/>
          <w:lang w:eastAsia="zh-CN"/>
        </w:rPr>
        <w:t>炼铁</w:t>
      </w:r>
      <w:r>
        <w:rPr>
          <w:rFonts w:hint="eastAsia" w:ascii="仿宋" w:hAnsi="仿宋" w:eastAsia="仿宋" w:cs="仿宋"/>
          <w:color w:val="auto"/>
          <w:sz w:val="21"/>
          <w:szCs w:val="21"/>
          <w:highlight w:val="none"/>
        </w:rPr>
        <w:t>厂（以下称甲方）与</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（以下称乙方）就甲方</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陶瓷闸阀\Z644TC-16C DN100 JGLTY3。</w:t>
      </w:r>
      <w:r>
        <w:rPr>
          <w:rFonts w:hint="eastAsia" w:ascii="仿宋" w:hAnsi="仿宋" w:eastAsia="仿宋" w:cs="仿宋"/>
          <w:color w:val="auto"/>
          <w:sz w:val="21"/>
          <w:szCs w:val="21"/>
          <w:highlight w:val="none"/>
        </w:rPr>
        <w:t>采购经双方协商，达成如下技术协议：</w:t>
      </w:r>
    </w:p>
    <w:p>
      <w:pPr>
        <w:widowControl/>
        <w:adjustRightInd/>
        <w:spacing w:line="360" w:lineRule="auto"/>
        <w:textAlignment w:val="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附件一</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总则</w:t>
      </w:r>
    </w:p>
    <w:p>
      <w:pPr>
        <w:tabs>
          <w:tab w:val="left" w:pos="1080"/>
        </w:tabs>
        <w:spacing w:line="360" w:lineRule="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本技术协议作为甲方设备订货合同的附件，与订货合同同时生效，具有同等法律效力。合同执行期间双方再协商形成的补充协议和追加条款也具有同等法律效力。</w:t>
      </w:r>
    </w:p>
    <w:p>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1.1</w:t>
      </w:r>
      <w:r>
        <w:rPr>
          <w:rFonts w:hint="eastAsia" w:ascii="仿宋" w:hAnsi="仿宋" w:eastAsia="仿宋" w:cs="仿宋"/>
          <w:color w:val="auto"/>
          <w:sz w:val="21"/>
          <w:szCs w:val="21"/>
          <w:highlight w:val="none"/>
        </w:rPr>
        <w:t>本技术协议所提出的是最低标准的技术要求，并未对一切技术细节做出规定，也未充分引述有关标准和规范的条文，乙方应保证提供符合有关标准和技术文件的优质产品</w:t>
      </w:r>
      <w:r>
        <w:rPr>
          <w:rFonts w:hint="eastAsia" w:ascii="仿宋" w:hAnsi="仿宋" w:eastAsia="仿宋" w:cs="仿宋"/>
          <w:color w:val="auto"/>
          <w:sz w:val="21"/>
          <w:szCs w:val="21"/>
          <w:highlight w:val="none"/>
          <w:lang w:eastAsia="zh-CN"/>
        </w:rPr>
        <w:t>。</w:t>
      </w:r>
    </w:p>
    <w:p>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1.2</w:t>
      </w:r>
      <w:r>
        <w:rPr>
          <w:rFonts w:hint="eastAsia" w:ascii="仿宋" w:hAnsi="仿宋" w:eastAsia="仿宋" w:cs="仿宋"/>
          <w:color w:val="auto"/>
          <w:sz w:val="21"/>
          <w:szCs w:val="21"/>
          <w:highlight w:val="none"/>
        </w:rPr>
        <w:t>乙方提供的设备必须具有国内同行业近几年内的先进制造水平，采用先进工艺，合格材料，成熟的技术或专利技术</w:t>
      </w:r>
      <w:r>
        <w:rPr>
          <w:rFonts w:hint="eastAsia" w:ascii="仿宋" w:hAnsi="仿宋" w:eastAsia="仿宋" w:cs="仿宋"/>
          <w:color w:val="auto"/>
          <w:sz w:val="21"/>
          <w:szCs w:val="21"/>
          <w:highlight w:val="none"/>
          <w:lang w:eastAsia="zh-CN"/>
        </w:rPr>
        <w:t>。</w:t>
      </w:r>
    </w:p>
    <w:p>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1.3</w:t>
      </w:r>
      <w:r>
        <w:rPr>
          <w:rFonts w:hint="eastAsia" w:ascii="仿宋" w:hAnsi="仿宋" w:eastAsia="仿宋" w:cs="仿宋"/>
          <w:color w:val="auto"/>
          <w:sz w:val="21"/>
          <w:szCs w:val="21"/>
          <w:highlight w:val="none"/>
        </w:rPr>
        <w:t>乙方提供的设备必须是全新、规范、先进的高质量可靠产品，能够确保连续稳定的工作</w:t>
      </w:r>
      <w:r>
        <w:rPr>
          <w:rFonts w:hint="eastAsia" w:ascii="仿宋" w:hAnsi="仿宋" w:eastAsia="仿宋" w:cs="仿宋"/>
          <w:color w:val="auto"/>
          <w:sz w:val="21"/>
          <w:szCs w:val="21"/>
          <w:highlight w:val="none"/>
          <w:lang w:eastAsia="zh-CN"/>
        </w:rPr>
        <w:t>。</w:t>
      </w:r>
    </w:p>
    <w:p>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1.4</w:t>
      </w:r>
      <w:r>
        <w:rPr>
          <w:rFonts w:hint="eastAsia" w:ascii="仿宋" w:hAnsi="仿宋" w:eastAsia="仿宋" w:cs="仿宋"/>
          <w:color w:val="auto"/>
          <w:sz w:val="21"/>
          <w:szCs w:val="21"/>
          <w:highlight w:val="none"/>
        </w:rPr>
        <w:t>乙方提供货物的制造、材料的选择，都应按照国内外通用的现行标准和相应的技术规范执行，而这些标准和技术规范应为合同签字日为止最新公布发问的标准和技术规范</w:t>
      </w:r>
      <w:r>
        <w:rPr>
          <w:rFonts w:hint="eastAsia" w:ascii="仿宋" w:hAnsi="仿宋" w:eastAsia="仿宋" w:cs="仿宋"/>
          <w:color w:val="auto"/>
          <w:sz w:val="21"/>
          <w:szCs w:val="21"/>
          <w:highlight w:val="none"/>
          <w:lang w:eastAsia="zh-CN"/>
        </w:rPr>
        <w:t>。</w:t>
      </w:r>
    </w:p>
    <w:p>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1.5乙方须对振动电动机的完整性、合理性和设计质量承担全部责任。保证设备满足系统工艺要求。</w:t>
      </w:r>
    </w:p>
    <w:p>
      <w:pPr>
        <w:keepNext w:val="0"/>
        <w:keepLines w:val="0"/>
        <w:pageBreakBefore w:val="0"/>
        <w:numPr>
          <w:ilvl w:val="0"/>
          <w:numId w:val="0"/>
        </w:numPr>
        <w:tabs>
          <w:tab w:val="left" w:pos="360"/>
        </w:tabs>
        <w:kinsoku/>
        <w:wordWrap/>
        <w:overflowPunct/>
        <w:topLinePunct w:val="0"/>
        <w:autoSpaceDE/>
        <w:autoSpaceDN/>
        <w:bidi w:val="0"/>
        <w:snapToGrid/>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1.6</w:t>
      </w:r>
      <w:r>
        <w:rPr>
          <w:rFonts w:hint="eastAsia" w:ascii="仿宋" w:hAnsi="仿宋" w:eastAsia="仿宋" w:cs="仿宋"/>
          <w:color w:val="auto"/>
          <w:sz w:val="21"/>
          <w:szCs w:val="21"/>
          <w:highlight w:val="none"/>
        </w:rPr>
        <w:t>乙方在合同货物制造中，发生侵犯专利的行为时其侵权责任与甲方无关。</w:t>
      </w:r>
    </w:p>
    <w:p>
      <w:pPr>
        <w:keepNext w:val="0"/>
        <w:keepLines w:val="0"/>
        <w:pageBreakBefore w:val="0"/>
        <w:kinsoku/>
        <w:wordWrap/>
        <w:overflowPunct/>
        <w:topLinePunct w:val="0"/>
        <w:autoSpaceDE/>
        <w:autoSpaceDN/>
        <w:bidi w:val="0"/>
        <w:snapToGrid/>
        <w:spacing w:line="360" w:lineRule="auto"/>
        <w:ind w:firstLine="420" w:firstLineChars="200"/>
        <w:rPr>
          <w:rFonts w:hint="eastAsia" w:ascii="仿宋" w:hAnsi="仿宋" w:eastAsia="仿宋" w:cs="仿宋"/>
          <w:b/>
          <w:color w:val="auto"/>
          <w:spacing w:val="-11"/>
          <w:sz w:val="21"/>
          <w:szCs w:val="21"/>
          <w:highlight w:val="none"/>
        </w:rPr>
      </w:pPr>
      <w:r>
        <w:rPr>
          <w:rFonts w:hint="eastAsia" w:ascii="仿宋" w:hAnsi="仿宋" w:eastAsia="仿宋" w:cs="仿宋"/>
          <w:b w:val="0"/>
          <w:bCs/>
          <w:color w:val="auto"/>
          <w:sz w:val="21"/>
          <w:szCs w:val="21"/>
          <w:highlight w:val="none"/>
          <w:lang w:val="en-US" w:eastAsia="zh-CN"/>
        </w:rPr>
        <w:t>1.7乙方在投标前，按照本技术协议所规定的技术参数与甲方技</w:t>
      </w:r>
      <w:r>
        <w:rPr>
          <w:rFonts w:hint="eastAsia" w:ascii="仿宋" w:hAnsi="仿宋" w:eastAsia="仿宋" w:cs="仿宋"/>
          <w:b w:val="0"/>
          <w:bCs/>
          <w:color w:val="auto"/>
          <w:spacing w:val="-11"/>
          <w:sz w:val="21"/>
          <w:szCs w:val="21"/>
          <w:highlight w:val="none"/>
          <w:lang w:val="en-US" w:eastAsia="zh-CN"/>
        </w:rPr>
        <w:t>术人员充分技术交流，确认工况环境。</w:t>
      </w:r>
    </w:p>
    <w:p>
      <w:pPr>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附件二</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制造要求</w:t>
      </w:r>
    </w:p>
    <w:p>
      <w:pPr>
        <w:spacing w:line="360" w:lineRule="auto"/>
        <w:ind w:firstLine="413" w:firstLineChars="196"/>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2.1 使用环境</w:t>
      </w:r>
    </w:p>
    <w:p>
      <w:pPr>
        <w:spacing w:line="360" w:lineRule="auto"/>
        <w:ind w:firstLine="411" w:firstLineChars="196"/>
        <w:rPr>
          <w:rFonts w:hint="eastAsia" w:ascii="仿宋" w:hAnsi="仿宋" w:eastAsia="仿宋" w:cs="仿宋"/>
          <w:color w:val="FF0000"/>
          <w:sz w:val="21"/>
          <w:szCs w:val="21"/>
          <w:highlight w:val="none"/>
        </w:rPr>
      </w:pPr>
      <w:r>
        <w:rPr>
          <w:rFonts w:hint="eastAsia" w:ascii="仿宋" w:hAnsi="仿宋" w:eastAsia="仿宋" w:cs="仿宋"/>
          <w:color w:val="auto"/>
          <w:sz w:val="21"/>
          <w:szCs w:val="21"/>
          <w:highlight w:val="none"/>
          <w:lang w:val="en-US" w:eastAsia="zh-CN"/>
        </w:rPr>
        <w:t>2.1.1气动耐磨摆动阀</w:t>
      </w:r>
      <w:r>
        <w:rPr>
          <w:rFonts w:hint="eastAsia" w:ascii="仿宋" w:hAnsi="仿宋" w:eastAsia="仿宋" w:cs="仿宋"/>
          <w:color w:val="auto"/>
          <w:sz w:val="21"/>
          <w:szCs w:val="21"/>
          <w:highlight w:val="none"/>
        </w:rPr>
        <w:t>使用于酒钢</w:t>
      </w:r>
      <w:r>
        <w:rPr>
          <w:rFonts w:hint="eastAsia" w:ascii="仿宋" w:hAnsi="仿宋" w:eastAsia="仿宋" w:cs="仿宋"/>
          <w:color w:val="auto"/>
          <w:sz w:val="21"/>
          <w:szCs w:val="21"/>
          <w:highlight w:val="none"/>
          <w:lang w:eastAsia="zh-CN"/>
        </w:rPr>
        <w:t>炼铁厂</w:t>
      </w:r>
      <w:r>
        <w:rPr>
          <w:rFonts w:hint="eastAsia" w:ascii="仿宋" w:hAnsi="仿宋" w:eastAsia="仿宋" w:cs="仿宋"/>
          <w:color w:val="auto"/>
          <w:sz w:val="21"/>
          <w:szCs w:val="21"/>
          <w:highlight w:val="none"/>
          <w:lang w:val="en-US" w:eastAsia="zh-CN"/>
        </w:rPr>
        <w:t>新烧结系统</w:t>
      </w:r>
      <w:r>
        <w:rPr>
          <w:rFonts w:hint="eastAsia" w:ascii="仿宋" w:hAnsi="仿宋" w:eastAsia="仿宋" w:cs="仿宋"/>
          <w:color w:val="auto"/>
          <w:sz w:val="21"/>
          <w:szCs w:val="21"/>
          <w:highlight w:val="none"/>
        </w:rPr>
        <w:t>，环境温度为</w:t>
      </w:r>
      <w:r>
        <w:rPr>
          <w:rFonts w:hint="eastAsia" w:ascii="仿宋" w:hAnsi="仿宋" w:eastAsia="仿宋" w:cs="仿宋"/>
          <w:b w:val="0"/>
          <w:bCs w:val="0"/>
          <w:color w:val="auto"/>
          <w:sz w:val="21"/>
          <w:szCs w:val="21"/>
          <w:highlight w:val="none"/>
        </w:rPr>
        <w:t>-30℃</w:t>
      </w:r>
      <w:r>
        <w:rPr>
          <w:rFonts w:hint="eastAsia" w:ascii="仿宋" w:hAnsi="仿宋" w:eastAsia="仿宋" w:cs="仿宋"/>
          <w:b w:val="0"/>
          <w:bCs w:val="0"/>
          <w:color w:val="auto"/>
          <w:sz w:val="21"/>
          <w:szCs w:val="21"/>
          <w:highlight w:val="none"/>
          <w:lang w:val="en-US" w:eastAsia="zh-CN"/>
        </w:rPr>
        <w:t>--6</w:t>
      </w:r>
      <w:r>
        <w:rPr>
          <w:rFonts w:hint="eastAsia" w:ascii="仿宋" w:hAnsi="仿宋" w:eastAsia="仿宋" w:cs="仿宋"/>
          <w:b w:val="0"/>
          <w:bCs w:val="0"/>
          <w:color w:val="auto"/>
          <w:sz w:val="21"/>
          <w:szCs w:val="21"/>
          <w:highlight w:val="none"/>
        </w:rPr>
        <w:t>0℃</w:t>
      </w:r>
      <w:r>
        <w:rPr>
          <w:rFonts w:hint="eastAsia" w:ascii="仿宋" w:hAnsi="仿宋" w:eastAsia="仿宋" w:cs="仿宋"/>
          <w:color w:val="auto"/>
          <w:sz w:val="21"/>
          <w:szCs w:val="21"/>
          <w:highlight w:val="none"/>
        </w:rPr>
        <w:t>。海拔1640米。</w:t>
      </w:r>
    </w:p>
    <w:p>
      <w:pPr>
        <w:spacing w:line="360" w:lineRule="auto"/>
        <w:ind w:firstLine="411" w:firstLineChars="196"/>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2.1.2该</w:t>
      </w:r>
      <w:r>
        <w:rPr>
          <w:rFonts w:hint="eastAsia" w:ascii="仿宋" w:hAnsi="仿宋" w:eastAsia="仿宋" w:cs="仿宋"/>
          <w:color w:val="auto"/>
          <w:sz w:val="21"/>
          <w:szCs w:val="21"/>
          <w:highlight w:val="none"/>
          <w:lang w:eastAsia="zh-CN"/>
        </w:rPr>
        <w:t>阀安装于</w:t>
      </w:r>
      <w:r>
        <w:rPr>
          <w:rFonts w:hint="eastAsia" w:ascii="仿宋" w:hAnsi="仿宋" w:eastAsia="仿宋" w:cs="仿宋"/>
          <w:color w:val="auto"/>
          <w:sz w:val="21"/>
          <w:szCs w:val="21"/>
          <w:highlight w:val="none"/>
          <w:lang w:val="en-US" w:eastAsia="zh-CN"/>
        </w:rPr>
        <w:t>除尘系统。</w:t>
      </w:r>
    </w:p>
    <w:p>
      <w:pPr>
        <w:keepNext w:val="0"/>
        <w:keepLines w:val="0"/>
        <w:pageBreakBefore w:val="0"/>
        <w:kinsoku/>
        <w:wordWrap/>
        <w:overflowPunct/>
        <w:topLinePunct w:val="0"/>
        <w:autoSpaceDE/>
        <w:autoSpaceDN/>
        <w:bidi w:val="0"/>
        <w:snapToGrid/>
        <w:spacing w:line="360" w:lineRule="auto"/>
        <w:ind w:firstLine="422" w:firstLineChars="200"/>
        <w:rPr>
          <w:rFonts w:hint="eastAsia" w:ascii="仿宋" w:hAnsi="仿宋" w:eastAsia="仿宋" w:cs="仿宋"/>
          <w:b w:val="0"/>
          <w:bCs/>
          <w:color w:val="auto"/>
          <w:sz w:val="21"/>
          <w:szCs w:val="21"/>
          <w:highlight w:val="none"/>
          <w:lang w:val="en-US" w:eastAsia="zh-CN"/>
        </w:rPr>
      </w:pPr>
      <w:bookmarkStart w:id="0" w:name="OLE_LINK1"/>
      <w:r>
        <w:rPr>
          <w:rFonts w:hint="eastAsia" w:ascii="仿宋" w:hAnsi="仿宋" w:eastAsia="仿宋" w:cs="仿宋"/>
          <w:b/>
          <w:color w:val="auto"/>
          <w:sz w:val="21"/>
          <w:szCs w:val="21"/>
          <w:highlight w:val="none"/>
        </w:rPr>
        <w:t>2.2 制造标准</w:t>
      </w:r>
      <w:r>
        <w:rPr>
          <w:rFonts w:hint="eastAsia" w:ascii="仿宋" w:hAnsi="仿宋" w:eastAsia="仿宋" w:cs="仿宋"/>
          <w:b/>
          <w:color w:val="auto"/>
          <w:sz w:val="21"/>
          <w:szCs w:val="21"/>
          <w:highlight w:val="none"/>
        </w:rPr>
        <w:br w:type="textWrapping"/>
      </w:r>
      <w:r>
        <w:rPr>
          <w:rFonts w:hint="eastAsia" w:ascii="仿宋" w:hAnsi="仿宋" w:eastAsia="仿宋" w:cs="仿宋"/>
          <w:b w:val="0"/>
          <w:bCs w:val="0"/>
          <w:color w:val="auto"/>
          <w:kern w:val="0"/>
          <w:sz w:val="21"/>
          <w:szCs w:val="21"/>
          <w:highlight w:val="none"/>
          <w:lang w:val="en-US" w:eastAsia="zh-CN" w:bidi="ar-SA"/>
        </w:rPr>
        <w:t>2.2.1</w:t>
      </w:r>
      <w:bookmarkEnd w:id="0"/>
      <w:r>
        <w:rPr>
          <w:rFonts w:hint="eastAsia" w:ascii="仿宋" w:hAnsi="仿宋" w:eastAsia="仿宋" w:cs="仿宋"/>
          <w:b w:val="0"/>
          <w:bCs w:val="0"/>
          <w:color w:val="auto"/>
          <w:kern w:val="0"/>
          <w:sz w:val="21"/>
          <w:szCs w:val="21"/>
          <w:highlight w:val="none"/>
          <w:lang w:val="en-US" w:eastAsia="zh-CN" w:bidi="ar-SA"/>
        </w:rPr>
        <w:br w:type="textWrapping"/>
      </w:r>
      <w:r>
        <w:rPr>
          <w:rFonts w:hint="eastAsia" w:ascii="仿宋" w:hAnsi="仿宋" w:eastAsia="仿宋" w:cs="仿宋"/>
          <w:b w:val="0"/>
          <w:bCs w:val="0"/>
          <w:color w:val="auto"/>
          <w:kern w:val="0"/>
          <w:sz w:val="21"/>
          <w:szCs w:val="21"/>
          <w:highlight w:val="none"/>
          <w:lang w:val="en-US" w:eastAsia="zh-CN" w:bidi="ar-SA"/>
        </w:rPr>
        <w:t xml:space="preserve">     </w:t>
      </w:r>
      <w:r>
        <w:rPr>
          <w:rFonts w:hint="eastAsia" w:ascii="仿宋" w:hAnsi="仿宋" w:eastAsia="仿宋" w:cs="仿宋"/>
          <w:b w:val="0"/>
          <w:bCs/>
          <w:color w:val="auto"/>
          <w:sz w:val="21"/>
          <w:szCs w:val="21"/>
          <w:highlight w:val="none"/>
          <w:lang w:val="en-US" w:eastAsia="zh-CN"/>
        </w:rPr>
        <w:t>结构长度</w:t>
      </w:r>
      <w:r>
        <w:rPr>
          <w:rFonts w:hint="default" w:ascii="仿宋" w:hAnsi="仿宋" w:eastAsia="仿宋" w:cs="仿宋"/>
          <w:b w:val="0"/>
          <w:bCs/>
          <w:color w:val="auto"/>
          <w:sz w:val="21"/>
          <w:szCs w:val="21"/>
          <w:highlight w:val="none"/>
          <w:lang w:val="en-US" w:eastAsia="zh-CN"/>
        </w:rPr>
        <w:t>：需按照</w:t>
      </w:r>
      <w:r>
        <w:rPr>
          <w:rFonts w:hint="eastAsia" w:ascii="仿宋" w:hAnsi="仿宋" w:eastAsia="仿宋" w:cs="仿宋"/>
          <w:b w:val="0"/>
          <w:bCs/>
          <w:color w:val="auto"/>
          <w:sz w:val="21"/>
          <w:szCs w:val="21"/>
          <w:highlight w:val="none"/>
          <w:lang w:val="en-US" w:eastAsia="zh-CN"/>
        </w:rPr>
        <w:t>相关厂标</w:t>
      </w:r>
      <w:r>
        <w:rPr>
          <w:rFonts w:hint="default" w:ascii="仿宋" w:hAnsi="仿宋" w:eastAsia="仿宋" w:cs="仿宋"/>
          <w:b w:val="0"/>
          <w:bCs/>
          <w:color w:val="auto"/>
          <w:sz w:val="21"/>
          <w:szCs w:val="21"/>
          <w:highlight w:val="none"/>
          <w:lang w:val="en-US" w:eastAsia="zh-CN"/>
        </w:rPr>
        <w:t>的标准执行</w:t>
      </w:r>
    </w:p>
    <w:p>
      <w:pPr>
        <w:pStyle w:val="2"/>
        <w:keepNext w:val="0"/>
        <w:keepLines w:val="0"/>
        <w:widowControl/>
        <w:suppressLineNumbers w:val="0"/>
        <w:shd w:val="clear" w:fill="FFFFFF"/>
        <w:spacing w:before="240" w:beforeAutospacing="0" w:after="120" w:afterAutospacing="0" w:line="13" w:lineRule="atLeast"/>
        <w:ind w:left="0" w:right="0" w:firstLine="0"/>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2.3 相关技术要求</w:t>
      </w:r>
    </w:p>
    <w:p>
      <w:pPr>
        <w:bidi w:val="0"/>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highlight w:val="none"/>
          <w:lang w:val="en-US" w:eastAsia="zh-CN"/>
        </w:rPr>
        <w:t>陶瓷闸阀阀</w:t>
      </w:r>
      <w:r>
        <w:rPr>
          <w:rFonts w:hint="eastAsia" w:ascii="仿宋" w:hAnsi="仿宋" w:eastAsia="仿宋" w:cs="仿宋"/>
          <w:color w:val="auto"/>
          <w:sz w:val="21"/>
          <w:szCs w:val="21"/>
        </w:rPr>
        <w:t>从开启状态运行到关闭状态：</w:t>
      </w:r>
      <w:r>
        <w:rPr>
          <w:rFonts w:hint="eastAsia" w:ascii="仿宋" w:hAnsi="仿宋" w:eastAsia="仿宋" w:cs="仿宋"/>
          <w:color w:val="auto"/>
          <w:sz w:val="21"/>
          <w:szCs w:val="21"/>
          <w:lang w:val="en-US" w:eastAsia="zh-CN"/>
        </w:rPr>
        <w:t>阀板通过转轴与摆臂连接，气缸驱动阀板做旋转摆动（而非直线行程）启闭过程中阀板产生自转研磨，陶瓷密封面相互抛光，越关越紧，实现“自洁+自研磨”密封</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lang w:val="en-US" w:eastAsia="zh-CN"/>
        </w:rPr>
        <w:t>阀杆，填料与介质零接触，大腹腔设计：全通径无障碍，不卡灰，不积料。适用介质：粉煤灰，干灰，煤粉，矿渣，氧化铝粉，铁砂，颗粒物料及高磨损浆体。</w:t>
      </w:r>
    </w:p>
    <w:p>
      <w:pPr>
        <w:bidi w:val="0"/>
        <w:rPr>
          <w:rFonts w:hint="eastAsia" w:ascii="仿宋" w:hAnsi="仿宋" w:eastAsia="仿宋" w:cs="仿宋"/>
          <w:color w:val="auto"/>
          <w:sz w:val="21"/>
          <w:szCs w:val="21"/>
        </w:rPr>
      </w:pPr>
    </w:p>
    <w:p>
      <w:pPr>
        <w:pStyle w:val="7"/>
        <w:rPr>
          <w:rFonts w:hint="eastAsia"/>
          <w:color w:val="auto"/>
          <w:sz w:val="28"/>
          <w:szCs w:val="28"/>
        </w:rPr>
      </w:pPr>
    </w:p>
    <w:p>
      <w:pPr>
        <w:rPr>
          <w:rFonts w:hint="eastAsia"/>
          <w:color w:val="auto"/>
        </w:rPr>
      </w:pPr>
    </w:p>
    <w:p>
      <w:pPr>
        <w:keepNext w:val="0"/>
        <w:keepLines w:val="0"/>
        <w:pageBreakBefore w:val="0"/>
        <w:widowControl/>
        <w:tabs>
          <w:tab w:val="left" w:pos="108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1"/>
          <w:szCs w:val="21"/>
          <w:highlight w:val="none"/>
          <w:lang w:val="en-GB"/>
        </w:rPr>
      </w:pPr>
      <w:r>
        <w:rPr>
          <w:rFonts w:hint="eastAsia" w:ascii="仿宋" w:hAnsi="仿宋" w:eastAsia="仿宋" w:cs="仿宋"/>
          <w:b/>
          <w:bCs/>
          <w:color w:val="auto"/>
          <w:sz w:val="21"/>
          <w:szCs w:val="21"/>
          <w:highlight w:val="none"/>
          <w:lang w:val="en-US" w:eastAsia="zh-CN"/>
        </w:rPr>
        <w:t>2.4其他技术要求</w:t>
      </w:r>
      <w:r>
        <w:rPr>
          <w:rFonts w:hint="eastAsia" w:ascii="仿宋" w:hAnsi="仿宋" w:eastAsia="仿宋" w:cs="仿宋"/>
          <w:color w:val="auto"/>
          <w:sz w:val="21"/>
          <w:szCs w:val="21"/>
          <w:highlight w:val="none"/>
        </w:rPr>
        <w:br w:type="textWrapping"/>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2.</w:t>
      </w:r>
      <w:r>
        <w:rPr>
          <w:rFonts w:hint="eastAsia" w:ascii="仿宋" w:hAnsi="仿宋" w:eastAsia="仿宋" w:cs="仿宋"/>
          <w:color w:val="auto"/>
          <w:sz w:val="21"/>
          <w:szCs w:val="21"/>
          <w:highlight w:val="none"/>
          <w:lang w:val="en-US" w:eastAsia="zh-CN"/>
        </w:rPr>
        <w:t xml:space="preserve">4.1  </w:t>
      </w:r>
      <w:r>
        <w:rPr>
          <w:rFonts w:hint="eastAsia" w:ascii="仿宋" w:hAnsi="仿宋" w:eastAsia="仿宋" w:cs="仿宋"/>
          <w:color w:val="auto"/>
          <w:sz w:val="21"/>
          <w:szCs w:val="21"/>
          <w:highlight w:val="none"/>
          <w:lang w:val="en-GB"/>
        </w:rPr>
        <w:t>阀体强度试验：38℃时最大允许工作压力的1.5倍（</w:t>
      </w:r>
      <w:r>
        <w:rPr>
          <w:rFonts w:hint="eastAsia" w:ascii="仿宋" w:hAnsi="仿宋" w:eastAsia="仿宋" w:cs="仿宋"/>
          <w:color w:val="auto"/>
          <w:sz w:val="21"/>
          <w:szCs w:val="21"/>
          <w:highlight w:val="none"/>
          <w:lang w:val="en-GB" w:eastAsia="zh-CN"/>
        </w:rPr>
        <w:t>气体</w:t>
      </w:r>
      <w:r>
        <w:rPr>
          <w:rFonts w:hint="eastAsia" w:ascii="仿宋" w:hAnsi="仿宋" w:eastAsia="仿宋" w:cs="仿宋"/>
          <w:color w:val="auto"/>
          <w:sz w:val="21"/>
          <w:szCs w:val="21"/>
          <w:highlight w:val="none"/>
          <w:lang w:val="en-GB"/>
        </w:rPr>
        <w:t>）。</w:t>
      </w:r>
    </w:p>
    <w:p>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val="en-GB"/>
        </w:rPr>
      </w:pPr>
      <w:r>
        <w:rPr>
          <w:rFonts w:hint="eastAsia" w:ascii="仿宋" w:hAnsi="仿宋" w:eastAsia="仿宋" w:cs="仿宋"/>
          <w:color w:val="auto"/>
          <w:sz w:val="21"/>
          <w:szCs w:val="21"/>
          <w:highlight w:val="none"/>
          <w:lang w:val="en-US" w:eastAsia="zh-CN"/>
        </w:rPr>
        <w:t>2</w:t>
      </w:r>
      <w:r>
        <w:rPr>
          <w:rFonts w:hint="eastAsia" w:ascii="仿宋" w:hAnsi="仿宋" w:eastAsia="仿宋" w:cs="仿宋"/>
          <w:color w:val="auto"/>
          <w:sz w:val="21"/>
          <w:szCs w:val="21"/>
          <w:highlight w:val="none"/>
          <w:lang w:val="en-GB"/>
        </w:rPr>
        <w:t>.</w:t>
      </w:r>
      <w:r>
        <w:rPr>
          <w:rFonts w:hint="eastAsia" w:ascii="仿宋" w:hAnsi="仿宋" w:eastAsia="仿宋" w:cs="仿宋"/>
          <w:color w:val="auto"/>
          <w:sz w:val="21"/>
          <w:szCs w:val="21"/>
          <w:highlight w:val="none"/>
          <w:lang w:val="en-US" w:eastAsia="zh-CN"/>
        </w:rPr>
        <w:t>4.2</w:t>
      </w:r>
      <w:r>
        <w:rPr>
          <w:rFonts w:hint="eastAsia" w:ascii="仿宋" w:hAnsi="仿宋" w:eastAsia="仿宋" w:cs="仿宋"/>
          <w:color w:val="auto"/>
          <w:sz w:val="21"/>
          <w:szCs w:val="21"/>
          <w:highlight w:val="none"/>
          <w:lang w:val="en-GB"/>
        </w:rPr>
        <w:t xml:space="preserve"> </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低压气密封试验：</w:t>
      </w:r>
      <w:r>
        <w:rPr>
          <w:rFonts w:hint="eastAsia" w:ascii="仿宋" w:hAnsi="仿宋" w:eastAsia="仿宋" w:cs="仿宋"/>
          <w:color w:val="auto"/>
          <w:sz w:val="21"/>
          <w:szCs w:val="21"/>
          <w:highlight w:val="none"/>
          <w:lang w:val="en-US" w:eastAsia="zh-CN"/>
        </w:rPr>
        <w:t>0.6</w:t>
      </w:r>
      <w:r>
        <w:rPr>
          <w:rFonts w:hint="eastAsia" w:ascii="仿宋" w:hAnsi="仿宋" w:eastAsia="仿宋" w:cs="仿宋"/>
          <w:color w:val="auto"/>
          <w:sz w:val="21"/>
          <w:szCs w:val="21"/>
          <w:highlight w:val="none"/>
        </w:rPr>
        <w:t>MPa</w:t>
      </w:r>
      <w:r>
        <w:rPr>
          <w:rFonts w:hint="eastAsia" w:ascii="仿宋" w:hAnsi="仿宋" w:eastAsia="仿宋" w:cs="仿宋"/>
          <w:color w:val="auto"/>
          <w:sz w:val="21"/>
          <w:szCs w:val="21"/>
          <w:highlight w:val="none"/>
          <w:lang w:val="en-GB"/>
        </w:rPr>
        <w:t>。</w:t>
      </w:r>
    </w:p>
    <w:p>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val="en-GB"/>
        </w:rPr>
      </w:pPr>
      <w:r>
        <w:rPr>
          <w:rFonts w:hint="eastAsia" w:ascii="仿宋" w:hAnsi="仿宋" w:eastAsia="仿宋" w:cs="仿宋"/>
          <w:color w:val="auto"/>
          <w:sz w:val="21"/>
          <w:szCs w:val="21"/>
          <w:highlight w:val="none"/>
          <w:lang w:val="en-US" w:eastAsia="zh-CN"/>
        </w:rPr>
        <w:t>2</w:t>
      </w:r>
      <w:r>
        <w:rPr>
          <w:rFonts w:hint="eastAsia" w:ascii="仿宋" w:hAnsi="仿宋" w:eastAsia="仿宋" w:cs="仿宋"/>
          <w:color w:val="auto"/>
          <w:sz w:val="21"/>
          <w:szCs w:val="21"/>
          <w:highlight w:val="none"/>
          <w:lang w:val="en-GB"/>
        </w:rPr>
        <w:t>.</w:t>
      </w:r>
      <w:r>
        <w:rPr>
          <w:rFonts w:hint="eastAsia" w:ascii="仿宋" w:hAnsi="仿宋" w:eastAsia="仿宋" w:cs="仿宋"/>
          <w:color w:val="auto"/>
          <w:sz w:val="21"/>
          <w:szCs w:val="21"/>
          <w:highlight w:val="none"/>
          <w:lang w:val="en-US" w:eastAsia="zh-CN"/>
        </w:rPr>
        <w:t>4.3</w:t>
      </w:r>
      <w:r>
        <w:rPr>
          <w:rFonts w:hint="eastAsia" w:ascii="仿宋" w:hAnsi="仿宋" w:eastAsia="仿宋" w:cs="仿宋"/>
          <w:color w:val="auto"/>
          <w:sz w:val="21"/>
          <w:szCs w:val="21"/>
          <w:highlight w:val="none"/>
          <w:lang w:val="en-GB"/>
        </w:rPr>
        <w:t xml:space="preserve">  </w:t>
      </w:r>
      <w:r>
        <w:rPr>
          <w:rFonts w:hint="eastAsia" w:ascii="仿宋" w:hAnsi="仿宋" w:eastAsia="仿宋" w:cs="仿宋"/>
          <w:color w:val="auto"/>
          <w:sz w:val="21"/>
          <w:szCs w:val="21"/>
          <w:highlight w:val="none"/>
        </w:rPr>
        <w:t>高压密封试验：38℃时最大允许工作压力的1.1倍（</w:t>
      </w:r>
      <w:r>
        <w:rPr>
          <w:rFonts w:hint="eastAsia" w:ascii="仿宋" w:hAnsi="仿宋" w:eastAsia="仿宋" w:cs="仿宋"/>
          <w:color w:val="auto"/>
          <w:sz w:val="21"/>
          <w:szCs w:val="21"/>
          <w:highlight w:val="none"/>
          <w:lang w:val="en-GB" w:eastAsia="zh-CN"/>
        </w:rPr>
        <w:t>气体</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lang w:val="en-GB"/>
        </w:rPr>
        <w:t>。</w:t>
      </w:r>
    </w:p>
    <w:p>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lang w:val="en-US" w:eastAsia="zh-CN"/>
        </w:rPr>
        <w:t>4.4</w:t>
      </w:r>
      <w:r>
        <w:rPr>
          <w:rFonts w:hint="eastAsia" w:ascii="仿宋" w:hAnsi="仿宋" w:eastAsia="仿宋" w:cs="仿宋"/>
          <w:color w:val="auto"/>
          <w:sz w:val="21"/>
          <w:szCs w:val="21"/>
          <w:highlight w:val="none"/>
          <w:lang w:val="en-GB"/>
        </w:rPr>
        <w:t xml:space="preserve">  阀体上应有清晰的永久性标志标明阀门承压方向，其它阀门标识、阀门涂装等执行相关国家及行业标准。</w:t>
      </w:r>
      <w:r>
        <w:rPr>
          <w:rFonts w:hint="eastAsia" w:ascii="仿宋" w:hAnsi="仿宋" w:eastAsia="仿宋" w:cs="仿宋"/>
          <w:color w:val="auto"/>
          <w:sz w:val="21"/>
          <w:szCs w:val="21"/>
          <w:highlight w:val="none"/>
          <w:lang w:val="en-GB"/>
        </w:rPr>
        <w:br w:type="textWrapping"/>
      </w:r>
      <w:r>
        <w:rPr>
          <w:rFonts w:hint="eastAsia" w:ascii="仿宋" w:hAnsi="仿宋" w:eastAsia="仿宋" w:cs="仿宋"/>
          <w:color w:val="auto"/>
          <w:sz w:val="21"/>
          <w:szCs w:val="21"/>
          <w:highlight w:val="none"/>
          <w:lang w:val="en-US" w:eastAsia="zh-CN"/>
        </w:rPr>
        <w:t xml:space="preserve">    2.4.5</w:t>
      </w:r>
      <w:r>
        <w:rPr>
          <w:rFonts w:hint="eastAsia" w:ascii="仿宋" w:hAnsi="仿宋" w:eastAsia="仿宋" w:cs="仿宋"/>
          <w:color w:val="auto"/>
          <w:sz w:val="21"/>
          <w:szCs w:val="21"/>
          <w:highlight w:val="none"/>
          <w:lang w:val="en-GB"/>
        </w:rPr>
        <w:t>材质成分、硬度、气密性、防腐性能等，需提供检测报告</w:t>
      </w:r>
      <w:r>
        <w:rPr>
          <w:rFonts w:hint="eastAsia" w:ascii="仿宋" w:hAnsi="仿宋" w:eastAsia="仿宋" w:cs="仿宋"/>
          <w:color w:val="auto"/>
          <w:sz w:val="21"/>
          <w:szCs w:val="21"/>
          <w:highlight w:val="none"/>
          <w:lang w:val="en-GB"/>
        </w:rPr>
        <w:br w:type="textWrapping"/>
      </w:r>
      <w:r>
        <w:rPr>
          <w:rFonts w:hint="eastAsia" w:ascii="仿宋" w:hAnsi="仿宋" w:eastAsia="仿宋" w:cs="仿宋"/>
          <w:color w:val="auto"/>
          <w:sz w:val="21"/>
          <w:szCs w:val="21"/>
          <w:highlight w:val="none"/>
          <w:lang w:val="en-US" w:eastAsia="zh-CN"/>
        </w:rPr>
        <w:t xml:space="preserve">    2.4.6</w:t>
      </w:r>
      <w:r>
        <w:rPr>
          <w:rFonts w:hint="eastAsia" w:ascii="仿宋" w:hAnsi="仿宋" w:eastAsia="仿宋" w:cs="仿宋"/>
          <w:color w:val="auto"/>
          <w:sz w:val="21"/>
          <w:szCs w:val="21"/>
          <w:highlight w:val="none"/>
          <w:lang w:val="zh-CN" w:eastAsia="zh-CN"/>
        </w:rPr>
        <w:t>阀体材质</w:t>
      </w:r>
      <w:r>
        <w:rPr>
          <w:rFonts w:hint="eastAsia" w:ascii="仿宋" w:hAnsi="仿宋" w:eastAsia="仿宋" w:cs="仿宋"/>
          <w:color w:val="auto"/>
          <w:sz w:val="21"/>
          <w:szCs w:val="21"/>
          <w:highlight w:val="none"/>
          <w:lang w:val="en-US" w:eastAsia="zh-CN"/>
        </w:rPr>
        <w:t>WCB+陶瓷.</w:t>
      </w:r>
    </w:p>
    <w:p>
      <w:pPr>
        <w:tabs>
          <w:tab w:val="left" w:pos="540"/>
          <w:tab w:val="left" w:pos="720"/>
          <w:tab w:val="left" w:pos="1080"/>
        </w:tabs>
        <w:spacing w:line="360" w:lineRule="auto"/>
        <w:ind w:left="266" w:leftChars="104" w:hanging="16" w:hangingChars="7"/>
        <w:jc w:val="left"/>
        <w:rPr>
          <w:rFonts w:hint="default" w:ascii="宋体" w:hAnsi="宋体" w:eastAsia="宋体"/>
          <w:sz w:val="21"/>
          <w:szCs w:val="21"/>
          <w:highlight w:val="none"/>
          <w:lang w:val="en-US" w:eastAsia="zh-CN"/>
        </w:rPr>
      </w:pPr>
      <w:r>
        <w:rPr>
          <w:rFonts w:hint="eastAsia"/>
          <w:sz w:val="24"/>
        </w:rPr>
        <w:br w:type="textWrapping"/>
      </w:r>
      <w:r>
        <w:rPr>
          <w:rFonts w:hint="eastAsia" w:ascii="仿宋" w:hAnsi="仿宋" w:eastAsia="仿宋" w:cs="仿宋"/>
          <w:b/>
          <w:bCs/>
          <w:color w:val="auto"/>
          <w:kern w:val="44"/>
          <w:sz w:val="21"/>
          <w:szCs w:val="21"/>
          <w:highlight w:val="none"/>
          <w:lang w:val="en-US" w:eastAsia="zh-CN" w:bidi="ar-SA"/>
        </w:rPr>
        <w:t>2.5推荐阀门品牌：</w:t>
      </w:r>
      <w:r>
        <w:rPr>
          <w:rFonts w:hint="eastAsia" w:ascii="仿宋" w:hAnsi="仿宋" w:eastAsia="仿宋" w:cs="仿宋"/>
          <w:color w:val="auto"/>
          <w:sz w:val="21"/>
          <w:szCs w:val="21"/>
          <w:highlight w:val="none"/>
          <w:lang w:val="en-US" w:eastAsia="zh-CN"/>
        </w:rPr>
        <w:t>参照或相当于良固阀门集团股份有限公司、佳控流体控制有限公司、</w:t>
      </w:r>
      <w:r>
        <w:rPr>
          <w:rFonts w:hint="eastAsia" w:ascii="宋体" w:hAnsi="宋体"/>
          <w:color w:val="auto"/>
          <w:sz w:val="21"/>
          <w:szCs w:val="21"/>
          <w:highlight w:val="none"/>
          <w:lang w:val="en-US" w:eastAsia="zh-CN"/>
        </w:rPr>
        <w:t>玉环巨龙阀门厂；</w:t>
      </w:r>
    </w:p>
    <w:p>
      <w:pPr>
        <w:spacing w:line="360" w:lineRule="auto"/>
        <w:rPr>
          <w:rFonts w:hint="eastAsia" w:ascii="仿宋" w:hAnsi="仿宋" w:eastAsia="仿宋" w:cs="仿宋"/>
          <w:color w:val="auto"/>
          <w:sz w:val="21"/>
          <w:szCs w:val="21"/>
          <w:highlight w:val="none"/>
          <w:lang w:val="en-GB"/>
        </w:rPr>
      </w:pPr>
    </w:p>
    <w:p>
      <w:pPr>
        <w:widowControl/>
        <w:spacing w:line="360" w:lineRule="auto"/>
        <w:jc w:val="left"/>
        <w:rPr>
          <w:rFonts w:hint="eastAsia" w:ascii="仿宋" w:hAnsi="仿宋" w:eastAsia="仿宋" w:cs="仿宋"/>
          <w:b/>
          <w:color w:val="auto"/>
          <w:spacing w:val="-4"/>
          <w:kern w:val="28"/>
          <w:sz w:val="21"/>
          <w:szCs w:val="21"/>
          <w:highlight w:val="none"/>
        </w:rPr>
      </w:pPr>
      <w:r>
        <w:rPr>
          <w:rFonts w:hint="eastAsia" w:ascii="仿宋" w:hAnsi="仿宋" w:eastAsia="仿宋" w:cs="仿宋"/>
          <w:b/>
          <w:color w:val="auto"/>
          <w:spacing w:val="-4"/>
          <w:kern w:val="28"/>
          <w:sz w:val="21"/>
          <w:szCs w:val="21"/>
          <w:highlight w:val="none"/>
        </w:rPr>
        <w:t>附件三</w:t>
      </w:r>
      <w:r>
        <w:rPr>
          <w:rFonts w:hint="eastAsia" w:ascii="仿宋" w:hAnsi="仿宋" w:eastAsia="仿宋" w:cs="仿宋"/>
          <w:b/>
          <w:color w:val="auto"/>
          <w:spacing w:val="-4"/>
          <w:kern w:val="28"/>
          <w:sz w:val="21"/>
          <w:szCs w:val="21"/>
          <w:highlight w:val="none"/>
          <w:lang w:val="en-US" w:eastAsia="zh-CN"/>
        </w:rPr>
        <w:t xml:space="preserve"> </w:t>
      </w:r>
      <w:r>
        <w:rPr>
          <w:rFonts w:hint="eastAsia" w:ascii="仿宋" w:hAnsi="仿宋" w:eastAsia="仿宋" w:cs="仿宋"/>
          <w:b/>
          <w:color w:val="auto"/>
          <w:spacing w:val="-4"/>
          <w:kern w:val="28"/>
          <w:sz w:val="21"/>
          <w:szCs w:val="21"/>
          <w:highlight w:val="none"/>
        </w:rPr>
        <w:t>供货范围</w:t>
      </w:r>
    </w:p>
    <w:tbl>
      <w:tblPr>
        <w:tblStyle w:val="15"/>
        <w:tblW w:w="958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69"/>
        <w:gridCol w:w="1329"/>
        <w:gridCol w:w="5906"/>
        <w:gridCol w:w="496"/>
        <w:gridCol w:w="5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物料编码</w:t>
            </w:r>
          </w:p>
        </w:tc>
        <w:tc>
          <w:tcPr>
            <w:tcW w:w="5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物料描述</w:t>
            </w: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hAnsi="宋体" w:eastAsia="宋体" w:cs="宋体"/>
                <w:i w:val="0"/>
                <w:iCs w:val="0"/>
                <w:color w:val="000000"/>
                <w:kern w:val="0"/>
                <w:sz w:val="20"/>
                <w:szCs w:val="20"/>
                <w:u w:val="none"/>
                <w:lang w:val="en-US" w:eastAsia="zh-CN" w:bidi="ar"/>
              </w:rPr>
            </w:pPr>
            <w:r>
              <w:rPr>
                <w:rFonts w:hint="eastAsia" w:hAnsi="宋体" w:eastAsia="宋体" w:cs="宋体"/>
                <w:i w:val="0"/>
                <w:iCs w:val="0"/>
                <w:color w:val="000000"/>
                <w:kern w:val="0"/>
                <w:sz w:val="21"/>
                <w:szCs w:val="21"/>
                <w:u w:val="none"/>
                <w:lang w:val="en-US" w:eastAsia="zh-CN" w:bidi="ar"/>
              </w:rPr>
              <w:t>1</w:t>
            </w: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hAnsi="宋体" w:eastAsia="宋体" w:cs="宋体"/>
                <w:i w:val="0"/>
                <w:iCs w:val="0"/>
                <w:color w:val="000000"/>
                <w:kern w:val="0"/>
                <w:sz w:val="16"/>
                <w:szCs w:val="16"/>
                <w:u w:val="none"/>
                <w:lang w:val="en-US" w:eastAsia="zh-CN" w:bidi="ar"/>
              </w:rPr>
            </w:pPr>
            <w:r>
              <w:rPr>
                <w:rFonts w:hint="eastAsia" w:ascii="仿宋" w:hAnsi="仿宋" w:eastAsia="仿宋" w:cs="仿宋"/>
                <w:b w:val="0"/>
                <w:bCs/>
                <w:color w:val="auto"/>
                <w:sz w:val="21"/>
                <w:szCs w:val="21"/>
                <w:highlight w:val="none"/>
                <w:lang w:val="en-US" w:eastAsia="zh-CN"/>
              </w:rPr>
              <w:t>70360732</w:t>
            </w:r>
          </w:p>
        </w:tc>
        <w:tc>
          <w:tcPr>
            <w:tcW w:w="5906"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540"/>
                <w:tab w:val="left" w:pos="720"/>
                <w:tab w:val="left" w:pos="1080"/>
              </w:tabs>
              <w:spacing w:line="360" w:lineRule="auto"/>
              <w:ind w:left="264" w:leftChars="104" w:hanging="14" w:hangingChars="7"/>
              <w:jc w:val="center"/>
              <w:rPr>
                <w:rFonts w:hint="eastAsia" w:hAnsi="宋体" w:eastAsia="宋体" w:cs="宋体"/>
                <w:i w:val="0"/>
                <w:iCs w:val="0"/>
                <w:color w:val="000000"/>
                <w:kern w:val="0"/>
                <w:sz w:val="21"/>
                <w:szCs w:val="16"/>
                <w:u w:val="none"/>
                <w:lang w:val="en-US" w:eastAsia="zh-CN" w:bidi="ar"/>
              </w:rPr>
            </w:pPr>
            <w:r>
              <w:rPr>
                <w:rFonts w:hint="eastAsia" w:ascii="仿宋" w:hAnsi="仿宋" w:eastAsia="仿宋" w:cs="仿宋"/>
                <w:color w:val="auto"/>
                <w:sz w:val="21"/>
                <w:szCs w:val="21"/>
                <w:highlight w:val="none"/>
                <w:lang w:val="en-US" w:eastAsia="zh-CN"/>
              </w:rPr>
              <w:t>陶瓷闸阀\Z644TC-16C DN100 JGLTY3</w:t>
            </w: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hAnsi="宋体" w:eastAsia="宋体" w:cs="宋体"/>
                <w:i w:val="0"/>
                <w:iCs w:val="0"/>
                <w:color w:val="000000"/>
                <w:kern w:val="0"/>
                <w:sz w:val="20"/>
                <w:szCs w:val="20"/>
                <w:u w:val="none"/>
                <w:lang w:val="en-US" w:eastAsia="zh-CN" w:bidi="ar"/>
              </w:rPr>
            </w:pPr>
            <w:r>
              <w:rPr>
                <w:rFonts w:hint="eastAsia" w:hAnsi="宋体" w:cs="宋体"/>
                <w:i w:val="0"/>
                <w:iCs w:val="0"/>
                <w:color w:val="000000"/>
                <w:kern w:val="0"/>
                <w:sz w:val="20"/>
                <w:szCs w:val="20"/>
                <w:u w:val="none"/>
                <w:lang w:val="en-US" w:eastAsia="zh-CN" w:bidi="ar"/>
              </w:rPr>
              <w:t>台</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hAnsi="宋体" w:eastAsia="宋体" w:cs="宋体"/>
                <w:i w:val="0"/>
                <w:iCs w:val="0"/>
                <w:color w:val="000000"/>
                <w:kern w:val="0"/>
                <w:sz w:val="20"/>
                <w:szCs w:val="20"/>
                <w:u w:val="none"/>
                <w:lang w:val="en-US" w:eastAsia="zh-CN" w:bidi="ar"/>
              </w:rPr>
            </w:pPr>
            <w:r>
              <w:rPr>
                <w:rFonts w:hint="eastAsia" w:hAnsi="宋体" w:cs="宋体"/>
                <w:i w:val="0"/>
                <w:iCs w:val="0"/>
                <w:color w:val="000000"/>
                <w:kern w:val="0"/>
                <w:sz w:val="20"/>
                <w:szCs w:val="20"/>
                <w:u w:val="none"/>
                <w:lang w:val="en-US" w:eastAsia="zh-CN" w:bidi="ar"/>
              </w:rPr>
              <w:t>4</w:t>
            </w:r>
          </w:p>
        </w:tc>
      </w:tr>
    </w:tbl>
    <w:p>
      <w:pPr>
        <w:spacing w:line="360" w:lineRule="auto"/>
        <w:ind w:left="0" w:leftChars="0" w:firstLine="0" w:firstLineChars="0"/>
        <w:rPr>
          <w:rFonts w:hint="eastAsia" w:ascii="仿宋" w:hAnsi="仿宋" w:eastAsia="仿宋" w:cs="仿宋"/>
          <w:b/>
          <w:color w:val="auto"/>
          <w:spacing w:val="-4"/>
          <w:kern w:val="28"/>
          <w:sz w:val="21"/>
          <w:szCs w:val="21"/>
          <w:highlight w:val="none"/>
        </w:rPr>
      </w:pPr>
      <w:r>
        <w:rPr>
          <w:rFonts w:hint="eastAsia" w:ascii="仿宋" w:hAnsi="仿宋" w:eastAsia="仿宋" w:cs="仿宋"/>
          <w:color w:val="auto"/>
          <w:sz w:val="21"/>
          <w:szCs w:val="21"/>
          <w:highlight w:val="none"/>
          <w:lang w:val="en-US" w:eastAsia="zh-CN"/>
        </w:rPr>
        <w:t>阀门安装方式必须与现场阀门安装尺寸一致，确保提供的阀门能够完全的备用和互换。</w:t>
      </w:r>
    </w:p>
    <w:p>
      <w:pPr>
        <w:spacing w:line="360" w:lineRule="auto"/>
        <w:ind w:left="0" w:leftChars="0" w:firstLine="0" w:firstLineChars="0"/>
        <w:rPr>
          <w:rFonts w:hint="eastAsia" w:ascii="仿宋" w:hAnsi="仿宋" w:eastAsia="仿宋" w:cs="仿宋"/>
          <w:b/>
          <w:color w:val="auto"/>
          <w:spacing w:val="-4"/>
          <w:kern w:val="28"/>
          <w:sz w:val="21"/>
          <w:szCs w:val="21"/>
          <w:highlight w:val="none"/>
        </w:rPr>
      </w:pPr>
      <w:r>
        <w:rPr>
          <w:rFonts w:hint="eastAsia" w:ascii="仿宋" w:hAnsi="仿宋" w:eastAsia="仿宋" w:cs="仿宋"/>
          <w:b/>
          <w:color w:val="auto"/>
          <w:spacing w:val="-4"/>
          <w:kern w:val="28"/>
          <w:sz w:val="21"/>
          <w:szCs w:val="21"/>
          <w:highlight w:val="none"/>
        </w:rPr>
        <w:t>附件四</w:t>
      </w:r>
      <w:r>
        <w:rPr>
          <w:rFonts w:hint="eastAsia" w:ascii="仿宋" w:hAnsi="仿宋" w:eastAsia="仿宋" w:cs="仿宋"/>
          <w:b/>
          <w:color w:val="auto"/>
          <w:spacing w:val="-4"/>
          <w:kern w:val="28"/>
          <w:sz w:val="21"/>
          <w:szCs w:val="21"/>
          <w:highlight w:val="none"/>
          <w:lang w:val="en-US" w:eastAsia="zh-CN"/>
        </w:rPr>
        <w:t xml:space="preserve"> </w:t>
      </w:r>
      <w:r>
        <w:rPr>
          <w:rFonts w:hint="eastAsia" w:ascii="仿宋" w:hAnsi="仿宋" w:eastAsia="仿宋" w:cs="仿宋"/>
          <w:b/>
          <w:color w:val="auto"/>
          <w:spacing w:val="-4"/>
          <w:kern w:val="28"/>
          <w:sz w:val="21"/>
          <w:szCs w:val="21"/>
          <w:highlight w:val="none"/>
        </w:rPr>
        <w:t>提供资料</w:t>
      </w:r>
    </w:p>
    <w:p>
      <w:pPr>
        <w:widowControl w:val="0"/>
        <w:tabs>
          <w:tab w:val="left" w:pos="540"/>
          <w:tab w:val="left" w:pos="1080"/>
        </w:tabs>
        <w:spacing w:line="360" w:lineRule="auto"/>
        <w:jc w:val="both"/>
        <w:outlineLvl w:val="0"/>
        <w:rPr>
          <w:rFonts w:hint="eastAsia" w:ascii="仿宋" w:hAnsi="仿宋" w:eastAsia="仿宋" w:cs="仿宋"/>
          <w:color w:val="auto"/>
          <w:kern w:val="2"/>
          <w:sz w:val="21"/>
          <w:szCs w:val="21"/>
          <w:highlight w:val="none"/>
          <w:lang w:eastAsia="zh-CN"/>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.1</w:t>
      </w:r>
      <w:r>
        <w:rPr>
          <w:rFonts w:hint="eastAsia" w:ascii="仿宋" w:hAnsi="仿宋" w:eastAsia="仿宋" w:cs="仿宋"/>
          <w:color w:val="auto"/>
          <w:kern w:val="2"/>
          <w:sz w:val="21"/>
          <w:szCs w:val="21"/>
          <w:highlight w:val="none"/>
          <w:lang w:eastAsia="zh-CN"/>
        </w:rPr>
        <w:t>乙方</w:t>
      </w:r>
      <w:r>
        <w:rPr>
          <w:rFonts w:hint="eastAsia" w:ascii="仿宋" w:hAnsi="仿宋" w:eastAsia="仿宋" w:cs="仿宋"/>
          <w:color w:val="auto"/>
          <w:kern w:val="2"/>
          <w:sz w:val="21"/>
          <w:szCs w:val="21"/>
          <w:highlight w:val="none"/>
        </w:rPr>
        <w:t>在</w:t>
      </w:r>
      <w:r>
        <w:rPr>
          <w:rFonts w:hint="eastAsia" w:ascii="仿宋" w:hAnsi="仿宋" w:eastAsia="仿宋" w:cs="仿宋"/>
          <w:color w:val="auto"/>
          <w:kern w:val="2"/>
          <w:sz w:val="21"/>
          <w:szCs w:val="21"/>
          <w:highlight w:val="none"/>
          <w:lang w:eastAsia="zh-CN"/>
        </w:rPr>
        <w:t>投标前可到甲</w:t>
      </w:r>
      <w:r>
        <w:rPr>
          <w:rFonts w:hint="eastAsia" w:ascii="仿宋" w:hAnsi="仿宋" w:eastAsia="仿宋" w:cs="仿宋"/>
          <w:color w:val="auto"/>
          <w:kern w:val="2"/>
          <w:sz w:val="21"/>
          <w:szCs w:val="21"/>
          <w:highlight w:val="none"/>
        </w:rPr>
        <w:t>方</w:t>
      </w:r>
      <w:r>
        <w:rPr>
          <w:rFonts w:hint="eastAsia" w:ascii="仿宋" w:hAnsi="仿宋" w:eastAsia="仿宋" w:cs="仿宋"/>
          <w:color w:val="auto"/>
          <w:kern w:val="2"/>
          <w:sz w:val="21"/>
          <w:szCs w:val="21"/>
          <w:highlight w:val="none"/>
          <w:lang w:eastAsia="zh-CN"/>
        </w:rPr>
        <w:t>现场现场勘察，并查看甲方在线设备资料和现场环境。</w:t>
      </w:r>
    </w:p>
    <w:p>
      <w:pPr>
        <w:widowControl w:val="0"/>
        <w:spacing w:line="360" w:lineRule="auto"/>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 xml:space="preserve">.2乙方在中标后 </w:t>
      </w:r>
      <w:r>
        <w:rPr>
          <w:rFonts w:hint="eastAsia" w:ascii="仿宋" w:hAnsi="仿宋" w:eastAsia="仿宋" w:cs="仿宋"/>
          <w:color w:val="auto"/>
          <w:kern w:val="2"/>
          <w:sz w:val="21"/>
          <w:szCs w:val="21"/>
          <w:highlight w:val="none"/>
          <w:lang w:val="en-US" w:eastAsia="zh-CN"/>
        </w:rPr>
        <w:t>7</w:t>
      </w:r>
      <w:r>
        <w:rPr>
          <w:rFonts w:hint="eastAsia" w:ascii="仿宋" w:hAnsi="仿宋" w:eastAsia="仿宋" w:cs="仿宋"/>
          <w:color w:val="auto"/>
          <w:kern w:val="2"/>
          <w:sz w:val="21"/>
          <w:szCs w:val="21"/>
          <w:highlight w:val="none"/>
        </w:rPr>
        <w:t>天内将</w:t>
      </w:r>
      <w:r>
        <w:rPr>
          <w:rFonts w:hint="eastAsia" w:ascii="仿宋" w:hAnsi="仿宋" w:eastAsia="仿宋" w:cs="仿宋"/>
          <w:color w:val="auto"/>
          <w:kern w:val="2"/>
          <w:sz w:val="21"/>
          <w:szCs w:val="21"/>
          <w:highlight w:val="none"/>
          <w:lang w:eastAsia="zh-CN"/>
        </w:rPr>
        <w:t>确认</w:t>
      </w:r>
      <w:r>
        <w:rPr>
          <w:rFonts w:hint="eastAsia" w:ascii="仿宋" w:hAnsi="仿宋" w:eastAsia="仿宋" w:cs="仿宋"/>
          <w:color w:val="auto"/>
          <w:kern w:val="2"/>
          <w:sz w:val="21"/>
          <w:szCs w:val="21"/>
          <w:highlight w:val="none"/>
        </w:rPr>
        <w:t>的纸版和电子版如下资料提供给甲方：</w:t>
      </w:r>
    </w:p>
    <w:p>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.2.1</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外购件明细表</w:t>
      </w:r>
    </w:p>
    <w:p>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.2.2</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备件、附件明细表</w:t>
      </w:r>
    </w:p>
    <w:p>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.2.3</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各部分总图、装配图及零件图</w:t>
      </w:r>
    </w:p>
    <w:p>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.2.4</w:t>
      </w:r>
      <w:r>
        <w:rPr>
          <w:rFonts w:hint="eastAsia" w:ascii="仿宋" w:hAnsi="仿宋" w:eastAsia="仿宋" w:cs="仿宋"/>
          <w:color w:val="auto"/>
          <w:kern w:val="2"/>
          <w:sz w:val="21"/>
          <w:szCs w:val="21"/>
          <w:highlight w:val="none"/>
          <w:lang w:val="en-US" w:eastAsia="zh-CN"/>
        </w:rPr>
        <w:t xml:space="preserve"> 产品合格证、使用说明书、备件图纸；</w:t>
      </w:r>
    </w:p>
    <w:p>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4.2.5 阀门验报告书；</w:t>
      </w:r>
    </w:p>
    <w:p>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4.2.6 阀门质量保证书。</w:t>
      </w:r>
    </w:p>
    <w:p>
      <w:pPr>
        <w:widowControl w:val="0"/>
        <w:spacing w:line="360" w:lineRule="auto"/>
        <w:ind w:firstLine="119" w:firstLineChars="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w:t>
      </w:r>
      <w:r>
        <w:rPr>
          <w:rFonts w:hint="eastAsia" w:ascii="仿宋" w:hAnsi="仿宋" w:eastAsia="仿宋" w:cs="仿宋"/>
          <w:color w:val="auto"/>
          <w:kern w:val="2"/>
          <w:sz w:val="21"/>
          <w:szCs w:val="21"/>
          <w:highlight w:val="none"/>
          <w:lang w:val="en-US" w:eastAsia="zh-CN"/>
        </w:rPr>
        <w:t xml:space="preserve">3 </w:t>
      </w:r>
      <w:r>
        <w:rPr>
          <w:rFonts w:hint="eastAsia" w:ascii="仿宋" w:hAnsi="仿宋" w:eastAsia="仿宋" w:cs="仿宋"/>
          <w:color w:val="auto"/>
          <w:kern w:val="2"/>
          <w:sz w:val="21"/>
          <w:szCs w:val="21"/>
          <w:highlight w:val="none"/>
        </w:rPr>
        <w:t>邮寄地址</w:t>
      </w:r>
    </w:p>
    <w:p>
      <w:pPr>
        <w:widowControl w:val="0"/>
        <w:spacing w:line="360" w:lineRule="auto"/>
        <w:ind w:firstLine="539" w:firstLineChars="2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 xml:space="preserve">甲方邮寄信息： </w:t>
      </w:r>
    </w:p>
    <w:p>
      <w:pPr>
        <w:widowControl w:val="0"/>
        <w:spacing w:line="360" w:lineRule="auto"/>
        <w:ind w:firstLine="539" w:firstLineChars="2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邮政编码：735100；</w:t>
      </w:r>
    </w:p>
    <w:p>
      <w:pPr>
        <w:pStyle w:val="11"/>
        <w:spacing w:line="360" w:lineRule="auto"/>
        <w:ind w:firstLine="525" w:firstLineChars="250"/>
        <w:rPr>
          <w:rFonts w:hint="eastAsia" w:ascii="仿宋" w:hAnsi="仿宋" w:eastAsia="仿宋" w:cs="仿宋"/>
          <w:color w:val="auto"/>
          <w:szCs w:val="21"/>
          <w:highlight w:val="none"/>
        </w:rPr>
      </w:pPr>
      <w:r>
        <w:rPr>
          <w:rFonts w:hint="eastAsia" w:ascii="仿宋" w:hAnsi="仿宋" w:eastAsia="仿宋" w:cs="仿宋"/>
          <w:color w:val="auto"/>
          <w:szCs w:val="21"/>
          <w:highlight w:val="none"/>
        </w:rPr>
        <w:t>收件人</w:t>
      </w:r>
      <w:r>
        <w:rPr>
          <w:rFonts w:hint="eastAsia" w:ascii="仿宋" w:hAnsi="仿宋" w:eastAsia="仿宋" w:cs="仿宋"/>
          <w:color w:val="auto"/>
          <w:szCs w:val="21"/>
          <w:highlight w:val="none"/>
          <w:lang w:eastAsia="zh-CN"/>
        </w:rPr>
        <w:t>：李银喜</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联系电话：</w:t>
      </w:r>
      <w:r>
        <w:rPr>
          <w:rFonts w:hint="eastAsia" w:ascii="仿宋" w:hAnsi="仿宋" w:eastAsia="仿宋" w:cs="仿宋"/>
          <w:color w:val="auto"/>
          <w:szCs w:val="21"/>
          <w:highlight w:val="none"/>
          <w:lang w:val="en-US" w:eastAsia="zh-CN"/>
        </w:rPr>
        <w:t>18093738790</w:t>
      </w:r>
      <w:r>
        <w:rPr>
          <w:rFonts w:hint="eastAsia" w:ascii="仿宋" w:hAnsi="仿宋" w:eastAsia="仿宋" w:cs="仿宋"/>
          <w:color w:val="auto"/>
          <w:szCs w:val="21"/>
          <w:highlight w:val="none"/>
        </w:rPr>
        <w:t>电子邮箱：</w:t>
      </w:r>
      <w:r>
        <w:rPr>
          <w:rFonts w:hint="eastAsia" w:ascii="仿宋" w:hAnsi="仿宋" w:eastAsia="仿宋" w:cs="仿宋"/>
          <w:color w:val="auto"/>
          <w:szCs w:val="21"/>
          <w:highlight w:val="none"/>
          <w:lang w:val="en-US" w:eastAsia="zh-CN"/>
        </w:rPr>
        <w:t>liyinxi@jiugang.com</w:t>
      </w:r>
    </w:p>
    <w:p>
      <w:pPr>
        <w:widowControl w:val="0"/>
        <w:spacing w:line="360" w:lineRule="auto"/>
        <w:jc w:val="both"/>
        <w:rPr>
          <w:rFonts w:hint="eastAsia" w:ascii="仿宋" w:hAnsi="仿宋" w:eastAsia="仿宋" w:cs="仿宋"/>
          <w:b/>
          <w:color w:val="auto"/>
          <w:kern w:val="2"/>
          <w:sz w:val="21"/>
          <w:szCs w:val="21"/>
          <w:highlight w:val="none"/>
        </w:rPr>
      </w:pPr>
      <w:r>
        <w:rPr>
          <w:rFonts w:hint="eastAsia" w:ascii="仿宋" w:hAnsi="仿宋" w:eastAsia="仿宋" w:cs="仿宋"/>
          <w:b/>
          <w:color w:val="auto"/>
          <w:kern w:val="2"/>
          <w:sz w:val="21"/>
          <w:szCs w:val="21"/>
          <w:highlight w:val="none"/>
        </w:rPr>
        <w:t>附件</w:t>
      </w:r>
      <w:r>
        <w:rPr>
          <w:rFonts w:hint="eastAsia" w:ascii="仿宋" w:hAnsi="仿宋" w:eastAsia="仿宋" w:cs="仿宋"/>
          <w:b/>
          <w:color w:val="auto"/>
          <w:kern w:val="2"/>
          <w:sz w:val="21"/>
          <w:szCs w:val="21"/>
          <w:highlight w:val="none"/>
          <w:lang w:eastAsia="zh-CN"/>
        </w:rPr>
        <w:t>五</w:t>
      </w:r>
      <w:r>
        <w:rPr>
          <w:rFonts w:hint="eastAsia" w:ascii="仿宋" w:hAnsi="仿宋" w:eastAsia="仿宋" w:cs="仿宋"/>
          <w:b/>
          <w:color w:val="auto"/>
          <w:kern w:val="2"/>
          <w:sz w:val="21"/>
          <w:szCs w:val="21"/>
          <w:highlight w:val="none"/>
        </w:rPr>
        <w:t xml:space="preserve"> </w:t>
      </w:r>
      <w:r>
        <w:rPr>
          <w:rFonts w:hint="eastAsia" w:ascii="仿宋" w:hAnsi="仿宋" w:eastAsia="仿宋" w:cs="仿宋"/>
          <w:b/>
          <w:color w:val="auto"/>
          <w:kern w:val="2"/>
          <w:sz w:val="21"/>
          <w:szCs w:val="21"/>
          <w:highlight w:val="none"/>
          <w:lang w:val="en-US" w:eastAsia="zh-CN"/>
        </w:rPr>
        <w:t xml:space="preserve">  </w:t>
      </w:r>
      <w:r>
        <w:rPr>
          <w:rFonts w:hint="eastAsia" w:ascii="仿宋" w:hAnsi="仿宋" w:eastAsia="仿宋" w:cs="仿宋"/>
          <w:b/>
          <w:color w:val="auto"/>
          <w:kern w:val="2"/>
          <w:sz w:val="21"/>
          <w:szCs w:val="21"/>
          <w:highlight w:val="none"/>
        </w:rPr>
        <w:t>质量保证及售后服务</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.1</w:t>
      </w:r>
      <w:r>
        <w:rPr>
          <w:rFonts w:hint="eastAsia" w:ascii="仿宋" w:hAnsi="仿宋" w:eastAsia="仿宋" w:cs="仿宋"/>
          <w:b w:val="0"/>
          <w:bCs w:val="0"/>
          <w:color w:val="auto"/>
          <w:kern w:val="2"/>
          <w:sz w:val="21"/>
          <w:szCs w:val="21"/>
          <w:highlight w:val="none"/>
          <w:lang w:val="en-US" w:eastAsia="zh-CN"/>
        </w:rPr>
        <w:t>阀门</w:t>
      </w:r>
      <w:r>
        <w:rPr>
          <w:rFonts w:hint="eastAsia" w:ascii="仿宋" w:hAnsi="仿宋" w:eastAsia="仿宋" w:cs="仿宋"/>
          <w:b w:val="0"/>
          <w:bCs w:val="0"/>
          <w:color w:val="auto"/>
          <w:kern w:val="2"/>
          <w:sz w:val="21"/>
          <w:szCs w:val="21"/>
          <w:highlight w:val="none"/>
        </w:rPr>
        <w:t>的</w:t>
      </w:r>
      <w:r>
        <w:rPr>
          <w:rFonts w:hint="eastAsia" w:ascii="仿宋" w:hAnsi="仿宋" w:eastAsia="仿宋" w:cs="仿宋"/>
          <w:b w:val="0"/>
          <w:bCs w:val="0"/>
          <w:color w:val="auto"/>
          <w:kern w:val="2"/>
          <w:sz w:val="21"/>
          <w:szCs w:val="21"/>
          <w:highlight w:val="none"/>
          <w:lang w:eastAsia="zh-CN"/>
        </w:rPr>
        <w:t>质量</w:t>
      </w:r>
      <w:r>
        <w:rPr>
          <w:rFonts w:hint="eastAsia" w:ascii="仿宋" w:hAnsi="仿宋" w:eastAsia="仿宋" w:cs="仿宋"/>
          <w:b w:val="0"/>
          <w:bCs w:val="0"/>
          <w:color w:val="auto"/>
          <w:kern w:val="2"/>
          <w:sz w:val="21"/>
          <w:szCs w:val="21"/>
          <w:highlight w:val="none"/>
        </w:rPr>
        <w:t>保证期为投运现场使用之日起12个月。</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.2在质保期内</w:t>
      </w:r>
      <w:r>
        <w:rPr>
          <w:rFonts w:hint="eastAsia" w:ascii="仿宋" w:hAnsi="仿宋" w:eastAsia="仿宋" w:cs="仿宋"/>
          <w:b w:val="0"/>
          <w:bCs w:val="0"/>
          <w:color w:val="auto"/>
          <w:kern w:val="2"/>
          <w:sz w:val="21"/>
          <w:szCs w:val="21"/>
          <w:highlight w:val="none"/>
          <w:lang w:eastAsia="zh-CN"/>
        </w:rPr>
        <w:t>出现的任何质量问题，</w:t>
      </w:r>
      <w:r>
        <w:rPr>
          <w:rFonts w:hint="eastAsia" w:ascii="仿宋" w:hAnsi="仿宋" w:eastAsia="仿宋" w:cs="仿宋"/>
          <w:b w:val="0"/>
          <w:bCs w:val="0"/>
          <w:color w:val="auto"/>
          <w:kern w:val="2"/>
          <w:sz w:val="21"/>
          <w:szCs w:val="21"/>
          <w:highlight w:val="none"/>
        </w:rPr>
        <w:t>乙方</w:t>
      </w:r>
      <w:r>
        <w:rPr>
          <w:rFonts w:hint="eastAsia" w:ascii="仿宋" w:hAnsi="仿宋" w:eastAsia="仿宋" w:cs="仿宋"/>
          <w:b w:val="0"/>
          <w:bCs w:val="0"/>
          <w:color w:val="auto"/>
          <w:kern w:val="2"/>
          <w:sz w:val="21"/>
          <w:szCs w:val="21"/>
          <w:highlight w:val="none"/>
          <w:lang w:eastAsia="zh-CN"/>
        </w:rPr>
        <w:t>无偿负责更换新备件至使用现场，产生的一切费用均由乙方承担</w:t>
      </w:r>
      <w:r>
        <w:rPr>
          <w:rFonts w:hint="eastAsia" w:ascii="仿宋" w:hAnsi="仿宋" w:eastAsia="仿宋" w:cs="仿宋"/>
          <w:b w:val="0"/>
          <w:bCs w:val="0"/>
          <w:color w:val="auto"/>
          <w:kern w:val="2"/>
          <w:sz w:val="21"/>
          <w:szCs w:val="21"/>
          <w:highlight w:val="none"/>
        </w:rPr>
        <w:t>，保证系统正常运行。</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.3</w:t>
      </w:r>
      <w:r>
        <w:rPr>
          <w:rFonts w:hint="eastAsia" w:ascii="仿宋" w:hAnsi="仿宋" w:eastAsia="仿宋" w:cs="仿宋"/>
          <w:b w:val="0"/>
          <w:bCs w:val="0"/>
          <w:color w:val="auto"/>
          <w:kern w:val="2"/>
          <w:sz w:val="21"/>
          <w:szCs w:val="21"/>
          <w:highlight w:val="none"/>
          <w:lang w:eastAsia="zh-CN"/>
        </w:rPr>
        <w:t>对安装、调试后，质保期内，设备精度达不到协议要求，</w:t>
      </w:r>
      <w:r>
        <w:rPr>
          <w:rFonts w:hint="eastAsia" w:ascii="仿宋" w:hAnsi="仿宋" w:eastAsia="仿宋" w:cs="仿宋"/>
          <w:b w:val="0"/>
          <w:bCs w:val="0"/>
          <w:color w:val="auto"/>
          <w:kern w:val="2"/>
          <w:sz w:val="21"/>
          <w:szCs w:val="21"/>
          <w:highlight w:val="none"/>
        </w:rPr>
        <w:t>乙方在接到甲方服务要求后，应在24个小时内派出专业人员赶赴现场负责查找和解决系统故障</w:t>
      </w:r>
      <w:r>
        <w:rPr>
          <w:rFonts w:hint="eastAsia" w:ascii="仿宋" w:hAnsi="仿宋" w:eastAsia="仿宋" w:cs="仿宋"/>
          <w:b w:val="0"/>
          <w:bCs w:val="0"/>
          <w:color w:val="auto"/>
          <w:kern w:val="2"/>
          <w:sz w:val="21"/>
          <w:szCs w:val="21"/>
          <w:highlight w:val="none"/>
          <w:lang w:eastAsia="zh-CN"/>
        </w:rPr>
        <w:t>，直至满足现场使用要求，服务所需费用全部由乙方承担</w:t>
      </w:r>
      <w:r>
        <w:rPr>
          <w:rFonts w:hint="eastAsia" w:ascii="仿宋" w:hAnsi="仿宋" w:eastAsia="仿宋" w:cs="仿宋"/>
          <w:b w:val="0"/>
          <w:bCs w:val="0"/>
          <w:color w:val="auto"/>
          <w:kern w:val="2"/>
          <w:sz w:val="21"/>
          <w:szCs w:val="21"/>
          <w:highlight w:val="none"/>
        </w:rPr>
        <w:t>。</w:t>
      </w:r>
    </w:p>
    <w:p>
      <w:pPr>
        <w:tabs>
          <w:tab w:val="left" w:pos="0"/>
          <w:tab w:val="left" w:pos="720"/>
          <w:tab w:val="left" w:pos="900"/>
          <w:tab w:val="left" w:pos="1080"/>
        </w:tabs>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附件六  交货时间及地点</w:t>
      </w:r>
    </w:p>
    <w:p>
      <w:pPr>
        <w:keepNext w:val="0"/>
        <w:keepLines w:val="0"/>
        <w:pageBreakBefore w:val="0"/>
        <w:widowControl w:val="0"/>
        <w:numPr>
          <w:ilvl w:val="0"/>
          <w:numId w:val="0"/>
        </w:numPr>
        <w:tabs>
          <w:tab w:val="left" w:pos="-180"/>
          <w:tab w:val="left" w:pos="-120"/>
          <w:tab w:val="left" w:pos="540"/>
          <w:tab w:val="left" w:pos="720"/>
        </w:tabs>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6.1</w:t>
      </w:r>
      <w:r>
        <w:rPr>
          <w:rFonts w:hint="eastAsia" w:ascii="仿宋" w:hAnsi="仿宋" w:eastAsia="仿宋" w:cs="仿宋"/>
          <w:color w:val="auto"/>
          <w:sz w:val="21"/>
          <w:szCs w:val="21"/>
          <w:highlight w:val="none"/>
        </w:rPr>
        <w:t>交货时间：</w:t>
      </w:r>
    </w:p>
    <w:p>
      <w:pPr>
        <w:keepNext w:val="0"/>
        <w:keepLines w:val="0"/>
        <w:pageBreakBefore w:val="0"/>
        <w:widowControl w:val="0"/>
        <w:tabs>
          <w:tab w:val="left" w:pos="-180"/>
          <w:tab w:val="left" w:pos="-120"/>
          <w:tab w:val="left" w:pos="540"/>
          <w:tab w:val="left" w:pos="720"/>
        </w:tabs>
        <w:kinsoku/>
        <w:wordWrap/>
        <w:overflowPunct/>
        <w:topLinePunct w:val="0"/>
        <w:autoSpaceDE/>
        <w:autoSpaceDN/>
        <w:bidi w:val="0"/>
        <w:adjustRightInd/>
        <w:snapToGrid/>
        <w:spacing w:line="360" w:lineRule="auto"/>
        <w:ind w:left="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交货时间</w:t>
      </w:r>
      <w:r>
        <w:rPr>
          <w:rFonts w:hint="eastAsia" w:ascii="仿宋" w:hAnsi="仿宋" w:eastAsia="仿宋" w:cs="仿宋"/>
          <w:color w:val="auto"/>
          <w:sz w:val="21"/>
          <w:szCs w:val="21"/>
          <w:highlight w:val="none"/>
        </w:rPr>
        <w:t>：以签订的商务合同约定时间为准</w:t>
      </w:r>
    </w:p>
    <w:p>
      <w:pPr>
        <w:keepNext w:val="0"/>
        <w:keepLines w:val="0"/>
        <w:pageBreakBefore w:val="0"/>
        <w:widowControl w:val="0"/>
        <w:numPr>
          <w:ilvl w:val="0"/>
          <w:numId w:val="0"/>
        </w:numPr>
        <w:tabs>
          <w:tab w:val="left" w:pos="-180"/>
          <w:tab w:val="left" w:pos="-120"/>
          <w:tab w:val="left" w:pos="540"/>
          <w:tab w:val="left" w:pos="720"/>
        </w:tabs>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6.2</w:t>
      </w:r>
      <w:r>
        <w:rPr>
          <w:rFonts w:hint="eastAsia" w:ascii="仿宋" w:hAnsi="仿宋" w:eastAsia="仿宋" w:cs="仿宋"/>
          <w:color w:val="auto"/>
          <w:sz w:val="21"/>
          <w:szCs w:val="21"/>
          <w:highlight w:val="none"/>
        </w:rPr>
        <w:t>交货地点：甘肃省嘉峪关市酒钢储运部</w:t>
      </w:r>
      <w:r>
        <w:rPr>
          <w:rFonts w:hint="eastAsia" w:ascii="仿宋" w:hAnsi="仿宋" w:eastAsia="仿宋" w:cs="仿宋"/>
          <w:color w:val="auto"/>
          <w:sz w:val="21"/>
          <w:szCs w:val="21"/>
          <w:highlight w:val="none"/>
          <w:lang w:eastAsia="zh-CN"/>
        </w:rPr>
        <w:t>物资总库</w:t>
      </w:r>
    </w:p>
    <w:p>
      <w:pPr>
        <w:tabs>
          <w:tab w:val="left" w:pos="0"/>
          <w:tab w:val="left" w:pos="720"/>
          <w:tab w:val="left" w:pos="900"/>
          <w:tab w:val="left" w:pos="1080"/>
        </w:tabs>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附件七   其它</w:t>
      </w:r>
    </w:p>
    <w:p>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rPr>
      </w:pPr>
      <w:r>
        <w:rPr>
          <w:rFonts w:hint="eastAsia" w:ascii="仿宋" w:hAnsi="仿宋" w:eastAsia="仿宋" w:cs="仿宋"/>
          <w:color w:val="auto"/>
          <w:sz w:val="21"/>
          <w:highlight w:val="none"/>
          <w:lang w:val="en-US" w:eastAsia="zh-CN"/>
        </w:rPr>
        <w:t xml:space="preserve">7.1本协议内容经由甲乙双方于    年   月   日   时-  时通过   方式商定。 </w:t>
      </w:r>
    </w:p>
    <w:p>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rPr>
      </w:pPr>
      <w:r>
        <w:rPr>
          <w:rFonts w:hint="eastAsia" w:ascii="仿宋" w:hAnsi="仿宋" w:eastAsia="仿宋" w:cs="仿宋"/>
          <w:color w:val="auto"/>
          <w:sz w:val="21"/>
          <w:highlight w:val="none"/>
          <w:lang w:val="en-US" w:eastAsia="zh-CN"/>
        </w:rPr>
        <w:t>7.2甲乙双方应当就签订本协议的相关事宜保密，不得将签订主体、时间、内容等信息透露给其他第三人。</w:t>
      </w:r>
    </w:p>
    <w:p>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lang w:val="en-US" w:eastAsia="zh-CN"/>
        </w:rPr>
      </w:pPr>
      <w:r>
        <w:rPr>
          <w:rFonts w:hint="eastAsia" w:ascii="仿宋" w:hAnsi="仿宋" w:eastAsia="仿宋" w:cs="仿宋"/>
          <w:color w:val="auto"/>
          <w:sz w:val="21"/>
          <w:highlight w:val="none"/>
          <w:lang w:val="en-US" w:eastAsia="zh-CN"/>
        </w:rPr>
        <w:t>7.3若乙方公司不能中标，则本技术协议自动失效，双方不承担任何责任。</w:t>
      </w:r>
    </w:p>
    <w:p>
      <w:pPr>
        <w:ind w:firstLine="420" w:firstLineChars="200"/>
        <w:rPr>
          <w:rFonts w:hint="eastAsia" w:ascii="仿宋" w:hAnsi="仿宋" w:eastAsia="仿宋" w:cs="仿宋"/>
          <w:color w:val="auto"/>
          <w:sz w:val="21"/>
          <w:highlight w:val="none"/>
          <w:u w:val="single"/>
        </w:rPr>
      </w:pPr>
      <w:r>
        <w:rPr>
          <w:rFonts w:hint="eastAsia" w:ascii="仿宋" w:hAnsi="仿宋" w:eastAsia="仿宋" w:cs="仿宋"/>
          <w:color w:val="auto"/>
          <w:sz w:val="21"/>
          <w:highlight w:val="none"/>
          <w:lang w:val="en-US" w:eastAsia="zh-CN"/>
        </w:rPr>
        <w:t>7.4</w:t>
      </w:r>
      <w:r>
        <w:rPr>
          <w:rFonts w:hint="eastAsia" w:ascii="仿宋" w:hAnsi="仿宋" w:eastAsia="仿宋" w:cs="仿宋"/>
          <w:color w:val="auto"/>
          <w:sz w:val="21"/>
          <w:highlight w:val="none"/>
        </w:rPr>
        <w:t>本协议一式四份，甲方三份，乙方一份。</w:t>
      </w:r>
    </w:p>
    <w:p>
      <w:pPr>
        <w:numPr>
          <w:ilvl w:val="0"/>
          <w:numId w:val="0"/>
        </w:numPr>
        <w:tabs>
          <w:tab w:val="left" w:pos="540"/>
          <w:tab w:val="left" w:pos="840"/>
          <w:tab w:val="left" w:pos="1080"/>
        </w:tabs>
        <w:adjustRightInd/>
        <w:spacing w:line="360" w:lineRule="auto"/>
        <w:ind w:leftChars="171"/>
        <w:jc w:val="both"/>
        <w:textAlignment w:val="auto"/>
        <w:rPr>
          <w:rFonts w:hint="eastAsia" w:ascii="仿宋" w:hAnsi="仿宋" w:eastAsia="仿宋" w:cs="仿宋"/>
          <w:color w:val="auto"/>
          <w:sz w:val="21"/>
          <w:szCs w:val="21"/>
          <w:highlight w:val="none"/>
        </w:rPr>
      </w:pPr>
    </w:p>
    <w:p>
      <w:pPr>
        <w:pStyle w:val="7"/>
        <w:tabs>
          <w:tab w:val="left" w:pos="5094"/>
        </w:tabs>
        <w:spacing w:line="480" w:lineRule="auto"/>
        <w:ind w:right="1735"/>
        <w:rPr>
          <w:rFonts w:hint="eastAsia" w:ascii="仿宋" w:hAnsi="仿宋" w:eastAsia="仿宋" w:cs="仿宋"/>
          <w:b/>
          <w:bCs/>
          <w:color w:val="auto"/>
          <w:sz w:val="24"/>
          <w:szCs w:val="4"/>
          <w:highlight w:val="none"/>
        </w:rPr>
      </w:pPr>
      <w:r>
        <w:rPr>
          <w:rFonts w:hint="eastAsia" w:ascii="仿宋" w:hAnsi="仿宋" w:eastAsia="仿宋" w:cs="仿宋"/>
          <w:b/>
          <w:bCs/>
          <w:color w:val="auto"/>
          <w:sz w:val="24"/>
          <w:szCs w:val="4"/>
          <w:highlight w:val="none"/>
        </w:rPr>
        <w:t>甲方：甘肃酒钢集团宏兴钢铁股份有限公司炼铁厂</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乙方：</w:t>
      </w:r>
    </w:p>
    <w:p>
      <w:pPr>
        <w:pStyle w:val="7"/>
        <w:tabs>
          <w:tab w:val="left" w:pos="5094"/>
        </w:tabs>
        <w:spacing w:line="480" w:lineRule="auto"/>
        <w:rPr>
          <w:rFonts w:hint="eastAsia" w:ascii="仿宋" w:hAnsi="仿宋" w:eastAsia="仿宋" w:cs="仿宋"/>
          <w:b/>
          <w:bCs/>
          <w:color w:val="auto"/>
          <w:sz w:val="2"/>
          <w:szCs w:val="4"/>
          <w:highlight w:val="none"/>
        </w:rPr>
      </w:pPr>
      <w:r>
        <w:rPr>
          <w:rFonts w:hint="eastAsia" w:ascii="仿宋" w:hAnsi="仿宋" w:eastAsia="仿宋" w:cs="仿宋"/>
          <w:b/>
          <w:bCs/>
          <w:color w:val="auto"/>
          <w:sz w:val="24"/>
          <w:szCs w:val="4"/>
          <w:highlight w:val="none"/>
        </w:rPr>
        <w:t>代表：</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lang w:val="en-US" w:eastAsia="zh-CN"/>
        </w:rPr>
        <w:t xml:space="preserve">   </w:t>
      </w:r>
      <w:r>
        <w:rPr>
          <w:rFonts w:hint="eastAsia" w:ascii="仿宋" w:hAnsi="仿宋" w:eastAsia="仿宋" w:cs="仿宋"/>
          <w:b/>
          <w:bCs/>
          <w:color w:val="auto"/>
          <w:w w:val="95"/>
          <w:sz w:val="24"/>
          <w:szCs w:val="4"/>
          <w:highlight w:val="none"/>
        </w:rPr>
        <w:t>代表：</w:t>
      </w:r>
    </w:p>
    <w:p>
      <w:pPr>
        <w:pStyle w:val="7"/>
        <w:tabs>
          <w:tab w:val="left" w:pos="1419"/>
          <w:tab w:val="left" w:pos="1945"/>
          <w:tab w:val="left" w:pos="2468"/>
          <w:tab w:val="left" w:pos="5094"/>
          <w:tab w:val="left" w:pos="6354"/>
          <w:tab w:val="left" w:pos="6879"/>
          <w:tab w:val="left" w:pos="7405"/>
        </w:tabs>
        <w:spacing w:line="480" w:lineRule="auto"/>
        <w:rPr>
          <w:rFonts w:hint="eastAsia" w:ascii="仿宋" w:hAnsi="仿宋" w:eastAsia="仿宋" w:cs="仿宋"/>
          <w:b/>
          <w:bCs/>
          <w:color w:val="auto"/>
          <w:sz w:val="24"/>
          <w:szCs w:val="4"/>
          <w:highlight w:val="none"/>
        </w:rPr>
      </w:pPr>
      <w:r>
        <w:rPr>
          <w:rFonts w:hint="eastAsia" w:ascii="仿宋" w:hAnsi="仿宋" w:eastAsia="仿宋" w:cs="仿宋"/>
          <w:b/>
          <w:bCs/>
          <w:color w:val="auto"/>
          <w:sz w:val="24"/>
          <w:szCs w:val="4"/>
          <w:highlight w:val="none"/>
        </w:rPr>
        <w:t>日期：</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年</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月</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日</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lang w:val="en-US" w:eastAsia="zh-CN"/>
        </w:rPr>
        <w:t xml:space="preserve">   </w:t>
      </w:r>
      <w:r>
        <w:rPr>
          <w:rFonts w:hint="eastAsia" w:ascii="仿宋" w:hAnsi="仿宋" w:eastAsia="仿宋" w:cs="仿宋"/>
          <w:b/>
          <w:bCs/>
          <w:color w:val="auto"/>
          <w:sz w:val="24"/>
          <w:szCs w:val="4"/>
          <w:highlight w:val="none"/>
        </w:rPr>
        <w:t>日期：</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年</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月</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日</w:t>
      </w:r>
    </w:p>
    <w:p>
      <w:pPr>
        <w:rPr>
          <w:rFonts w:hint="eastAsia" w:ascii="仿宋" w:hAnsi="仿宋" w:eastAsia="仿宋" w:cs="仿宋"/>
          <w:color w:val="auto"/>
          <w:sz w:val="21"/>
          <w:szCs w:val="21"/>
          <w:highlight w:val="none"/>
        </w:rPr>
      </w:pPr>
    </w:p>
    <w:sectPr>
      <w:footerReference r:id="rId5" w:type="default"/>
      <w:pgSz w:w="11907" w:h="16840"/>
      <w:pgMar w:top="1440" w:right="1470" w:bottom="1440" w:left="1077" w:header="851" w:footer="992" w:gutter="0"/>
      <w:cols w:space="720"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魏碑简体">
    <w:panose1 w:val="02000000000000000000"/>
    <w:charset w:val="86"/>
    <w:family w:val="auto"/>
    <w:pitch w:val="default"/>
    <w:sig w:usb0="A00002BF" w:usb1="184F6CFA" w:usb2="00000012" w:usb3="00000000" w:csb0="00040001"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2</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6</w:t>
    </w:r>
    <w:r>
      <w:rPr>
        <w:szCs w:val="21"/>
      </w:rPr>
      <w:fldChar w:fldCharType="end"/>
    </w:r>
    <w:r>
      <w:rPr>
        <w:rFonts w:hint="eastAsia"/>
        <w:szCs w:val="21"/>
      </w:rPr>
      <w:t xml:space="preserve"> 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HorizontalSpacing w:val="120"/>
  <w:drawingGridVerticalSpacing w:val="163"/>
  <w:displayHorizontalDrawingGridEvery w:val="1"/>
  <w:displayVerticalDrawingGridEvery w:val="1"/>
  <w:noPunctuationKerning w:val="1"/>
  <w:characterSpacingControl w:val="compressPunctuation"/>
  <w:noLineBreaksAfter w:lang="zh-CN" w:val="([{·‘“〈《「『【〔〖（．［｛￡￥"/>
  <w:noLineBreaksBefore w:lang="zh-CN" w:val="!),.:;?]}¨·ˇˉ―‖’”…∶、。〃々〉》」』】〕〗！＂＇），．：；？］｀｜｝～￠"/>
  <w:footnotePr>
    <w:footnote w:id="0"/>
    <w:footnote w:id="1"/>
  </w:footnotePr>
  <w:endnotePr>
    <w:endnote w:id="0"/>
    <w:endnote w:id="1"/>
  </w:endnotePr>
  <w:compat>
    <w:spaceForUL/>
    <w:balanceSingleByteDoubleByteWidth/>
    <w:doNotLeaveBackslashAlone/>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1YTQ3NWU4ZjkzODA0ZDgyNTA4Yjk3YzJmMWRmMWUifQ=="/>
    <w:docVar w:name="KSO_WPS_MARK_KEY" w:val="ce00ab5f-1421-445c-8d4c-69502139f280"/>
  </w:docVars>
  <w:rsids>
    <w:rsidRoot w:val="00172A27"/>
    <w:rsid w:val="00015FF6"/>
    <w:rsid w:val="00017AC3"/>
    <w:rsid w:val="00017C0A"/>
    <w:rsid w:val="00023674"/>
    <w:rsid w:val="00023B5E"/>
    <w:rsid w:val="00030031"/>
    <w:rsid w:val="0003066D"/>
    <w:rsid w:val="00030854"/>
    <w:rsid w:val="00032435"/>
    <w:rsid w:val="0003647A"/>
    <w:rsid w:val="00041229"/>
    <w:rsid w:val="0004284C"/>
    <w:rsid w:val="000433EB"/>
    <w:rsid w:val="00043673"/>
    <w:rsid w:val="000476EE"/>
    <w:rsid w:val="00047906"/>
    <w:rsid w:val="00047EC4"/>
    <w:rsid w:val="00051F1D"/>
    <w:rsid w:val="00053097"/>
    <w:rsid w:val="0005339B"/>
    <w:rsid w:val="000647CA"/>
    <w:rsid w:val="00064BD5"/>
    <w:rsid w:val="00065075"/>
    <w:rsid w:val="00072E65"/>
    <w:rsid w:val="00073506"/>
    <w:rsid w:val="00074ACA"/>
    <w:rsid w:val="000751DB"/>
    <w:rsid w:val="0008119C"/>
    <w:rsid w:val="00086835"/>
    <w:rsid w:val="000869DE"/>
    <w:rsid w:val="00087D9C"/>
    <w:rsid w:val="000900A2"/>
    <w:rsid w:val="00090E3C"/>
    <w:rsid w:val="000968B3"/>
    <w:rsid w:val="000A45D1"/>
    <w:rsid w:val="000B03A3"/>
    <w:rsid w:val="000B088D"/>
    <w:rsid w:val="000B54BD"/>
    <w:rsid w:val="000B5DA6"/>
    <w:rsid w:val="000C5098"/>
    <w:rsid w:val="000D3B2C"/>
    <w:rsid w:val="000D5487"/>
    <w:rsid w:val="000D7474"/>
    <w:rsid w:val="000D7C09"/>
    <w:rsid w:val="000E3496"/>
    <w:rsid w:val="000E4413"/>
    <w:rsid w:val="000F1DE0"/>
    <w:rsid w:val="000F4F74"/>
    <w:rsid w:val="00100D74"/>
    <w:rsid w:val="00111FF6"/>
    <w:rsid w:val="0011221B"/>
    <w:rsid w:val="00113B69"/>
    <w:rsid w:val="0011425B"/>
    <w:rsid w:val="00121D12"/>
    <w:rsid w:val="00122596"/>
    <w:rsid w:val="00123A02"/>
    <w:rsid w:val="00123A78"/>
    <w:rsid w:val="001255DF"/>
    <w:rsid w:val="00126350"/>
    <w:rsid w:val="0012639C"/>
    <w:rsid w:val="00131998"/>
    <w:rsid w:val="00136046"/>
    <w:rsid w:val="0014403F"/>
    <w:rsid w:val="001469F2"/>
    <w:rsid w:val="00151953"/>
    <w:rsid w:val="00153C18"/>
    <w:rsid w:val="0015418B"/>
    <w:rsid w:val="00172DBF"/>
    <w:rsid w:val="00174968"/>
    <w:rsid w:val="001760E3"/>
    <w:rsid w:val="0018114C"/>
    <w:rsid w:val="0018235E"/>
    <w:rsid w:val="001827D5"/>
    <w:rsid w:val="001931FF"/>
    <w:rsid w:val="00195E3D"/>
    <w:rsid w:val="001A601F"/>
    <w:rsid w:val="001B0FBF"/>
    <w:rsid w:val="001B1352"/>
    <w:rsid w:val="001B29C2"/>
    <w:rsid w:val="001C54AD"/>
    <w:rsid w:val="001C645A"/>
    <w:rsid w:val="001D127D"/>
    <w:rsid w:val="001D12EB"/>
    <w:rsid w:val="001D4F66"/>
    <w:rsid w:val="001D7F5E"/>
    <w:rsid w:val="001E3B73"/>
    <w:rsid w:val="001E53E0"/>
    <w:rsid w:val="001E5B6F"/>
    <w:rsid w:val="001F2F13"/>
    <w:rsid w:val="001F4D31"/>
    <w:rsid w:val="001F78C3"/>
    <w:rsid w:val="00200838"/>
    <w:rsid w:val="0020195B"/>
    <w:rsid w:val="002058B8"/>
    <w:rsid w:val="002071EA"/>
    <w:rsid w:val="00210956"/>
    <w:rsid w:val="0021156A"/>
    <w:rsid w:val="002164F3"/>
    <w:rsid w:val="00222D34"/>
    <w:rsid w:val="00223ED3"/>
    <w:rsid w:val="002253B9"/>
    <w:rsid w:val="00227EED"/>
    <w:rsid w:val="0023399D"/>
    <w:rsid w:val="002347D0"/>
    <w:rsid w:val="0023728C"/>
    <w:rsid w:val="0024237D"/>
    <w:rsid w:val="00246F72"/>
    <w:rsid w:val="00252BC8"/>
    <w:rsid w:val="00254AE5"/>
    <w:rsid w:val="00256350"/>
    <w:rsid w:val="00263F8F"/>
    <w:rsid w:val="00266186"/>
    <w:rsid w:val="00272FE0"/>
    <w:rsid w:val="0027604A"/>
    <w:rsid w:val="00285D2A"/>
    <w:rsid w:val="00285D69"/>
    <w:rsid w:val="00286AB1"/>
    <w:rsid w:val="00290616"/>
    <w:rsid w:val="00290D73"/>
    <w:rsid w:val="0029146A"/>
    <w:rsid w:val="002A47BD"/>
    <w:rsid w:val="002A6BFF"/>
    <w:rsid w:val="002A78BB"/>
    <w:rsid w:val="002B1287"/>
    <w:rsid w:val="002B1B61"/>
    <w:rsid w:val="002B232D"/>
    <w:rsid w:val="002B4602"/>
    <w:rsid w:val="002B6111"/>
    <w:rsid w:val="002C0E54"/>
    <w:rsid w:val="002C4CCD"/>
    <w:rsid w:val="002D262E"/>
    <w:rsid w:val="002D74DE"/>
    <w:rsid w:val="002D7AEC"/>
    <w:rsid w:val="002E3A53"/>
    <w:rsid w:val="002F4357"/>
    <w:rsid w:val="002F59D4"/>
    <w:rsid w:val="002F61D2"/>
    <w:rsid w:val="002F659D"/>
    <w:rsid w:val="002F7B18"/>
    <w:rsid w:val="00301DD7"/>
    <w:rsid w:val="00305A99"/>
    <w:rsid w:val="0031145F"/>
    <w:rsid w:val="00312380"/>
    <w:rsid w:val="00314521"/>
    <w:rsid w:val="0032488C"/>
    <w:rsid w:val="00325AE5"/>
    <w:rsid w:val="00333CA9"/>
    <w:rsid w:val="003371B1"/>
    <w:rsid w:val="00337DAB"/>
    <w:rsid w:val="003403E8"/>
    <w:rsid w:val="003420AF"/>
    <w:rsid w:val="0034222C"/>
    <w:rsid w:val="00343EFC"/>
    <w:rsid w:val="00344CB8"/>
    <w:rsid w:val="00352E8B"/>
    <w:rsid w:val="003608C5"/>
    <w:rsid w:val="00366F1B"/>
    <w:rsid w:val="00371578"/>
    <w:rsid w:val="003725DC"/>
    <w:rsid w:val="0037739F"/>
    <w:rsid w:val="003800F6"/>
    <w:rsid w:val="00382C2A"/>
    <w:rsid w:val="00383332"/>
    <w:rsid w:val="0038610C"/>
    <w:rsid w:val="0038623D"/>
    <w:rsid w:val="00392B9D"/>
    <w:rsid w:val="003A52ED"/>
    <w:rsid w:val="003B0E8A"/>
    <w:rsid w:val="003B3C16"/>
    <w:rsid w:val="003B6FDE"/>
    <w:rsid w:val="003C022C"/>
    <w:rsid w:val="003C19B8"/>
    <w:rsid w:val="003C1C99"/>
    <w:rsid w:val="003C26B2"/>
    <w:rsid w:val="003C28E9"/>
    <w:rsid w:val="003D5137"/>
    <w:rsid w:val="003D6E84"/>
    <w:rsid w:val="003E339C"/>
    <w:rsid w:val="003E79FF"/>
    <w:rsid w:val="003F0862"/>
    <w:rsid w:val="003F2531"/>
    <w:rsid w:val="004019D5"/>
    <w:rsid w:val="00401DE2"/>
    <w:rsid w:val="004030B3"/>
    <w:rsid w:val="00403112"/>
    <w:rsid w:val="0041228B"/>
    <w:rsid w:val="00414343"/>
    <w:rsid w:val="004166DA"/>
    <w:rsid w:val="004222AD"/>
    <w:rsid w:val="00423BA6"/>
    <w:rsid w:val="00434348"/>
    <w:rsid w:val="00435005"/>
    <w:rsid w:val="00436AE0"/>
    <w:rsid w:val="004373B6"/>
    <w:rsid w:val="00437A34"/>
    <w:rsid w:val="00442516"/>
    <w:rsid w:val="00442A8C"/>
    <w:rsid w:val="004448DD"/>
    <w:rsid w:val="00451D57"/>
    <w:rsid w:val="0045548A"/>
    <w:rsid w:val="00455898"/>
    <w:rsid w:val="00470FF8"/>
    <w:rsid w:val="00471AA4"/>
    <w:rsid w:val="004868E5"/>
    <w:rsid w:val="00487339"/>
    <w:rsid w:val="00491567"/>
    <w:rsid w:val="004928E7"/>
    <w:rsid w:val="00495DE9"/>
    <w:rsid w:val="00496916"/>
    <w:rsid w:val="004A4D88"/>
    <w:rsid w:val="004B40B5"/>
    <w:rsid w:val="004B56EB"/>
    <w:rsid w:val="004B5790"/>
    <w:rsid w:val="004B7DC8"/>
    <w:rsid w:val="004C159E"/>
    <w:rsid w:val="004C3ABF"/>
    <w:rsid w:val="004C4AB4"/>
    <w:rsid w:val="004E11A3"/>
    <w:rsid w:val="004F0212"/>
    <w:rsid w:val="004F3378"/>
    <w:rsid w:val="005076E1"/>
    <w:rsid w:val="00510173"/>
    <w:rsid w:val="0052000B"/>
    <w:rsid w:val="005218B9"/>
    <w:rsid w:val="005242C9"/>
    <w:rsid w:val="00525E29"/>
    <w:rsid w:val="00540365"/>
    <w:rsid w:val="00541493"/>
    <w:rsid w:val="00542C10"/>
    <w:rsid w:val="00556C2B"/>
    <w:rsid w:val="00560D33"/>
    <w:rsid w:val="0056674C"/>
    <w:rsid w:val="00585038"/>
    <w:rsid w:val="00586812"/>
    <w:rsid w:val="00592F3B"/>
    <w:rsid w:val="00594867"/>
    <w:rsid w:val="00595406"/>
    <w:rsid w:val="0059663A"/>
    <w:rsid w:val="005968DD"/>
    <w:rsid w:val="00596979"/>
    <w:rsid w:val="005973A9"/>
    <w:rsid w:val="005A66F2"/>
    <w:rsid w:val="005A6ED6"/>
    <w:rsid w:val="005B05AD"/>
    <w:rsid w:val="005B2FE4"/>
    <w:rsid w:val="005B48FD"/>
    <w:rsid w:val="005B5E73"/>
    <w:rsid w:val="005C0D4E"/>
    <w:rsid w:val="005C2C7D"/>
    <w:rsid w:val="005C3ECC"/>
    <w:rsid w:val="005C4043"/>
    <w:rsid w:val="005C4F6D"/>
    <w:rsid w:val="005D2FA6"/>
    <w:rsid w:val="005E1322"/>
    <w:rsid w:val="005E4ECE"/>
    <w:rsid w:val="005E4F3F"/>
    <w:rsid w:val="005E4FDD"/>
    <w:rsid w:val="005F1F17"/>
    <w:rsid w:val="005F5D1E"/>
    <w:rsid w:val="00600C6D"/>
    <w:rsid w:val="006053D3"/>
    <w:rsid w:val="006053FE"/>
    <w:rsid w:val="00605447"/>
    <w:rsid w:val="00606EAA"/>
    <w:rsid w:val="0061252B"/>
    <w:rsid w:val="00612666"/>
    <w:rsid w:val="00614830"/>
    <w:rsid w:val="00620C94"/>
    <w:rsid w:val="00620F5D"/>
    <w:rsid w:val="00621C60"/>
    <w:rsid w:val="00622CE4"/>
    <w:rsid w:val="00637C67"/>
    <w:rsid w:val="00640322"/>
    <w:rsid w:val="00642284"/>
    <w:rsid w:val="00655D4B"/>
    <w:rsid w:val="00660AEC"/>
    <w:rsid w:val="00667ED9"/>
    <w:rsid w:val="00670FBA"/>
    <w:rsid w:val="00671F20"/>
    <w:rsid w:val="00672953"/>
    <w:rsid w:val="00677DF7"/>
    <w:rsid w:val="00680D9B"/>
    <w:rsid w:val="006829B2"/>
    <w:rsid w:val="00685E51"/>
    <w:rsid w:val="00686023"/>
    <w:rsid w:val="00693670"/>
    <w:rsid w:val="00693E08"/>
    <w:rsid w:val="006962E1"/>
    <w:rsid w:val="00696E24"/>
    <w:rsid w:val="006A0BF5"/>
    <w:rsid w:val="006B19A3"/>
    <w:rsid w:val="006B6BF5"/>
    <w:rsid w:val="006C39FA"/>
    <w:rsid w:val="006D3108"/>
    <w:rsid w:val="006D4C33"/>
    <w:rsid w:val="006D502E"/>
    <w:rsid w:val="006F0809"/>
    <w:rsid w:val="006F6784"/>
    <w:rsid w:val="006F7C2A"/>
    <w:rsid w:val="0070345A"/>
    <w:rsid w:val="00704739"/>
    <w:rsid w:val="007119E4"/>
    <w:rsid w:val="007238B6"/>
    <w:rsid w:val="00732C7A"/>
    <w:rsid w:val="00734FEB"/>
    <w:rsid w:val="00735BB1"/>
    <w:rsid w:val="00735FF6"/>
    <w:rsid w:val="00737473"/>
    <w:rsid w:val="00740FCE"/>
    <w:rsid w:val="00741183"/>
    <w:rsid w:val="0074577F"/>
    <w:rsid w:val="00745C60"/>
    <w:rsid w:val="00750729"/>
    <w:rsid w:val="00752945"/>
    <w:rsid w:val="00767ACF"/>
    <w:rsid w:val="0077204C"/>
    <w:rsid w:val="00772FB0"/>
    <w:rsid w:val="007801B6"/>
    <w:rsid w:val="0078054E"/>
    <w:rsid w:val="00786B14"/>
    <w:rsid w:val="00794044"/>
    <w:rsid w:val="007A3106"/>
    <w:rsid w:val="007A3934"/>
    <w:rsid w:val="007A3B31"/>
    <w:rsid w:val="007A6C57"/>
    <w:rsid w:val="007A7101"/>
    <w:rsid w:val="007B0625"/>
    <w:rsid w:val="007B6741"/>
    <w:rsid w:val="007D3E52"/>
    <w:rsid w:val="007D709F"/>
    <w:rsid w:val="007E40A4"/>
    <w:rsid w:val="007E6240"/>
    <w:rsid w:val="007F1F30"/>
    <w:rsid w:val="00800167"/>
    <w:rsid w:val="00804471"/>
    <w:rsid w:val="00814963"/>
    <w:rsid w:val="00814C80"/>
    <w:rsid w:val="0082285E"/>
    <w:rsid w:val="0082350F"/>
    <w:rsid w:val="008262D5"/>
    <w:rsid w:val="00827ACE"/>
    <w:rsid w:val="0083089E"/>
    <w:rsid w:val="00842F0A"/>
    <w:rsid w:val="00851E38"/>
    <w:rsid w:val="00853E88"/>
    <w:rsid w:val="008569C3"/>
    <w:rsid w:val="00857405"/>
    <w:rsid w:val="00865FA4"/>
    <w:rsid w:val="008704CA"/>
    <w:rsid w:val="00875999"/>
    <w:rsid w:val="00876765"/>
    <w:rsid w:val="008768C9"/>
    <w:rsid w:val="00882B52"/>
    <w:rsid w:val="008927B5"/>
    <w:rsid w:val="00896A1E"/>
    <w:rsid w:val="008B0031"/>
    <w:rsid w:val="008B78F3"/>
    <w:rsid w:val="008C522D"/>
    <w:rsid w:val="008C7455"/>
    <w:rsid w:val="008D4405"/>
    <w:rsid w:val="008D62FE"/>
    <w:rsid w:val="008D676B"/>
    <w:rsid w:val="008D6EE1"/>
    <w:rsid w:val="008E6497"/>
    <w:rsid w:val="008E67ED"/>
    <w:rsid w:val="008F037D"/>
    <w:rsid w:val="008F27B6"/>
    <w:rsid w:val="008F6195"/>
    <w:rsid w:val="00900842"/>
    <w:rsid w:val="0090626D"/>
    <w:rsid w:val="00910282"/>
    <w:rsid w:val="00920804"/>
    <w:rsid w:val="009241F6"/>
    <w:rsid w:val="0093306A"/>
    <w:rsid w:val="009340FB"/>
    <w:rsid w:val="00942E9E"/>
    <w:rsid w:val="0094301F"/>
    <w:rsid w:val="00944330"/>
    <w:rsid w:val="00946F60"/>
    <w:rsid w:val="00954D36"/>
    <w:rsid w:val="00961C36"/>
    <w:rsid w:val="00964E7F"/>
    <w:rsid w:val="00965538"/>
    <w:rsid w:val="00965C4C"/>
    <w:rsid w:val="00965FE8"/>
    <w:rsid w:val="00966604"/>
    <w:rsid w:val="00967335"/>
    <w:rsid w:val="00967E05"/>
    <w:rsid w:val="00971D4D"/>
    <w:rsid w:val="00973D19"/>
    <w:rsid w:val="00983D7C"/>
    <w:rsid w:val="00983FE3"/>
    <w:rsid w:val="00991DDB"/>
    <w:rsid w:val="009922CD"/>
    <w:rsid w:val="0099403E"/>
    <w:rsid w:val="009960A2"/>
    <w:rsid w:val="00996351"/>
    <w:rsid w:val="009A2190"/>
    <w:rsid w:val="009A7278"/>
    <w:rsid w:val="009B09EA"/>
    <w:rsid w:val="009B41A3"/>
    <w:rsid w:val="009B4B80"/>
    <w:rsid w:val="009B50DC"/>
    <w:rsid w:val="009B5D98"/>
    <w:rsid w:val="009B7325"/>
    <w:rsid w:val="009C1A4B"/>
    <w:rsid w:val="009C2360"/>
    <w:rsid w:val="009D0F14"/>
    <w:rsid w:val="009D1501"/>
    <w:rsid w:val="009D5071"/>
    <w:rsid w:val="009D62C3"/>
    <w:rsid w:val="009E4215"/>
    <w:rsid w:val="009E4DEC"/>
    <w:rsid w:val="009F387C"/>
    <w:rsid w:val="009F47C3"/>
    <w:rsid w:val="00A040E1"/>
    <w:rsid w:val="00A10B4B"/>
    <w:rsid w:val="00A11A70"/>
    <w:rsid w:val="00A15A5D"/>
    <w:rsid w:val="00A1625F"/>
    <w:rsid w:val="00A163BB"/>
    <w:rsid w:val="00A17FD7"/>
    <w:rsid w:val="00A26640"/>
    <w:rsid w:val="00A402C3"/>
    <w:rsid w:val="00A42064"/>
    <w:rsid w:val="00A42C3F"/>
    <w:rsid w:val="00A434DA"/>
    <w:rsid w:val="00A45F09"/>
    <w:rsid w:val="00A46368"/>
    <w:rsid w:val="00A46C2C"/>
    <w:rsid w:val="00A47F73"/>
    <w:rsid w:val="00A50B09"/>
    <w:rsid w:val="00A5655C"/>
    <w:rsid w:val="00A625C4"/>
    <w:rsid w:val="00A6449E"/>
    <w:rsid w:val="00A676EB"/>
    <w:rsid w:val="00A72C27"/>
    <w:rsid w:val="00A73DC8"/>
    <w:rsid w:val="00A86C60"/>
    <w:rsid w:val="00A93DED"/>
    <w:rsid w:val="00AA7C54"/>
    <w:rsid w:val="00AB5AA9"/>
    <w:rsid w:val="00AB7E6F"/>
    <w:rsid w:val="00AB7F89"/>
    <w:rsid w:val="00AC3232"/>
    <w:rsid w:val="00AC6544"/>
    <w:rsid w:val="00AC7700"/>
    <w:rsid w:val="00AC7777"/>
    <w:rsid w:val="00AD0861"/>
    <w:rsid w:val="00AD1EB5"/>
    <w:rsid w:val="00AD38CF"/>
    <w:rsid w:val="00AD4E20"/>
    <w:rsid w:val="00AD52C4"/>
    <w:rsid w:val="00AD76F0"/>
    <w:rsid w:val="00AE2EF2"/>
    <w:rsid w:val="00AE647F"/>
    <w:rsid w:val="00AF20F2"/>
    <w:rsid w:val="00AF5383"/>
    <w:rsid w:val="00B02E6A"/>
    <w:rsid w:val="00B03B9B"/>
    <w:rsid w:val="00B03D9C"/>
    <w:rsid w:val="00B065BB"/>
    <w:rsid w:val="00B074EC"/>
    <w:rsid w:val="00B07B87"/>
    <w:rsid w:val="00B16084"/>
    <w:rsid w:val="00B169CA"/>
    <w:rsid w:val="00B235A4"/>
    <w:rsid w:val="00B26E51"/>
    <w:rsid w:val="00B37F2C"/>
    <w:rsid w:val="00B41E20"/>
    <w:rsid w:val="00B433EB"/>
    <w:rsid w:val="00B44B29"/>
    <w:rsid w:val="00B55F2F"/>
    <w:rsid w:val="00B81CE6"/>
    <w:rsid w:val="00B86296"/>
    <w:rsid w:val="00B96782"/>
    <w:rsid w:val="00BA0FA9"/>
    <w:rsid w:val="00BA6684"/>
    <w:rsid w:val="00BB0FD0"/>
    <w:rsid w:val="00BC0BE2"/>
    <w:rsid w:val="00BC2B00"/>
    <w:rsid w:val="00BD25CA"/>
    <w:rsid w:val="00BF057C"/>
    <w:rsid w:val="00BF2F7D"/>
    <w:rsid w:val="00BF7F04"/>
    <w:rsid w:val="00C00002"/>
    <w:rsid w:val="00C02867"/>
    <w:rsid w:val="00C04CA0"/>
    <w:rsid w:val="00C109C9"/>
    <w:rsid w:val="00C1241A"/>
    <w:rsid w:val="00C137F0"/>
    <w:rsid w:val="00C1552C"/>
    <w:rsid w:val="00C16482"/>
    <w:rsid w:val="00C23B44"/>
    <w:rsid w:val="00C27BD6"/>
    <w:rsid w:val="00C319C6"/>
    <w:rsid w:val="00C3650E"/>
    <w:rsid w:val="00C41F76"/>
    <w:rsid w:val="00C5552D"/>
    <w:rsid w:val="00C562D9"/>
    <w:rsid w:val="00C56AF7"/>
    <w:rsid w:val="00C5756F"/>
    <w:rsid w:val="00C625AD"/>
    <w:rsid w:val="00C66CAF"/>
    <w:rsid w:val="00C67F74"/>
    <w:rsid w:val="00C716BA"/>
    <w:rsid w:val="00C76E01"/>
    <w:rsid w:val="00C91EAA"/>
    <w:rsid w:val="00C950DC"/>
    <w:rsid w:val="00C96A1A"/>
    <w:rsid w:val="00CA3697"/>
    <w:rsid w:val="00CA7147"/>
    <w:rsid w:val="00CB0B30"/>
    <w:rsid w:val="00CB340A"/>
    <w:rsid w:val="00CB36CC"/>
    <w:rsid w:val="00CB3767"/>
    <w:rsid w:val="00CB5F3F"/>
    <w:rsid w:val="00CC4F4D"/>
    <w:rsid w:val="00CC6283"/>
    <w:rsid w:val="00CD4836"/>
    <w:rsid w:val="00CE25D3"/>
    <w:rsid w:val="00CE5565"/>
    <w:rsid w:val="00CE5CFA"/>
    <w:rsid w:val="00CE6354"/>
    <w:rsid w:val="00CE774E"/>
    <w:rsid w:val="00CF1803"/>
    <w:rsid w:val="00CF651E"/>
    <w:rsid w:val="00CF7263"/>
    <w:rsid w:val="00D026FE"/>
    <w:rsid w:val="00D06C59"/>
    <w:rsid w:val="00D278EE"/>
    <w:rsid w:val="00D3530F"/>
    <w:rsid w:val="00D354B2"/>
    <w:rsid w:val="00D356BB"/>
    <w:rsid w:val="00D44138"/>
    <w:rsid w:val="00D46FCA"/>
    <w:rsid w:val="00D5077C"/>
    <w:rsid w:val="00D508EE"/>
    <w:rsid w:val="00D55B05"/>
    <w:rsid w:val="00D55DF3"/>
    <w:rsid w:val="00D56439"/>
    <w:rsid w:val="00D57ABB"/>
    <w:rsid w:val="00D64A9A"/>
    <w:rsid w:val="00D668FE"/>
    <w:rsid w:val="00D67108"/>
    <w:rsid w:val="00D71B11"/>
    <w:rsid w:val="00D722EA"/>
    <w:rsid w:val="00D72B49"/>
    <w:rsid w:val="00D81E40"/>
    <w:rsid w:val="00D8765F"/>
    <w:rsid w:val="00D9145D"/>
    <w:rsid w:val="00D92F05"/>
    <w:rsid w:val="00D93DE2"/>
    <w:rsid w:val="00D94180"/>
    <w:rsid w:val="00D9516A"/>
    <w:rsid w:val="00DA3F9C"/>
    <w:rsid w:val="00DA4038"/>
    <w:rsid w:val="00DA5A4E"/>
    <w:rsid w:val="00DA64E0"/>
    <w:rsid w:val="00DB6747"/>
    <w:rsid w:val="00DC3CAB"/>
    <w:rsid w:val="00DC6443"/>
    <w:rsid w:val="00DD6B18"/>
    <w:rsid w:val="00DE1F96"/>
    <w:rsid w:val="00DE4886"/>
    <w:rsid w:val="00DF10CF"/>
    <w:rsid w:val="00E0102B"/>
    <w:rsid w:val="00E017BF"/>
    <w:rsid w:val="00E130F2"/>
    <w:rsid w:val="00E224E2"/>
    <w:rsid w:val="00E2521B"/>
    <w:rsid w:val="00E2737B"/>
    <w:rsid w:val="00E32D78"/>
    <w:rsid w:val="00E34BF0"/>
    <w:rsid w:val="00E474B3"/>
    <w:rsid w:val="00E5420E"/>
    <w:rsid w:val="00E5562E"/>
    <w:rsid w:val="00E56B8E"/>
    <w:rsid w:val="00E65FD5"/>
    <w:rsid w:val="00E721BA"/>
    <w:rsid w:val="00E77F24"/>
    <w:rsid w:val="00E80D15"/>
    <w:rsid w:val="00E81D0F"/>
    <w:rsid w:val="00E861B4"/>
    <w:rsid w:val="00E867F8"/>
    <w:rsid w:val="00E95F81"/>
    <w:rsid w:val="00EA2E8D"/>
    <w:rsid w:val="00EA35B3"/>
    <w:rsid w:val="00EA41F3"/>
    <w:rsid w:val="00EB09F6"/>
    <w:rsid w:val="00EB6283"/>
    <w:rsid w:val="00EB6371"/>
    <w:rsid w:val="00EB7DFE"/>
    <w:rsid w:val="00ED600A"/>
    <w:rsid w:val="00EE44E0"/>
    <w:rsid w:val="00EF160D"/>
    <w:rsid w:val="00EF6095"/>
    <w:rsid w:val="00F02C86"/>
    <w:rsid w:val="00F04A22"/>
    <w:rsid w:val="00F06E0A"/>
    <w:rsid w:val="00F15653"/>
    <w:rsid w:val="00F1774D"/>
    <w:rsid w:val="00F25057"/>
    <w:rsid w:val="00F25C0B"/>
    <w:rsid w:val="00F30557"/>
    <w:rsid w:val="00F30691"/>
    <w:rsid w:val="00F367B4"/>
    <w:rsid w:val="00F44CCB"/>
    <w:rsid w:val="00F46E7A"/>
    <w:rsid w:val="00F5487C"/>
    <w:rsid w:val="00F600D3"/>
    <w:rsid w:val="00F62902"/>
    <w:rsid w:val="00F62DAE"/>
    <w:rsid w:val="00F669DC"/>
    <w:rsid w:val="00F74F01"/>
    <w:rsid w:val="00F841C1"/>
    <w:rsid w:val="00F84629"/>
    <w:rsid w:val="00F9506B"/>
    <w:rsid w:val="00F97FAB"/>
    <w:rsid w:val="00FA06E0"/>
    <w:rsid w:val="00FB3BD7"/>
    <w:rsid w:val="00FB69E8"/>
    <w:rsid w:val="00FC0108"/>
    <w:rsid w:val="00FC1D29"/>
    <w:rsid w:val="00FC249A"/>
    <w:rsid w:val="00FC5595"/>
    <w:rsid w:val="00FE0896"/>
    <w:rsid w:val="00FF0D96"/>
    <w:rsid w:val="00FF14D4"/>
    <w:rsid w:val="011B0745"/>
    <w:rsid w:val="01C00AF9"/>
    <w:rsid w:val="03DF3D4F"/>
    <w:rsid w:val="041906F5"/>
    <w:rsid w:val="045A41EA"/>
    <w:rsid w:val="04931259"/>
    <w:rsid w:val="04E319AB"/>
    <w:rsid w:val="059C3246"/>
    <w:rsid w:val="07B76CEE"/>
    <w:rsid w:val="08416F2D"/>
    <w:rsid w:val="0A502357"/>
    <w:rsid w:val="0AF75787"/>
    <w:rsid w:val="0B00644C"/>
    <w:rsid w:val="0C693DF6"/>
    <w:rsid w:val="0C801DA5"/>
    <w:rsid w:val="0F6949B9"/>
    <w:rsid w:val="0FA7334B"/>
    <w:rsid w:val="10F60887"/>
    <w:rsid w:val="119E4674"/>
    <w:rsid w:val="11A958FA"/>
    <w:rsid w:val="11AC1D80"/>
    <w:rsid w:val="11AF7A2C"/>
    <w:rsid w:val="14A213F8"/>
    <w:rsid w:val="14FE5F5C"/>
    <w:rsid w:val="15B8653A"/>
    <w:rsid w:val="15C0276A"/>
    <w:rsid w:val="17B55FF2"/>
    <w:rsid w:val="18A90670"/>
    <w:rsid w:val="190D30A5"/>
    <w:rsid w:val="1A9210DE"/>
    <w:rsid w:val="1B851185"/>
    <w:rsid w:val="1C3A718F"/>
    <w:rsid w:val="1D0E6271"/>
    <w:rsid w:val="1D614897"/>
    <w:rsid w:val="205F020B"/>
    <w:rsid w:val="20A03A95"/>
    <w:rsid w:val="21D62BBD"/>
    <w:rsid w:val="224551CB"/>
    <w:rsid w:val="25167429"/>
    <w:rsid w:val="262C11AD"/>
    <w:rsid w:val="264D6D44"/>
    <w:rsid w:val="274A49E9"/>
    <w:rsid w:val="29796396"/>
    <w:rsid w:val="29AA0009"/>
    <w:rsid w:val="2B8457CB"/>
    <w:rsid w:val="2D34414E"/>
    <w:rsid w:val="2E5C3FC8"/>
    <w:rsid w:val="2F5A6DBC"/>
    <w:rsid w:val="316F691B"/>
    <w:rsid w:val="34B51AD9"/>
    <w:rsid w:val="34F76C36"/>
    <w:rsid w:val="35042AC1"/>
    <w:rsid w:val="35653EA9"/>
    <w:rsid w:val="35922A85"/>
    <w:rsid w:val="37BA7085"/>
    <w:rsid w:val="37BB78FC"/>
    <w:rsid w:val="38822413"/>
    <w:rsid w:val="39333B77"/>
    <w:rsid w:val="39481A9A"/>
    <w:rsid w:val="3B6C5507"/>
    <w:rsid w:val="3C274CC5"/>
    <w:rsid w:val="3E3770BC"/>
    <w:rsid w:val="3EAF1EBE"/>
    <w:rsid w:val="400A0C2B"/>
    <w:rsid w:val="40A11D0E"/>
    <w:rsid w:val="40A313D8"/>
    <w:rsid w:val="4157061F"/>
    <w:rsid w:val="42650422"/>
    <w:rsid w:val="43AA712C"/>
    <w:rsid w:val="448654A3"/>
    <w:rsid w:val="460728CA"/>
    <w:rsid w:val="47FD5CB7"/>
    <w:rsid w:val="48847F4B"/>
    <w:rsid w:val="48AE77F9"/>
    <w:rsid w:val="49916AB0"/>
    <w:rsid w:val="4A1D17C2"/>
    <w:rsid w:val="4AA743C5"/>
    <w:rsid w:val="4BAD77B9"/>
    <w:rsid w:val="4BBF60FE"/>
    <w:rsid w:val="4BEB02E1"/>
    <w:rsid w:val="4CA43378"/>
    <w:rsid w:val="4CFA6EF6"/>
    <w:rsid w:val="4D0021F3"/>
    <w:rsid w:val="4E02772B"/>
    <w:rsid w:val="4ECF02E5"/>
    <w:rsid w:val="4F7E26BC"/>
    <w:rsid w:val="4FCD492D"/>
    <w:rsid w:val="508431D1"/>
    <w:rsid w:val="523F4EE3"/>
    <w:rsid w:val="52543B4B"/>
    <w:rsid w:val="53193986"/>
    <w:rsid w:val="53B546F8"/>
    <w:rsid w:val="577F2AA1"/>
    <w:rsid w:val="57F435E4"/>
    <w:rsid w:val="58374651"/>
    <w:rsid w:val="58905DB1"/>
    <w:rsid w:val="5A5B7F3B"/>
    <w:rsid w:val="5DF93262"/>
    <w:rsid w:val="5E66256E"/>
    <w:rsid w:val="5EB033F0"/>
    <w:rsid w:val="608B2DCE"/>
    <w:rsid w:val="61572249"/>
    <w:rsid w:val="61D858B1"/>
    <w:rsid w:val="625E7ACB"/>
    <w:rsid w:val="64066437"/>
    <w:rsid w:val="66EC51E2"/>
    <w:rsid w:val="678B49FB"/>
    <w:rsid w:val="67A63303"/>
    <w:rsid w:val="68C006D4"/>
    <w:rsid w:val="69BD2E65"/>
    <w:rsid w:val="6AB0617B"/>
    <w:rsid w:val="6BD43AC5"/>
    <w:rsid w:val="6CE150BD"/>
    <w:rsid w:val="6F936813"/>
    <w:rsid w:val="72D75DC2"/>
    <w:rsid w:val="73B1109E"/>
    <w:rsid w:val="74753B7F"/>
    <w:rsid w:val="74FB6702"/>
    <w:rsid w:val="75F145C2"/>
    <w:rsid w:val="76D0147D"/>
    <w:rsid w:val="7A073341"/>
    <w:rsid w:val="7AEA15E0"/>
    <w:rsid w:val="7B7A6D7B"/>
    <w:rsid w:val="7F9D2CB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qFormat/>
    <w:uiPriority w:val="0"/>
    <w:pPr>
      <w:keepNext/>
      <w:keepLines/>
      <w:adjustRightInd w:val="0"/>
      <w:snapToGrid w:val="0"/>
      <w:spacing w:line="180" w:lineRule="atLeast"/>
      <w:outlineLvl w:val="0"/>
    </w:pPr>
    <w:rPr>
      <w:rFonts w:cs="Calibri"/>
      <w:b/>
      <w:bCs/>
      <w:kern w:val="44"/>
      <w:sz w:val="32"/>
      <w:szCs w:val="44"/>
    </w:rPr>
  </w:style>
  <w:style w:type="paragraph" w:styleId="3">
    <w:name w:val="heading 4"/>
    <w:basedOn w:val="4"/>
    <w:next w:val="1"/>
    <w:qFormat/>
    <w:uiPriority w:val="0"/>
    <w:pPr>
      <w:keepNext/>
      <w:keepLines/>
      <w:adjustRightInd w:val="0"/>
      <w:spacing w:before="280" w:after="290" w:line="376" w:lineRule="auto"/>
      <w:textAlignment w:val="baseline"/>
      <w:outlineLvl w:val="3"/>
    </w:pPr>
    <w:rPr>
      <w:rFonts w:ascii="Arial" w:hAnsi="Arial" w:eastAsia="黑体"/>
      <w:b/>
      <w:sz w:val="28"/>
      <w:szCs w:val="20"/>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customStyle="1" w:styleId="4">
    <w:name w:val="00 正文"/>
    <w:basedOn w:val="1"/>
    <w:qFormat/>
    <w:uiPriority w:val="0"/>
    <w:pPr>
      <w:adjustRightInd w:val="0"/>
      <w:textAlignment w:val="baseline"/>
    </w:pPr>
    <w:rPr>
      <w:rFonts w:hAnsi="宋体"/>
      <w:bCs/>
      <w:kern w:val="2"/>
      <w:sz w:val="24"/>
    </w:rPr>
  </w:style>
  <w:style w:type="paragraph" w:styleId="5">
    <w:name w:val="Normal Indent"/>
    <w:basedOn w:val="1"/>
    <w:qFormat/>
    <w:uiPriority w:val="0"/>
    <w:pPr>
      <w:ind w:firstLine="420"/>
    </w:pPr>
    <w:rPr>
      <w:sz w:val="28"/>
    </w:rPr>
  </w:style>
  <w:style w:type="paragraph" w:styleId="6">
    <w:name w:val="annotation text"/>
    <w:basedOn w:val="1"/>
    <w:qFormat/>
    <w:uiPriority w:val="0"/>
    <w:pPr>
      <w:jc w:val="left"/>
    </w:pPr>
  </w:style>
  <w:style w:type="paragraph" w:styleId="7">
    <w:name w:val="Body Text"/>
    <w:basedOn w:val="1"/>
    <w:qFormat/>
    <w:uiPriority w:val="0"/>
    <w:rPr>
      <w:rFonts w:eastAsia="方正魏碑简体"/>
      <w:sz w:val="72"/>
    </w:rPr>
  </w:style>
  <w:style w:type="paragraph" w:styleId="8">
    <w:name w:val="Body Text Indent"/>
    <w:basedOn w:val="1"/>
    <w:qFormat/>
    <w:uiPriority w:val="0"/>
    <w:pPr>
      <w:spacing w:after="120"/>
      <w:ind w:left="420" w:leftChars="200"/>
    </w:pPr>
  </w:style>
  <w:style w:type="paragraph" w:styleId="9">
    <w:name w:val="Block Text"/>
    <w:basedOn w:val="1"/>
    <w:qFormat/>
    <w:uiPriority w:val="0"/>
    <w:pPr>
      <w:snapToGrid w:val="0"/>
      <w:spacing w:line="480" w:lineRule="atLeast"/>
      <w:ind w:left="-240" w:right="-447" w:firstLine="570"/>
      <w:jc w:val="both"/>
    </w:pPr>
    <w:rPr>
      <w:sz w:val="28"/>
    </w:rPr>
  </w:style>
  <w:style w:type="paragraph" w:styleId="10">
    <w:name w:val="toc 5"/>
    <w:basedOn w:val="1"/>
    <w:next w:val="1"/>
    <w:qFormat/>
    <w:uiPriority w:val="39"/>
    <w:pPr>
      <w:ind w:left="840"/>
      <w:jc w:val="left"/>
    </w:pPr>
    <w:rPr>
      <w:sz w:val="18"/>
      <w:szCs w:val="18"/>
    </w:rPr>
  </w:style>
  <w:style w:type="paragraph" w:styleId="11">
    <w:name w:val="Plain Text"/>
    <w:basedOn w:val="1"/>
    <w:qFormat/>
    <w:uiPriority w:val="0"/>
    <w:pPr>
      <w:adjustRightInd/>
      <w:spacing w:line="240" w:lineRule="auto"/>
      <w:jc w:val="both"/>
      <w:textAlignment w:val="auto"/>
    </w:pPr>
    <w:rPr>
      <w:rFonts w:ascii="宋体" w:hAnsi="Courier New"/>
      <w:kern w:val="2"/>
      <w:sz w:val="21"/>
    </w:rPr>
  </w:style>
  <w:style w:type="paragraph" w:styleId="12">
    <w:name w:val="footer"/>
    <w:basedOn w:val="1"/>
    <w:qFormat/>
    <w:uiPriority w:val="0"/>
    <w:pPr>
      <w:tabs>
        <w:tab w:val="center" w:pos="4153"/>
        <w:tab w:val="right" w:pos="8306"/>
      </w:tabs>
      <w:snapToGrid w:val="0"/>
      <w:spacing w:line="240" w:lineRule="atLeas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4">
    <w:name w:val="Body Text First Indent 2"/>
    <w:basedOn w:val="8"/>
    <w:qFormat/>
    <w:uiPriority w:val="0"/>
    <w:pPr>
      <w:spacing w:after="120" w:line="560" w:lineRule="exact"/>
      <w:ind w:left="420" w:leftChars="200" w:firstLine="420"/>
    </w:pPr>
    <w:rPr>
      <w:rFonts w:hAnsi="宋体"/>
      <w:sz w:val="28"/>
      <w:szCs w:val="22"/>
    </w:rPr>
  </w:style>
  <w:style w:type="table" w:styleId="16">
    <w:name w:val="Table Grid"/>
    <w:basedOn w:val="15"/>
    <w:qFormat/>
    <w:uiPriority w:val="0"/>
    <w:pPr>
      <w:widowControl w:val="0"/>
      <w:adjustRightInd w:val="0"/>
      <w:spacing w:line="360" w:lineRule="atLeast"/>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qFormat/>
    <w:uiPriority w:val="0"/>
    <w:rPr>
      <w:b/>
    </w:rPr>
  </w:style>
  <w:style w:type="character" w:styleId="19">
    <w:name w:val="page number"/>
    <w:basedOn w:val="17"/>
    <w:qFormat/>
    <w:uiPriority w:val="0"/>
  </w:style>
  <w:style w:type="character" w:styleId="20">
    <w:name w:val="Hyperlink"/>
    <w:qFormat/>
    <w:uiPriority w:val="0"/>
    <w:rPr>
      <w:color w:val="0000FF"/>
      <w:u w:val="single"/>
    </w:rPr>
  </w:style>
  <w:style w:type="character" w:customStyle="1" w:styleId="21">
    <w:name w:val="font01"/>
    <w:basedOn w:val="17"/>
    <w:qFormat/>
    <w:uiPriority w:val="0"/>
    <w:rPr>
      <w:rFonts w:hint="default" w:ascii="Times New Roman" w:hAnsi="Times New Roman" w:cs="Times New Roman"/>
      <w:color w:val="393939"/>
      <w:sz w:val="22"/>
      <w:szCs w:val="22"/>
      <w:u w:val="none"/>
    </w:rPr>
  </w:style>
  <w:style w:type="paragraph" w:customStyle="1" w:styleId="22">
    <w:name w:val=" Char Char Char1 Char Char Char3 Char Char Char Char"/>
    <w:basedOn w:val="1"/>
    <w:qFormat/>
    <w:uiPriority w:val="0"/>
    <w:rPr>
      <w:rFonts w:ascii="Tahoma" w:hAnsi="Tahoma"/>
    </w:rPr>
  </w:style>
  <w:style w:type="paragraph" w:customStyle="1" w:styleId="23">
    <w:name w:val=" Char Char Char1 Char Char Char Char Char Char Char Char Char Char"/>
    <w:basedOn w:val="1"/>
    <w:qFormat/>
    <w:uiPriority w:val="0"/>
    <w:rPr>
      <w:rFonts w:ascii="Tahoma" w:hAnsi="Tahoma"/>
    </w:rPr>
  </w:style>
  <w:style w:type="paragraph" w:customStyle="1" w:styleId="24">
    <w:name w:val="_Style 8"/>
    <w:basedOn w:val="1"/>
    <w:qFormat/>
    <w:uiPriority w:val="0"/>
    <w:rPr>
      <w:rFonts w:ascii="Tahoma" w:hAnsi="Tahoma"/>
    </w:rPr>
  </w:style>
  <w:style w:type="paragraph" w:customStyle="1" w:styleId="25">
    <w:name w:val=" Char"/>
    <w:basedOn w:val="1"/>
    <w:qFormat/>
    <w:uiPriority w:val="0"/>
    <w:rPr>
      <w:rFonts w:ascii="Tahoma" w:hAnsi="Tahoma"/>
    </w:rPr>
  </w:style>
  <w:style w:type="character" w:customStyle="1" w:styleId="26">
    <w:name w:val="font11"/>
    <w:basedOn w:val="17"/>
    <w:qFormat/>
    <w:uiPriority w:val="0"/>
    <w:rPr>
      <w:rFonts w:hint="eastAsia" w:ascii="宋体" w:hAnsi="宋体" w:eastAsia="宋体" w:cs="宋体"/>
      <w:color w:val="000000"/>
      <w:sz w:val="20"/>
      <w:szCs w:val="20"/>
      <w:u w:val="none"/>
    </w:rPr>
  </w:style>
  <w:style w:type="character" w:customStyle="1" w:styleId="27">
    <w:name w:val="font41"/>
    <w:basedOn w:val="17"/>
    <w:qFormat/>
    <w:uiPriority w:val="0"/>
    <w:rPr>
      <w:rFonts w:hint="eastAsia" w:ascii="宋体" w:hAnsi="宋体" w:eastAsia="宋体" w:cs="宋体"/>
      <w:color w:val="000000"/>
      <w:sz w:val="20"/>
      <w:szCs w:val="20"/>
      <w:u w:val="none"/>
      <w:vertAlign w:val="subscript"/>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wisdri</Company>
  <Pages>5</Pages>
  <Words>1771</Words>
  <Characters>2023</Characters>
  <Lines>16</Lines>
  <Paragraphs>4</Paragraphs>
  <TotalTime>5</TotalTime>
  <ScaleCrop>false</ScaleCrop>
  <LinksUpToDate>false</LinksUpToDate>
  <CharactersWithSpaces>2186</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2014-11-24T01:12:00Z</dcterms:created>
  <dc:creator>1</dc:creator>
  <cp:lastModifiedBy>Lee 先森</cp:lastModifiedBy>
  <cp:lastPrinted>2010-06-13T03:59:00Z</cp:lastPrinted>
  <dcterms:modified xsi:type="dcterms:W3CDTF">2025-11-19T04:15:03Z</dcterms:modified>
  <dc:title>武钢新3号高炉铜冷却壁招标书</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84BBF0A21B394A3291EEE81986A5522D_13</vt:lpwstr>
  </property>
  <property fmtid="{D5CDD505-2E9C-101B-9397-08002B2CF9AE}" pid="4" name="KSOTemplateDocerSaveRecord">
    <vt:lpwstr>eyJoZGlkIjoiYWQwNDFlNDU0MjRjMzU3MWVjZGY5N2FlYWI3NDdkZTUiLCJ1c2VySWQiOiI1MDI2MDY2NTMifQ==</vt:lpwstr>
  </property>
</Properties>
</file>