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BC8C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6FE96151">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458C3BEF">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18878A0F">
      <w:pPr>
        <w:pStyle w:val="2"/>
        <w:ind w:firstLine="1440" w:firstLineChars="400"/>
        <w:jc w:val="both"/>
        <w:rPr>
          <w:rFonts w:hint="default" w:ascii="宋体" w:hAnsi="宋体" w:eastAsia="宋体" w:cs="宋体"/>
          <w:b w:val="0"/>
          <w:bCs w:val="0"/>
          <w:kern w:val="1"/>
          <w:sz w:val="36"/>
          <w:szCs w:val="36"/>
          <w:highlight w:val="none"/>
          <w:lang w:val="en-US" w:eastAsia="zh-CN" w:bidi="ar-SA"/>
        </w:rPr>
      </w:pPr>
      <w:r>
        <w:rPr>
          <w:rFonts w:hint="eastAsia" w:ascii="宋体" w:hAnsi="宋体" w:cs="宋体"/>
          <w:b w:val="0"/>
          <w:bCs w:val="0"/>
          <w:kern w:val="1"/>
          <w:sz w:val="36"/>
          <w:szCs w:val="36"/>
          <w:highlight w:val="none"/>
          <w:lang w:val="en-US" w:eastAsia="zh-CN"/>
        </w:rPr>
        <w:t>中间继电器\（Phoenix）2903668-0/AC230V-12A/22-八脚</w:t>
      </w:r>
    </w:p>
    <w:p w14:paraId="087D4F9A">
      <w:pPr>
        <w:snapToGrid w:val="0"/>
        <w:spacing w:line="360" w:lineRule="auto"/>
        <w:ind w:right="-447"/>
        <w:jc w:val="center"/>
        <w:rPr>
          <w:rFonts w:hint="eastAsia" w:ascii="仿宋" w:hAnsi="仿宋" w:eastAsia="仿宋" w:cs="仿宋"/>
          <w:b w:val="0"/>
          <w:bCs/>
          <w:color w:val="auto"/>
          <w:sz w:val="36"/>
          <w:szCs w:val="36"/>
          <w:highlight w:val="none"/>
        </w:rPr>
      </w:pPr>
      <w:r>
        <w:rPr>
          <w:rFonts w:hint="eastAsia" w:ascii="仿宋" w:hAnsi="仿宋" w:eastAsia="仿宋" w:cs="仿宋"/>
          <w:b w:val="0"/>
          <w:bCs/>
          <w:color w:val="auto"/>
          <w:sz w:val="36"/>
          <w:szCs w:val="48"/>
          <w:highlight w:val="none"/>
        </w:rPr>
        <w:t>采购技术</w:t>
      </w:r>
      <w:r>
        <w:rPr>
          <w:rFonts w:hint="eastAsia" w:ascii="仿宋" w:hAnsi="仿宋" w:eastAsia="仿宋" w:cs="仿宋"/>
          <w:b w:val="0"/>
          <w:bCs/>
          <w:color w:val="auto"/>
          <w:sz w:val="36"/>
          <w:szCs w:val="48"/>
          <w:highlight w:val="none"/>
          <w:lang w:val="en-US" w:eastAsia="zh-CN"/>
        </w:rPr>
        <w:t>规格书</w:t>
      </w:r>
    </w:p>
    <w:p w14:paraId="2A594D23">
      <w:pPr>
        <w:snapToGrid w:val="0"/>
        <w:spacing w:line="360" w:lineRule="auto"/>
        <w:ind w:right="-447"/>
        <w:jc w:val="center"/>
        <w:rPr>
          <w:rFonts w:hint="eastAsia" w:ascii="仿宋" w:hAnsi="仿宋" w:eastAsia="仿宋" w:cs="仿宋"/>
          <w:b/>
          <w:color w:val="auto"/>
          <w:sz w:val="36"/>
          <w:szCs w:val="48"/>
          <w:highlight w:val="none"/>
        </w:rPr>
      </w:pPr>
    </w:p>
    <w:p w14:paraId="3955E342">
      <w:pPr>
        <w:snapToGrid w:val="0"/>
        <w:spacing w:line="360" w:lineRule="auto"/>
        <w:ind w:right="-447"/>
        <w:jc w:val="center"/>
        <w:rPr>
          <w:rFonts w:hint="eastAsia" w:ascii="仿宋" w:hAnsi="仿宋" w:eastAsia="仿宋" w:cs="仿宋"/>
          <w:b/>
          <w:color w:val="auto"/>
          <w:sz w:val="36"/>
          <w:szCs w:val="48"/>
          <w:highlight w:val="none"/>
        </w:rPr>
      </w:pPr>
    </w:p>
    <w:p w14:paraId="65259DC2">
      <w:pPr>
        <w:pStyle w:val="2"/>
        <w:rPr>
          <w:rFonts w:hint="eastAsia" w:ascii="仿宋" w:hAnsi="仿宋" w:eastAsia="仿宋" w:cs="仿宋"/>
          <w:color w:val="auto"/>
          <w:highlight w:val="none"/>
        </w:rPr>
      </w:pPr>
    </w:p>
    <w:p w14:paraId="1A301BE0">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80B72C3">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67B8AD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75E35A2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6E810B76">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4AA5211B">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5DFB205C">
      <w:pPr>
        <w:spacing w:line="360" w:lineRule="auto"/>
        <w:rPr>
          <w:rFonts w:hint="eastAsia" w:ascii="仿宋" w:hAnsi="仿宋" w:eastAsia="仿宋" w:cs="仿宋"/>
          <w:bCs/>
          <w:color w:val="auto"/>
          <w:highlight w:val="none"/>
        </w:rPr>
      </w:pPr>
    </w:p>
    <w:p w14:paraId="6D1876CB">
      <w:pPr>
        <w:spacing w:line="360" w:lineRule="auto"/>
        <w:rPr>
          <w:rFonts w:hint="eastAsia" w:ascii="仿宋" w:hAnsi="仿宋" w:eastAsia="仿宋" w:cs="仿宋"/>
          <w:bCs/>
          <w:color w:val="auto"/>
          <w:highlight w:val="none"/>
        </w:rPr>
      </w:pPr>
    </w:p>
    <w:p w14:paraId="19CDBCF8">
      <w:pPr>
        <w:spacing w:line="360" w:lineRule="auto"/>
        <w:rPr>
          <w:rFonts w:hint="eastAsia" w:ascii="仿宋" w:hAnsi="仿宋" w:eastAsia="仿宋" w:cs="仿宋"/>
          <w:bCs/>
          <w:color w:val="auto"/>
          <w:highlight w:val="none"/>
        </w:rPr>
      </w:pPr>
    </w:p>
    <w:p w14:paraId="44B9B2F7">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9FE0D65">
      <w:pPr>
        <w:spacing w:line="360" w:lineRule="auto"/>
        <w:ind w:firstLine="3791" w:firstLineChars="1049"/>
        <w:rPr>
          <w:rFonts w:hint="eastAsia" w:ascii="仿宋" w:hAnsi="仿宋" w:eastAsia="仿宋" w:cs="仿宋"/>
          <w:b/>
          <w:color w:val="auto"/>
          <w:sz w:val="36"/>
          <w:szCs w:val="36"/>
          <w:highlight w:val="none"/>
        </w:rPr>
      </w:pPr>
    </w:p>
    <w:p w14:paraId="1019423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F3140F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6DCBF49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3D68B40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581EDE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7348BCE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76F1EDF">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3085506A">
      <w:pPr>
        <w:snapToGrid w:val="0"/>
        <w:spacing w:line="360" w:lineRule="auto"/>
        <w:ind w:right="-447"/>
        <w:jc w:val="both"/>
        <w:rPr>
          <w:rFonts w:hint="eastAsia" w:ascii="仿宋" w:hAnsi="仿宋" w:eastAsia="仿宋" w:cs="仿宋"/>
          <w:b/>
          <w:color w:val="auto"/>
          <w:sz w:val="28"/>
          <w:szCs w:val="28"/>
          <w:highlight w:val="none"/>
        </w:rPr>
      </w:pPr>
    </w:p>
    <w:p w14:paraId="21E9F49A">
      <w:pPr>
        <w:snapToGrid w:val="0"/>
        <w:spacing w:line="360" w:lineRule="auto"/>
        <w:ind w:right="-447"/>
        <w:jc w:val="both"/>
        <w:rPr>
          <w:rFonts w:hint="eastAsia" w:ascii="仿宋" w:hAnsi="仿宋" w:eastAsia="仿宋" w:cs="仿宋"/>
          <w:b/>
          <w:color w:val="auto"/>
          <w:sz w:val="28"/>
          <w:szCs w:val="28"/>
          <w:highlight w:val="none"/>
        </w:rPr>
      </w:pPr>
    </w:p>
    <w:p w14:paraId="350E8DAF">
      <w:pPr>
        <w:snapToGrid w:val="0"/>
        <w:spacing w:line="360" w:lineRule="auto"/>
        <w:ind w:right="-447"/>
        <w:jc w:val="both"/>
        <w:rPr>
          <w:rFonts w:hint="eastAsia" w:ascii="仿宋" w:hAnsi="仿宋" w:eastAsia="仿宋" w:cs="仿宋"/>
          <w:b/>
          <w:color w:val="auto"/>
          <w:sz w:val="28"/>
          <w:szCs w:val="28"/>
          <w:highlight w:val="none"/>
        </w:rPr>
      </w:pPr>
    </w:p>
    <w:p w14:paraId="3BC04A37">
      <w:pPr>
        <w:snapToGrid w:val="0"/>
        <w:spacing w:line="360" w:lineRule="auto"/>
        <w:ind w:right="-447"/>
        <w:jc w:val="both"/>
        <w:rPr>
          <w:rFonts w:hint="eastAsia" w:ascii="仿宋" w:hAnsi="仿宋" w:eastAsia="仿宋" w:cs="仿宋"/>
          <w:b/>
          <w:color w:val="auto"/>
          <w:sz w:val="28"/>
          <w:szCs w:val="28"/>
          <w:highlight w:val="none"/>
        </w:rPr>
      </w:pPr>
    </w:p>
    <w:p w14:paraId="160E4E61">
      <w:pPr>
        <w:snapToGrid w:val="0"/>
        <w:spacing w:line="360" w:lineRule="auto"/>
        <w:ind w:right="-447"/>
        <w:jc w:val="both"/>
        <w:rPr>
          <w:rFonts w:hint="eastAsia" w:ascii="仿宋" w:hAnsi="仿宋" w:eastAsia="仿宋" w:cs="仿宋"/>
          <w:b/>
          <w:color w:val="auto"/>
          <w:sz w:val="28"/>
          <w:szCs w:val="28"/>
          <w:highlight w:val="none"/>
        </w:rPr>
      </w:pPr>
    </w:p>
    <w:p w14:paraId="3812BAF4">
      <w:pPr>
        <w:snapToGrid w:val="0"/>
        <w:spacing w:line="360" w:lineRule="auto"/>
        <w:ind w:right="-447"/>
        <w:jc w:val="both"/>
        <w:rPr>
          <w:rFonts w:hint="eastAsia" w:ascii="仿宋" w:hAnsi="仿宋" w:eastAsia="仿宋" w:cs="仿宋"/>
          <w:b/>
          <w:color w:val="auto"/>
          <w:sz w:val="28"/>
          <w:szCs w:val="28"/>
          <w:highlight w:val="none"/>
        </w:rPr>
      </w:pPr>
    </w:p>
    <w:p w14:paraId="216324F9">
      <w:pPr>
        <w:snapToGrid w:val="0"/>
        <w:spacing w:line="360" w:lineRule="auto"/>
        <w:ind w:right="-447"/>
        <w:jc w:val="both"/>
        <w:rPr>
          <w:rFonts w:hint="eastAsia" w:ascii="仿宋" w:hAnsi="仿宋" w:eastAsia="仿宋" w:cs="仿宋"/>
          <w:b/>
          <w:color w:val="auto"/>
          <w:sz w:val="28"/>
          <w:szCs w:val="28"/>
          <w:highlight w:val="none"/>
        </w:rPr>
      </w:pPr>
    </w:p>
    <w:p w14:paraId="783FFB2A">
      <w:pPr>
        <w:snapToGrid w:val="0"/>
        <w:spacing w:line="360" w:lineRule="auto"/>
        <w:ind w:right="-447"/>
        <w:jc w:val="both"/>
        <w:rPr>
          <w:rFonts w:hint="eastAsia" w:ascii="仿宋" w:hAnsi="仿宋" w:eastAsia="仿宋" w:cs="仿宋"/>
          <w:b/>
          <w:color w:val="auto"/>
          <w:sz w:val="28"/>
          <w:szCs w:val="28"/>
          <w:highlight w:val="none"/>
        </w:rPr>
      </w:pPr>
    </w:p>
    <w:p w14:paraId="399D1B8C">
      <w:pPr>
        <w:snapToGrid w:val="0"/>
        <w:spacing w:line="360" w:lineRule="auto"/>
        <w:ind w:right="-447"/>
        <w:jc w:val="both"/>
        <w:rPr>
          <w:rFonts w:hint="eastAsia" w:ascii="仿宋" w:hAnsi="仿宋" w:eastAsia="仿宋" w:cs="仿宋"/>
          <w:b/>
          <w:color w:val="auto"/>
          <w:sz w:val="28"/>
          <w:szCs w:val="28"/>
          <w:highlight w:val="none"/>
        </w:rPr>
      </w:pPr>
    </w:p>
    <w:p w14:paraId="4BD4206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0C75F425">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中间继电器\（Phoenix）2903668-0/AC230V-12A/22-八脚</w:t>
      </w:r>
      <w:r>
        <w:rPr>
          <w:rFonts w:hint="eastAsia" w:ascii="仿宋" w:hAnsi="仿宋" w:eastAsia="仿宋" w:cs="仿宋"/>
          <w:color w:val="auto"/>
          <w:sz w:val="21"/>
          <w:szCs w:val="21"/>
          <w:highlight w:val="none"/>
        </w:rPr>
        <w:t>采购经双方协商，达成如下技术协议：</w:t>
      </w:r>
    </w:p>
    <w:p w14:paraId="39889EED">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25A16D1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D428AB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05383993">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1192B2F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560B777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14:paraId="01A2C80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14:paraId="4C076A3A">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3E2A7123">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7398A957">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79BA78BC">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98EB0E3">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中间继电器\（Phoenix）2903668-0/AC230V-12A/22-八脚</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1#高炉</w:t>
      </w:r>
      <w:r>
        <w:rPr>
          <w:rFonts w:hint="eastAsia" w:ascii="仿宋" w:hAnsi="仿宋" w:eastAsia="仿宋" w:cs="仿宋"/>
          <w:color w:val="auto"/>
          <w:sz w:val="21"/>
          <w:szCs w:val="21"/>
          <w:highlight w:val="none"/>
        </w:rPr>
        <w:t>。</w:t>
      </w:r>
    </w:p>
    <w:p w14:paraId="2C92C386">
      <w:pPr>
        <w:spacing w:line="360" w:lineRule="auto"/>
        <w:ind w:left="478" w:leftChars="194" w:hanging="12" w:hangingChars="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海拔高度：       1626m</w:t>
      </w:r>
    </w:p>
    <w:p w14:paraId="5796FE4C">
      <w:pPr>
        <w:spacing w:line="360" w:lineRule="auto"/>
        <w:ind w:left="478" w:leftChars="194" w:hanging="12" w:hangingChars="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极端最高温度：   38.4℃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极端最底温度：   -31.6℃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最热月平均温度：  28.7℃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最冷月平均温度： -15.6℃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年平均温度：       7.3℃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最大月平均日温差：  14℃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最热月平均湿度：    52 %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最冷月平均湿度：    55 %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相对湿度：          46 %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年平均降雨量：    85.3mm</w:t>
      </w:r>
    </w:p>
    <w:p w14:paraId="72B48F10">
      <w:pPr>
        <w:spacing w:line="360" w:lineRule="auto"/>
        <w:ind w:firstLine="411" w:firstLineChars="196"/>
        <w:rPr>
          <w:rFonts w:hint="eastAsia" w:ascii="仿宋" w:hAnsi="仿宋" w:eastAsia="仿宋" w:cs="仿宋"/>
          <w:color w:val="auto"/>
          <w:sz w:val="21"/>
          <w:szCs w:val="21"/>
          <w:highlight w:val="none"/>
          <w:lang w:val="en-US" w:eastAsia="zh-CN"/>
        </w:rPr>
      </w:pPr>
    </w:p>
    <w:p w14:paraId="546A86FB">
      <w:pPr>
        <w:keepNext w:val="0"/>
        <w:keepLines w:val="0"/>
        <w:pageBreakBefore w:val="0"/>
        <w:widowControl w:val="0"/>
        <w:kinsoku/>
        <w:wordWrap/>
        <w:overflowPunct/>
        <w:topLinePunct w:val="0"/>
        <w:autoSpaceDE/>
        <w:autoSpaceDN/>
        <w:bidi w:val="0"/>
        <w:adjustRightInd/>
        <w:snapToGrid/>
        <w:spacing w:line="240" w:lineRule="auto"/>
        <w:ind w:left="480" w:leftChars="200" w:firstLine="0" w:firstLineChars="0"/>
        <w:jc w:val="left"/>
        <w:textAlignment w:val="auto"/>
        <w:rPr>
          <w:rFonts w:hint="eastAsia" w:ascii="宋体" w:hAnsi="宋体"/>
          <w:b/>
          <w:bCs/>
          <w:color w:val="auto"/>
          <w:sz w:val="20"/>
          <w:szCs w:val="20"/>
          <w:highlight w:val="none"/>
        </w:rPr>
      </w:pPr>
      <w:r>
        <w:rPr>
          <w:rFonts w:hint="eastAsia" w:ascii="仿宋" w:hAnsi="仿宋" w:eastAsia="仿宋" w:cs="仿宋"/>
          <w:b/>
          <w:color w:val="auto"/>
          <w:sz w:val="21"/>
          <w:szCs w:val="21"/>
          <w:highlight w:val="none"/>
        </w:rPr>
        <w:t xml:space="preserve">2.2 </w:t>
      </w:r>
      <w:r>
        <w:rPr>
          <w:rFonts w:hint="eastAsia" w:ascii="宋体" w:hAnsi="宋体"/>
          <w:b/>
          <w:bCs/>
          <w:color w:val="auto"/>
          <w:sz w:val="20"/>
          <w:szCs w:val="20"/>
          <w:highlight w:val="none"/>
          <w:lang w:eastAsia="zh-CN"/>
        </w:rPr>
        <w:t>工况</w:t>
      </w:r>
      <w:r>
        <w:rPr>
          <w:rFonts w:hint="eastAsia" w:ascii="宋体" w:hAnsi="宋体"/>
          <w:b/>
          <w:bCs/>
          <w:color w:val="auto"/>
          <w:sz w:val="20"/>
          <w:szCs w:val="20"/>
          <w:highlight w:val="none"/>
        </w:rPr>
        <w:t>环境</w:t>
      </w:r>
    </w:p>
    <w:p w14:paraId="2347723E">
      <w:pPr>
        <w:spacing w:line="360" w:lineRule="auto"/>
        <w:ind w:firstLine="413" w:firstLineChars="196"/>
        <w:rPr>
          <w:rFonts w:hint="eastAsia" w:ascii="仿宋" w:hAnsi="仿宋" w:eastAsia="仿宋" w:cs="仿宋"/>
          <w:b/>
          <w:color w:val="auto"/>
          <w:sz w:val="21"/>
          <w:szCs w:val="21"/>
          <w:highlight w:val="none"/>
        </w:rPr>
      </w:pPr>
    </w:p>
    <w:p w14:paraId="02B89C6D">
      <w:pPr>
        <w:keepNext w:val="0"/>
        <w:keepLines w:val="0"/>
        <w:pageBreakBefore w:val="0"/>
        <w:widowControl w:val="0"/>
        <w:kinsoku/>
        <w:wordWrap/>
        <w:overflowPunct/>
        <w:topLinePunct w:val="0"/>
        <w:autoSpaceDE/>
        <w:autoSpaceDN/>
        <w:bidi w:val="0"/>
        <w:adjustRightInd/>
        <w:snapToGrid/>
        <w:spacing w:line="240" w:lineRule="auto"/>
        <w:ind w:left="480" w:leftChars="200" w:firstLine="0" w:firstLineChars="0"/>
        <w:jc w:val="left"/>
        <w:textAlignment w:val="auto"/>
        <w:rPr>
          <w:rFonts w:hint="default" w:ascii="宋体" w:hAnsi="宋体" w:eastAsia="宋体"/>
          <w:color w:val="auto"/>
          <w:sz w:val="20"/>
          <w:szCs w:val="20"/>
          <w:highlight w:val="none"/>
          <w:lang w:val="en-US" w:eastAsia="zh-CN"/>
        </w:rPr>
      </w:pPr>
      <w:r>
        <w:rPr>
          <w:rFonts w:hint="eastAsia" w:ascii="宋体" w:hAnsi="宋体"/>
          <w:color w:val="auto"/>
          <w:sz w:val="20"/>
          <w:szCs w:val="20"/>
          <w:highlight w:val="none"/>
          <w:lang w:eastAsia="zh-CN"/>
        </w:rPr>
        <w:t>室内，工况温度：</w:t>
      </w:r>
      <w:r>
        <w:rPr>
          <w:rFonts w:hint="eastAsia" w:ascii="宋体" w:hAnsi="宋体" w:eastAsia="宋体" w:cs="宋体"/>
          <w:color w:val="auto"/>
          <w:sz w:val="20"/>
          <w:szCs w:val="20"/>
          <w:highlight w:val="none"/>
          <w:lang w:val="en-US" w:eastAsia="zh-CN"/>
        </w:rPr>
        <w:t>-10</w:t>
      </w: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US" w:eastAsia="zh-CN"/>
        </w:rPr>
        <w:t>/  +40</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   粉尘、烟气、腐蚀</w:t>
      </w:r>
    </w:p>
    <w:p w14:paraId="18AE47E7">
      <w:pPr>
        <w:spacing w:line="360" w:lineRule="auto"/>
        <w:ind w:firstLine="411" w:firstLineChars="196"/>
        <w:rPr>
          <w:rFonts w:hint="eastAsia" w:ascii="仿宋" w:hAnsi="仿宋" w:eastAsia="仿宋" w:cs="仿宋"/>
          <w:color w:val="auto"/>
          <w:sz w:val="21"/>
          <w:szCs w:val="21"/>
          <w:highlight w:val="none"/>
        </w:rPr>
      </w:pPr>
    </w:p>
    <w:p w14:paraId="18636EC8">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5669F3D1">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489EAA06">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型号：</w:t>
      </w:r>
      <w:r>
        <w:rPr>
          <w:rFonts w:hint="eastAsia" w:ascii="仿宋" w:hAnsi="仿宋" w:eastAsia="仿宋" w:cs="仿宋"/>
          <w:b w:val="0"/>
          <w:bCs w:val="0"/>
          <w:color w:val="auto"/>
          <w:sz w:val="21"/>
          <w:szCs w:val="21"/>
          <w:highlight w:val="none"/>
          <w:lang w:val="en-US" w:eastAsia="zh-CN"/>
        </w:rPr>
        <w:t xml:space="preserve">中间继电器\（Phoenix）2903668-0/AC230V-12A/22-八脚 </w:t>
      </w:r>
      <w:r>
        <w:rPr>
          <w:rFonts w:hint="eastAsia" w:ascii="仿宋" w:hAnsi="仿宋" w:eastAsia="仿宋" w:cs="仿宋"/>
          <w:color w:val="auto"/>
          <w:sz w:val="21"/>
          <w:szCs w:val="21"/>
          <w:highlight w:val="none"/>
          <w:lang w:val="en-US" w:eastAsia="zh-CN"/>
        </w:rPr>
        <w:t xml:space="preserve">               </w:t>
      </w:r>
    </w:p>
    <w:p w14:paraId="1B91F916">
      <w:pPr>
        <w:spacing w:line="360" w:lineRule="auto"/>
        <w:ind w:left="418" w:leftChars="174" w:firstLine="0" w:firstLineChars="0"/>
        <w:rPr>
          <w:rFonts w:hint="eastAsia" w:ascii="仿宋" w:hAnsi="仿宋" w:eastAsia="仿宋" w:cs="仿宋"/>
          <w:color w:val="FF0000"/>
          <w:sz w:val="21"/>
          <w:szCs w:val="21"/>
          <w:highlight w:val="none"/>
        </w:rPr>
      </w:pPr>
      <w:r>
        <w:rPr>
          <w:rFonts w:hint="eastAsia" w:ascii="仿宋" w:hAnsi="仿宋" w:eastAsia="仿宋" w:cs="仿宋"/>
          <w:color w:val="auto"/>
          <w:sz w:val="21"/>
          <w:szCs w:val="21"/>
          <w:highlight w:val="none"/>
          <w:lang w:eastAsia="zh-CN"/>
        </w:rPr>
        <w:t>②</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电压等级</w:t>
      </w:r>
      <w:r>
        <w:rPr>
          <w:rFonts w:hint="eastAsia" w:ascii="仿宋" w:hAnsi="仿宋" w:eastAsia="仿宋" w:cs="仿宋"/>
          <w:color w:val="auto"/>
          <w:sz w:val="21"/>
          <w:szCs w:val="21"/>
          <w:highlight w:val="none"/>
        </w:rPr>
        <w:t>：</w:t>
      </w:r>
      <w:r>
        <w:rPr>
          <w:rFonts w:hint="eastAsia" w:ascii="仿宋" w:hAnsi="仿宋" w:eastAsia="仿宋" w:cs="仿宋"/>
          <w:b w:val="0"/>
          <w:bCs w:val="0"/>
          <w:color w:val="auto"/>
          <w:sz w:val="21"/>
          <w:szCs w:val="21"/>
          <w:highlight w:val="none"/>
          <w:lang w:val="en-US" w:eastAsia="zh-CN"/>
        </w:rPr>
        <w:t>AC230V-12A/22-八脚</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FF0000"/>
          <w:sz w:val="21"/>
          <w:szCs w:val="21"/>
          <w:highlight w:val="none"/>
          <w:lang w:val="en-US" w:eastAsia="zh-CN"/>
        </w:rPr>
        <w:t xml:space="preserve">                          </w:t>
      </w:r>
    </w:p>
    <w:p w14:paraId="2E765F15">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14:paraId="777D2F57">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1.乙方对所有备件的设计、加工质量、完整性、可靠性负责。</w:t>
      </w:r>
    </w:p>
    <w:p w14:paraId="722DE2CC">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2.乙方在中标后十天内将正确的纸版和电子版如下资料提供给甲方。</w:t>
      </w:r>
    </w:p>
    <w:p w14:paraId="045A8996">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3.质保期内出现的装置质量问题，乙方免费更换。</w:t>
      </w:r>
    </w:p>
    <w:p w14:paraId="25D46E48">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4.质保期内出现的问题，乙方应积极派遣技术人员到现场配合解决。</w:t>
      </w:r>
    </w:p>
    <w:p w14:paraId="3F14531D">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5.随机资料：质检报告、出厂合格证、注意事项说明书。</w:t>
      </w:r>
    </w:p>
    <w:p w14:paraId="76F6B7EE">
      <w:pPr>
        <w:spacing w:line="360" w:lineRule="auto"/>
        <w:rPr>
          <w:rFonts w:hint="default" w:ascii="仿宋" w:hAnsi="仿宋" w:eastAsia="仿宋" w:cs="仿宋"/>
          <w:color w:val="auto"/>
          <w:sz w:val="21"/>
          <w:szCs w:val="21"/>
          <w:highlight w:val="none"/>
          <w:lang w:val="en-US" w:eastAsia="zh-CN"/>
        </w:rPr>
      </w:pPr>
    </w:p>
    <w:p w14:paraId="5F065788">
      <w:pPr>
        <w:spacing w:line="360" w:lineRule="auto"/>
        <w:ind w:firstLine="478" w:firstLineChars="228"/>
        <w:jc w:val="center"/>
        <w:rPr>
          <w:rFonts w:hint="eastAsia" w:ascii="仿宋" w:hAnsi="仿宋" w:eastAsia="仿宋" w:cs="仿宋"/>
          <w:color w:val="auto"/>
          <w:sz w:val="21"/>
          <w:szCs w:val="21"/>
          <w:highlight w:val="none"/>
          <w:lang w:eastAsia="zh-CN"/>
        </w:rPr>
      </w:pPr>
    </w:p>
    <w:p w14:paraId="44AAB4D1">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14:paraId="16518BEA">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14:paraId="0A58EF4D">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2"/>
        <w:tblW w:w="4996" w:type="pct"/>
        <w:tblInd w:w="0" w:type="dxa"/>
        <w:tblLayout w:type="autofit"/>
        <w:tblCellMar>
          <w:top w:w="0" w:type="dxa"/>
          <w:left w:w="108" w:type="dxa"/>
          <w:bottom w:w="0" w:type="dxa"/>
          <w:right w:w="108" w:type="dxa"/>
        </w:tblCellMar>
      </w:tblPr>
      <w:tblGrid>
        <w:gridCol w:w="484"/>
        <w:gridCol w:w="1047"/>
        <w:gridCol w:w="3052"/>
        <w:gridCol w:w="1080"/>
        <w:gridCol w:w="1539"/>
        <w:gridCol w:w="1109"/>
        <w:gridCol w:w="1257"/>
      </w:tblGrid>
      <w:tr w14:paraId="07409916">
        <w:tblPrEx>
          <w:tblCellMar>
            <w:top w:w="0" w:type="dxa"/>
            <w:left w:w="108" w:type="dxa"/>
            <w:bottom w:w="0" w:type="dxa"/>
            <w:right w:w="108" w:type="dxa"/>
          </w:tblCellMar>
        </w:tblPrEx>
        <w:trPr>
          <w:trHeight w:val="400" w:hRule="atLeast"/>
        </w:trPr>
        <w:tc>
          <w:tcPr>
            <w:tcW w:w="253" w:type="pct"/>
            <w:vMerge w:val="restart"/>
            <w:tcBorders>
              <w:top w:val="single" w:color="auto" w:sz="4" w:space="0"/>
              <w:left w:val="single" w:color="auto" w:sz="4" w:space="0"/>
              <w:bottom w:val="single" w:color="auto" w:sz="4" w:space="0"/>
              <w:right w:val="single" w:color="auto" w:sz="4" w:space="0"/>
            </w:tcBorders>
            <w:noWrap w:val="0"/>
            <w:vAlign w:val="center"/>
          </w:tcPr>
          <w:p w14:paraId="317B970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547" w:type="pct"/>
            <w:vMerge w:val="restart"/>
            <w:tcBorders>
              <w:top w:val="single" w:color="auto" w:sz="4" w:space="0"/>
              <w:left w:val="single" w:color="auto" w:sz="4" w:space="0"/>
              <w:bottom w:val="single" w:color="auto" w:sz="4" w:space="0"/>
              <w:right w:val="single" w:color="auto" w:sz="4" w:space="0"/>
            </w:tcBorders>
            <w:noWrap w:val="0"/>
            <w:vAlign w:val="center"/>
          </w:tcPr>
          <w:p w14:paraId="07577F6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594" w:type="pct"/>
            <w:vMerge w:val="restart"/>
            <w:tcBorders>
              <w:top w:val="single" w:color="auto" w:sz="4" w:space="0"/>
              <w:left w:val="single" w:color="auto" w:sz="4" w:space="0"/>
              <w:bottom w:val="single" w:color="auto" w:sz="4" w:space="0"/>
              <w:right w:val="single" w:color="auto" w:sz="4" w:space="0"/>
            </w:tcBorders>
            <w:noWrap w:val="0"/>
            <w:vAlign w:val="center"/>
          </w:tcPr>
          <w:p w14:paraId="4B52CBD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564" w:type="pct"/>
            <w:vMerge w:val="restart"/>
            <w:tcBorders>
              <w:top w:val="single" w:color="auto" w:sz="4" w:space="0"/>
              <w:left w:val="single" w:color="auto" w:sz="4" w:space="0"/>
              <w:bottom w:val="single" w:color="auto" w:sz="4" w:space="0"/>
              <w:right w:val="single" w:color="auto" w:sz="4" w:space="0"/>
            </w:tcBorders>
            <w:noWrap w:val="0"/>
            <w:vAlign w:val="center"/>
          </w:tcPr>
          <w:p w14:paraId="1E1B3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04" w:type="pct"/>
            <w:vMerge w:val="restart"/>
            <w:tcBorders>
              <w:top w:val="single" w:color="auto" w:sz="4" w:space="0"/>
              <w:left w:val="single" w:color="auto" w:sz="4" w:space="0"/>
              <w:bottom w:val="single" w:color="auto" w:sz="4" w:space="0"/>
              <w:right w:val="single" w:color="auto" w:sz="4" w:space="0"/>
            </w:tcBorders>
            <w:noWrap w:val="0"/>
            <w:vAlign w:val="center"/>
          </w:tcPr>
          <w:p w14:paraId="2B4169D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235" w:type="pct"/>
            <w:gridSpan w:val="2"/>
            <w:tcBorders>
              <w:top w:val="single" w:color="auto" w:sz="4" w:space="0"/>
              <w:left w:val="nil"/>
              <w:bottom w:val="single" w:color="auto" w:sz="4" w:space="0"/>
              <w:right w:val="single" w:color="auto" w:sz="4" w:space="0"/>
            </w:tcBorders>
            <w:noWrap w:val="0"/>
            <w:vAlign w:val="center"/>
          </w:tcPr>
          <w:p w14:paraId="2D4A5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478D1709">
        <w:tblPrEx>
          <w:tblCellMar>
            <w:top w:w="0" w:type="dxa"/>
            <w:left w:w="108" w:type="dxa"/>
            <w:bottom w:w="0" w:type="dxa"/>
            <w:right w:w="108" w:type="dxa"/>
          </w:tblCellMar>
        </w:tblPrEx>
        <w:trPr>
          <w:trHeight w:val="400" w:hRule="atLeast"/>
        </w:trPr>
        <w:tc>
          <w:tcPr>
            <w:tcW w:w="253" w:type="pct"/>
            <w:vMerge w:val="continue"/>
            <w:tcBorders>
              <w:top w:val="single" w:color="auto" w:sz="4" w:space="0"/>
              <w:left w:val="single" w:color="auto" w:sz="4" w:space="0"/>
              <w:bottom w:val="single" w:color="auto" w:sz="4" w:space="0"/>
              <w:right w:val="single" w:color="auto" w:sz="4" w:space="0"/>
            </w:tcBorders>
            <w:noWrap w:val="0"/>
            <w:vAlign w:val="center"/>
          </w:tcPr>
          <w:p w14:paraId="7E857545">
            <w:pPr>
              <w:widowControl/>
              <w:spacing w:line="360" w:lineRule="auto"/>
              <w:jc w:val="center"/>
              <w:rPr>
                <w:rFonts w:hint="eastAsia" w:ascii="仿宋" w:hAnsi="仿宋" w:eastAsia="仿宋" w:cs="仿宋"/>
                <w:color w:val="auto"/>
                <w:sz w:val="21"/>
                <w:szCs w:val="21"/>
                <w:highlight w:val="none"/>
              </w:rPr>
            </w:pPr>
          </w:p>
        </w:tc>
        <w:tc>
          <w:tcPr>
            <w:tcW w:w="547" w:type="pct"/>
            <w:vMerge w:val="continue"/>
            <w:tcBorders>
              <w:top w:val="single" w:color="auto" w:sz="4" w:space="0"/>
              <w:left w:val="single" w:color="auto" w:sz="4" w:space="0"/>
              <w:bottom w:val="single" w:color="auto" w:sz="4" w:space="0"/>
              <w:right w:val="single" w:color="auto" w:sz="4" w:space="0"/>
            </w:tcBorders>
            <w:noWrap w:val="0"/>
            <w:vAlign w:val="center"/>
          </w:tcPr>
          <w:p w14:paraId="2F75BD16">
            <w:pPr>
              <w:widowControl/>
              <w:spacing w:line="360" w:lineRule="auto"/>
              <w:jc w:val="center"/>
              <w:rPr>
                <w:rFonts w:hint="eastAsia" w:ascii="仿宋" w:hAnsi="仿宋" w:eastAsia="仿宋" w:cs="仿宋"/>
                <w:color w:val="auto"/>
                <w:sz w:val="21"/>
                <w:szCs w:val="21"/>
                <w:highlight w:val="none"/>
              </w:rPr>
            </w:pPr>
          </w:p>
        </w:tc>
        <w:tc>
          <w:tcPr>
            <w:tcW w:w="1594" w:type="pct"/>
            <w:vMerge w:val="continue"/>
            <w:tcBorders>
              <w:top w:val="single" w:color="auto" w:sz="4" w:space="0"/>
              <w:left w:val="single" w:color="auto" w:sz="4" w:space="0"/>
              <w:bottom w:val="single" w:color="auto" w:sz="4" w:space="0"/>
              <w:right w:val="single" w:color="auto" w:sz="4" w:space="0"/>
            </w:tcBorders>
            <w:noWrap w:val="0"/>
            <w:vAlign w:val="center"/>
          </w:tcPr>
          <w:p w14:paraId="32795D3E">
            <w:pPr>
              <w:widowControl/>
              <w:spacing w:line="360" w:lineRule="auto"/>
              <w:jc w:val="center"/>
              <w:rPr>
                <w:rFonts w:hint="eastAsia" w:ascii="仿宋" w:hAnsi="仿宋" w:eastAsia="仿宋" w:cs="仿宋"/>
                <w:color w:val="auto"/>
                <w:sz w:val="21"/>
                <w:szCs w:val="21"/>
                <w:highlight w:val="none"/>
              </w:rPr>
            </w:pPr>
          </w:p>
        </w:tc>
        <w:tc>
          <w:tcPr>
            <w:tcW w:w="564" w:type="pct"/>
            <w:vMerge w:val="continue"/>
            <w:tcBorders>
              <w:top w:val="single" w:color="auto" w:sz="4" w:space="0"/>
              <w:left w:val="single" w:color="auto" w:sz="4" w:space="0"/>
              <w:bottom w:val="single" w:color="auto" w:sz="4" w:space="0"/>
              <w:right w:val="single" w:color="auto" w:sz="4" w:space="0"/>
            </w:tcBorders>
            <w:noWrap w:val="0"/>
            <w:vAlign w:val="center"/>
          </w:tcPr>
          <w:p w14:paraId="78CFBD4F">
            <w:pPr>
              <w:widowControl/>
              <w:spacing w:line="360" w:lineRule="auto"/>
              <w:jc w:val="center"/>
              <w:rPr>
                <w:rFonts w:hint="eastAsia" w:ascii="仿宋" w:hAnsi="仿宋" w:eastAsia="仿宋" w:cs="仿宋"/>
                <w:color w:val="auto"/>
                <w:sz w:val="21"/>
                <w:szCs w:val="21"/>
                <w:highlight w:val="none"/>
              </w:rPr>
            </w:pPr>
          </w:p>
        </w:tc>
        <w:tc>
          <w:tcPr>
            <w:tcW w:w="804" w:type="pct"/>
            <w:vMerge w:val="continue"/>
            <w:tcBorders>
              <w:top w:val="single" w:color="auto" w:sz="4" w:space="0"/>
              <w:left w:val="single" w:color="auto" w:sz="4" w:space="0"/>
              <w:bottom w:val="single" w:color="auto" w:sz="4" w:space="0"/>
              <w:right w:val="single" w:color="auto" w:sz="4" w:space="0"/>
            </w:tcBorders>
            <w:noWrap w:val="0"/>
            <w:vAlign w:val="center"/>
          </w:tcPr>
          <w:p w14:paraId="4ABC77E1">
            <w:pPr>
              <w:widowControl/>
              <w:spacing w:line="360" w:lineRule="auto"/>
              <w:jc w:val="center"/>
              <w:rPr>
                <w:rFonts w:hint="eastAsia" w:ascii="仿宋" w:hAnsi="仿宋" w:eastAsia="仿宋" w:cs="仿宋"/>
                <w:color w:val="auto"/>
                <w:sz w:val="21"/>
                <w:szCs w:val="21"/>
                <w:highlight w:val="none"/>
              </w:rPr>
            </w:pPr>
          </w:p>
        </w:tc>
        <w:tc>
          <w:tcPr>
            <w:tcW w:w="579" w:type="pct"/>
            <w:tcBorders>
              <w:top w:val="nil"/>
              <w:left w:val="nil"/>
              <w:bottom w:val="single" w:color="auto" w:sz="4" w:space="0"/>
              <w:right w:val="single" w:color="auto" w:sz="4" w:space="0"/>
            </w:tcBorders>
            <w:noWrap w:val="0"/>
            <w:vAlign w:val="center"/>
          </w:tcPr>
          <w:p w14:paraId="0A0D96B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655" w:type="pct"/>
            <w:tcBorders>
              <w:top w:val="nil"/>
              <w:left w:val="nil"/>
              <w:bottom w:val="single" w:color="auto" w:sz="4" w:space="0"/>
              <w:right w:val="single" w:color="auto" w:sz="4" w:space="0"/>
            </w:tcBorders>
            <w:noWrap w:val="0"/>
            <w:vAlign w:val="center"/>
          </w:tcPr>
          <w:p w14:paraId="6108D0E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719FEDFB">
        <w:tblPrEx>
          <w:tblCellMar>
            <w:top w:w="0" w:type="dxa"/>
            <w:left w:w="108" w:type="dxa"/>
            <w:bottom w:w="0" w:type="dxa"/>
            <w:right w:w="108" w:type="dxa"/>
          </w:tblCellMar>
        </w:tblPrEx>
        <w:trPr>
          <w:trHeight w:val="573" w:hRule="atLeast"/>
        </w:trPr>
        <w:tc>
          <w:tcPr>
            <w:tcW w:w="253" w:type="pct"/>
            <w:tcBorders>
              <w:top w:val="nil"/>
              <w:left w:val="single" w:color="auto" w:sz="4" w:space="0"/>
              <w:bottom w:val="single" w:color="auto" w:sz="4" w:space="0"/>
              <w:right w:val="single" w:color="auto" w:sz="4" w:space="0"/>
            </w:tcBorders>
            <w:noWrap w:val="0"/>
            <w:vAlign w:val="center"/>
          </w:tcPr>
          <w:p w14:paraId="067D03B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547" w:type="pct"/>
            <w:tcBorders>
              <w:top w:val="nil"/>
              <w:left w:val="nil"/>
              <w:bottom w:val="single" w:color="auto" w:sz="4" w:space="0"/>
              <w:right w:val="single" w:color="auto" w:sz="4" w:space="0"/>
            </w:tcBorders>
            <w:noWrap w:val="0"/>
            <w:vAlign w:val="center"/>
          </w:tcPr>
          <w:p w14:paraId="634E836E">
            <w:pPr>
              <w:widowControl/>
              <w:spacing w:line="360" w:lineRule="auto"/>
              <w:jc w:val="center"/>
              <w:rPr>
                <w:rFonts w:hint="default" w:ascii="仿宋" w:hAnsi="仿宋" w:eastAsia="宋体" w:cs="仿宋"/>
                <w:color w:val="auto"/>
                <w:sz w:val="21"/>
                <w:szCs w:val="21"/>
                <w:highlight w:val="none"/>
                <w:lang w:val="en-US" w:eastAsia="zh-CN"/>
              </w:rPr>
            </w:pPr>
            <w:r>
              <w:rPr>
                <w:rFonts w:hint="eastAsia" w:ascii="宋体" w:hAnsi="宋体" w:eastAsia="宋体" w:cs="宋体"/>
                <w:b w:val="0"/>
                <w:bCs w:val="0"/>
                <w:kern w:val="1"/>
                <w:sz w:val="20"/>
                <w:szCs w:val="20"/>
                <w:highlight w:val="none"/>
              </w:rPr>
              <w:t>70</w:t>
            </w:r>
            <w:r>
              <w:rPr>
                <w:rFonts w:hint="eastAsia" w:ascii="宋体" w:hAnsi="宋体" w:cs="宋体"/>
                <w:b w:val="0"/>
                <w:bCs w:val="0"/>
                <w:kern w:val="1"/>
                <w:sz w:val="20"/>
                <w:szCs w:val="20"/>
                <w:highlight w:val="none"/>
                <w:lang w:val="en-US" w:eastAsia="zh-CN"/>
              </w:rPr>
              <w:t>388374</w:t>
            </w:r>
          </w:p>
        </w:tc>
        <w:tc>
          <w:tcPr>
            <w:tcW w:w="1594" w:type="pct"/>
            <w:tcBorders>
              <w:top w:val="nil"/>
              <w:left w:val="nil"/>
              <w:bottom w:val="single" w:color="auto" w:sz="4" w:space="0"/>
              <w:right w:val="single" w:color="auto" w:sz="4" w:space="0"/>
            </w:tcBorders>
            <w:noWrap w:val="0"/>
            <w:vAlign w:val="center"/>
          </w:tcPr>
          <w:p w14:paraId="261E38B5">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中间继电器\（Phoenix）2903668-0/AC230V-12A/22-八脚</w:t>
            </w:r>
          </w:p>
        </w:tc>
        <w:tc>
          <w:tcPr>
            <w:tcW w:w="564" w:type="pct"/>
            <w:tcBorders>
              <w:top w:val="nil"/>
              <w:left w:val="nil"/>
              <w:bottom w:val="single" w:color="auto" w:sz="4" w:space="0"/>
              <w:right w:val="single" w:color="auto" w:sz="4" w:space="0"/>
            </w:tcBorders>
            <w:noWrap w:val="0"/>
            <w:vAlign w:val="center"/>
          </w:tcPr>
          <w:p w14:paraId="20087D85">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100</w:t>
            </w:r>
          </w:p>
        </w:tc>
        <w:tc>
          <w:tcPr>
            <w:tcW w:w="804" w:type="pct"/>
            <w:tcBorders>
              <w:top w:val="nil"/>
              <w:left w:val="nil"/>
              <w:bottom w:val="single" w:color="auto" w:sz="4" w:space="0"/>
              <w:right w:val="single" w:color="auto" w:sz="4" w:space="0"/>
            </w:tcBorders>
            <w:noWrap w:val="0"/>
            <w:vAlign w:val="center"/>
          </w:tcPr>
          <w:p w14:paraId="55C0FAC4">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579" w:type="pct"/>
            <w:tcBorders>
              <w:top w:val="nil"/>
              <w:left w:val="nil"/>
              <w:bottom w:val="single" w:color="auto" w:sz="4" w:space="0"/>
              <w:right w:val="single" w:color="auto" w:sz="4" w:space="0"/>
            </w:tcBorders>
            <w:noWrap w:val="0"/>
            <w:vAlign w:val="center"/>
          </w:tcPr>
          <w:p w14:paraId="7869D90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55" w:type="pct"/>
            <w:tcBorders>
              <w:top w:val="nil"/>
              <w:left w:val="nil"/>
              <w:bottom w:val="single" w:color="auto" w:sz="4" w:space="0"/>
              <w:right w:val="single" w:color="auto" w:sz="4" w:space="0"/>
            </w:tcBorders>
            <w:noWrap w:val="0"/>
            <w:vAlign w:val="center"/>
          </w:tcPr>
          <w:p w14:paraId="0F11DF18">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47029617">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安装方式必须与现场安装尺寸一致，确保提供的继电器与现场原装继电器能够完全的备用和互换。</w:t>
      </w:r>
    </w:p>
    <w:p w14:paraId="72222C3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4472786D">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bookmarkStart w:id="0" w:name="_GoBack"/>
      <w:bookmarkEnd w:id="0"/>
    </w:p>
    <w:p w14:paraId="078398B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5C92B0B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19C3BB1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A3DDE0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43F86BA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39FA37EA">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6529EF6F">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4614BD91">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25E87F94">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76D99339">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66ABE3B5">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46B47F2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14:paraId="2429D6B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2FF96E03">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0BD33B61">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012071D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103F5127">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30</w:t>
      </w:r>
      <w:r>
        <w:rPr>
          <w:rFonts w:hint="eastAsia" w:ascii="仿宋" w:hAnsi="仿宋" w:eastAsia="仿宋" w:cs="仿宋"/>
          <w:color w:val="auto"/>
          <w:sz w:val="21"/>
          <w:szCs w:val="21"/>
          <w:highlight w:val="none"/>
        </w:rPr>
        <w:t>日</w:t>
      </w:r>
    </w:p>
    <w:p w14:paraId="08F4757E">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65163CA">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7494DCF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40FA310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4B268E74">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25576A41">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041CAA75">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618CEAF5">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2B50E4EE">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26986C8E">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429728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0471B20">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EC799C">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9C3294">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8E0E2">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44285"/>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693DF6"/>
    <w:rsid w:val="0F6949B9"/>
    <w:rsid w:val="0FA7334B"/>
    <w:rsid w:val="11AC1D80"/>
    <w:rsid w:val="11D76808"/>
    <w:rsid w:val="14A213F8"/>
    <w:rsid w:val="15B8653A"/>
    <w:rsid w:val="15C0276A"/>
    <w:rsid w:val="1763479D"/>
    <w:rsid w:val="17B55FF2"/>
    <w:rsid w:val="18A90670"/>
    <w:rsid w:val="190D30A5"/>
    <w:rsid w:val="1A9210DE"/>
    <w:rsid w:val="1C3A718F"/>
    <w:rsid w:val="1D0E6271"/>
    <w:rsid w:val="1E995A6B"/>
    <w:rsid w:val="205F020B"/>
    <w:rsid w:val="262C11AD"/>
    <w:rsid w:val="264D6D44"/>
    <w:rsid w:val="274A49E9"/>
    <w:rsid w:val="29796396"/>
    <w:rsid w:val="2CE76254"/>
    <w:rsid w:val="2D34414E"/>
    <w:rsid w:val="2F5A6DBC"/>
    <w:rsid w:val="30DD6F16"/>
    <w:rsid w:val="316F691B"/>
    <w:rsid w:val="348575AD"/>
    <w:rsid w:val="34F76C36"/>
    <w:rsid w:val="37D130D6"/>
    <w:rsid w:val="382611A3"/>
    <w:rsid w:val="38822413"/>
    <w:rsid w:val="39481A9A"/>
    <w:rsid w:val="3B9823B7"/>
    <w:rsid w:val="3BAC5A4D"/>
    <w:rsid w:val="3E3770BC"/>
    <w:rsid w:val="3EAF1EBE"/>
    <w:rsid w:val="400A0C2B"/>
    <w:rsid w:val="404B0715"/>
    <w:rsid w:val="42650422"/>
    <w:rsid w:val="43AA712C"/>
    <w:rsid w:val="4852620B"/>
    <w:rsid w:val="48AE77F9"/>
    <w:rsid w:val="49916AB0"/>
    <w:rsid w:val="4A1D17C2"/>
    <w:rsid w:val="4C793B3F"/>
    <w:rsid w:val="4D6E11CA"/>
    <w:rsid w:val="4E02772B"/>
    <w:rsid w:val="4F664D9F"/>
    <w:rsid w:val="4F7E26BC"/>
    <w:rsid w:val="508431D1"/>
    <w:rsid w:val="50A373DC"/>
    <w:rsid w:val="52543B4B"/>
    <w:rsid w:val="53193986"/>
    <w:rsid w:val="53B546F8"/>
    <w:rsid w:val="577F2AA1"/>
    <w:rsid w:val="57F435E4"/>
    <w:rsid w:val="581035A9"/>
    <w:rsid w:val="58374651"/>
    <w:rsid w:val="595125A3"/>
    <w:rsid w:val="5A5B7F3B"/>
    <w:rsid w:val="5C3A6E47"/>
    <w:rsid w:val="5EB033F0"/>
    <w:rsid w:val="608B2DCE"/>
    <w:rsid w:val="610502EB"/>
    <w:rsid w:val="61D858B1"/>
    <w:rsid w:val="625E7ACB"/>
    <w:rsid w:val="63B82D47"/>
    <w:rsid w:val="67A63303"/>
    <w:rsid w:val="68343DB1"/>
    <w:rsid w:val="68884588"/>
    <w:rsid w:val="6AB0617B"/>
    <w:rsid w:val="713F7586"/>
    <w:rsid w:val="72D75DC2"/>
    <w:rsid w:val="74753B7F"/>
    <w:rsid w:val="74FB6702"/>
    <w:rsid w:val="75035C01"/>
    <w:rsid w:val="793D18CD"/>
    <w:rsid w:val="7A073341"/>
    <w:rsid w:val="7B7A6D7B"/>
    <w:rsid w:val="7CEA75F4"/>
    <w:rsid w:val="7D20578D"/>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1544</Words>
  <Characters>1799</Characters>
  <Lines>16</Lines>
  <Paragraphs>4</Paragraphs>
  <TotalTime>1</TotalTime>
  <ScaleCrop>false</ScaleCrop>
  <LinksUpToDate>false</LinksUpToDate>
  <CharactersWithSpaces>1983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高保义</cp:lastModifiedBy>
  <cp:lastPrinted>2010-06-13T03:59:00Z</cp:lastPrinted>
  <dcterms:modified xsi:type="dcterms:W3CDTF">2026-02-02T09:46:29Z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842F580E3FF64054A307D88C282C7332_13</vt:lpwstr>
  </property>
  <property fmtid="{D5CDD505-2E9C-101B-9397-08002B2CF9AE}" pid="4" name="KSOTemplateDocerSaveRecord">
    <vt:lpwstr>eyJoZGlkIjoiZWVkMTQ2MWVjYjcyMWI3M2MwMWM1NTE4ZTllYjlkOWMiLCJ1c2VySWQiOiIxNjUwMTk0NTEzIn0=</vt:lpwstr>
  </property>
</Properties>
</file>