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728A9">
      <w:pPr>
        <w:rPr>
          <w:rFonts w:ascii="华文仿宋" w:hAnsi="华文仿宋" w:eastAsia="华文仿宋" w:cs="华文仿宋"/>
          <w:color w:val="auto"/>
        </w:rPr>
      </w:pPr>
    </w:p>
    <w:p w14:paraId="66E3C91A">
      <w:pPr>
        <w:rPr>
          <w:rFonts w:ascii="华文仿宋" w:hAnsi="华文仿宋" w:eastAsia="华文仿宋" w:cs="华文仿宋"/>
          <w:color w:val="auto"/>
        </w:rPr>
      </w:pPr>
    </w:p>
    <w:p w14:paraId="37304605">
      <w:pPr>
        <w:rPr>
          <w:rFonts w:ascii="华文仿宋" w:hAnsi="华文仿宋" w:eastAsia="华文仿宋" w:cs="华文仿宋"/>
          <w:color w:val="auto"/>
        </w:rPr>
      </w:pPr>
    </w:p>
    <w:p w14:paraId="4771EE53">
      <w:pPr>
        <w:rPr>
          <w:rFonts w:ascii="华文仿宋" w:hAnsi="华文仿宋" w:eastAsia="华文仿宋" w:cs="华文仿宋"/>
          <w:color w:val="auto"/>
        </w:rPr>
      </w:pPr>
    </w:p>
    <w:p w14:paraId="752F3858">
      <w:pPr>
        <w:rPr>
          <w:rFonts w:ascii="华文仿宋" w:hAnsi="华文仿宋" w:eastAsia="华文仿宋" w:cs="华文仿宋"/>
          <w:color w:val="auto"/>
        </w:rPr>
      </w:pPr>
    </w:p>
    <w:p w14:paraId="52400F60">
      <w:pPr>
        <w:rPr>
          <w:rFonts w:ascii="华文仿宋" w:hAnsi="华文仿宋" w:eastAsia="华文仿宋" w:cs="华文仿宋"/>
          <w:color w:val="auto"/>
        </w:rPr>
      </w:pPr>
    </w:p>
    <w:p w14:paraId="6FBDD241">
      <w:pPr>
        <w:rPr>
          <w:rFonts w:ascii="华文仿宋" w:hAnsi="华文仿宋" w:eastAsia="华文仿宋" w:cs="华文仿宋"/>
          <w:color w:val="auto"/>
        </w:rPr>
      </w:pPr>
    </w:p>
    <w:p w14:paraId="0F5A7B6D">
      <w:pPr>
        <w:rPr>
          <w:rFonts w:ascii="华文仿宋" w:hAnsi="华文仿宋" w:eastAsia="华文仿宋" w:cs="华文仿宋"/>
          <w:color w:val="auto"/>
        </w:rPr>
      </w:pPr>
    </w:p>
    <w:p w14:paraId="29D73C5A">
      <w:pPr>
        <w:rPr>
          <w:rFonts w:ascii="华文仿宋" w:hAnsi="华文仿宋" w:eastAsia="华文仿宋" w:cs="华文仿宋"/>
          <w:color w:val="auto"/>
        </w:rPr>
      </w:pPr>
    </w:p>
    <w:p w14:paraId="5359AC93">
      <w:pPr>
        <w:rPr>
          <w:rFonts w:ascii="华文仿宋" w:hAnsi="华文仿宋" w:eastAsia="华文仿宋" w:cs="华文仿宋"/>
          <w:color w:val="auto"/>
        </w:rPr>
      </w:pPr>
    </w:p>
    <w:p w14:paraId="202CB3EF">
      <w:pPr>
        <w:rPr>
          <w:rFonts w:ascii="华文仿宋" w:hAnsi="华文仿宋" w:eastAsia="华文仿宋" w:cs="华文仿宋"/>
          <w:color w:val="auto"/>
        </w:rPr>
      </w:pPr>
    </w:p>
    <w:p w14:paraId="0415F49D">
      <w:pPr>
        <w:jc w:val="center"/>
        <w:rPr>
          <w:rFonts w:hint="default" w:ascii="黑体" w:hAnsi="黑体" w:eastAsia="黑体" w:cs="黑体"/>
          <w:color w:val="auto"/>
          <w:sz w:val="44"/>
          <w:szCs w:val="44"/>
          <w:lang w:val="en-US" w:eastAsia="zh-CN"/>
        </w:rPr>
      </w:pPr>
      <w:r>
        <w:rPr>
          <w:rFonts w:hint="eastAsia" w:ascii="黑体" w:hAnsi="黑体" w:eastAsia="黑体" w:cs="黑体"/>
          <w:color w:val="auto"/>
          <w:sz w:val="44"/>
          <w:szCs w:val="44"/>
        </w:rPr>
        <w:t>甘肃</w:t>
      </w:r>
      <w:r>
        <w:rPr>
          <w:rFonts w:hint="eastAsia" w:ascii="黑体" w:hAnsi="黑体" w:eastAsia="黑体" w:cs="黑体"/>
          <w:color w:val="auto"/>
          <w:sz w:val="44"/>
          <w:szCs w:val="44"/>
          <w:lang w:val="en-US" w:eastAsia="zh-CN"/>
        </w:rPr>
        <w:t>东兴嘉宇新材料</w:t>
      </w:r>
    </w:p>
    <w:p w14:paraId="54747589">
      <w:pPr>
        <w:jc w:val="center"/>
        <w:rPr>
          <w:rFonts w:ascii="黑体" w:hAnsi="黑体" w:eastAsia="黑体" w:cs="黑体"/>
          <w:color w:val="auto"/>
          <w:sz w:val="44"/>
          <w:szCs w:val="44"/>
        </w:rPr>
      </w:pPr>
      <w:r>
        <w:rPr>
          <w:rFonts w:hint="eastAsia" w:ascii="黑体" w:hAnsi="黑体" w:eastAsia="黑体" w:cs="黑体"/>
          <w:color w:val="auto"/>
          <w:sz w:val="44"/>
          <w:szCs w:val="44"/>
          <w:lang w:val="en-US" w:eastAsia="zh-CN"/>
        </w:rPr>
        <w:t>刚玉蓄热球</w:t>
      </w:r>
      <w:r>
        <w:rPr>
          <w:rFonts w:hint="eastAsia" w:ascii="黑体" w:hAnsi="黑体" w:eastAsia="黑体" w:cs="黑体"/>
          <w:color w:val="auto"/>
          <w:sz w:val="44"/>
          <w:szCs w:val="44"/>
        </w:rPr>
        <w:t>技术协议</w:t>
      </w:r>
    </w:p>
    <w:p w14:paraId="0D68A83B">
      <w:pPr>
        <w:rPr>
          <w:rFonts w:ascii="华文仿宋" w:hAnsi="华文仿宋" w:eastAsia="华文仿宋" w:cs="华文仿宋"/>
          <w:color w:val="auto"/>
        </w:rPr>
      </w:pPr>
    </w:p>
    <w:p w14:paraId="102DD4F2">
      <w:pPr>
        <w:rPr>
          <w:rFonts w:ascii="华文仿宋" w:hAnsi="华文仿宋" w:eastAsia="华文仿宋" w:cs="华文仿宋"/>
          <w:color w:val="auto"/>
        </w:rPr>
      </w:pPr>
    </w:p>
    <w:p w14:paraId="056A8556">
      <w:pPr>
        <w:rPr>
          <w:rFonts w:ascii="华文仿宋" w:hAnsi="华文仿宋" w:eastAsia="华文仿宋" w:cs="华文仿宋"/>
          <w:color w:val="auto"/>
        </w:rPr>
      </w:pPr>
    </w:p>
    <w:p w14:paraId="3F5B3C6A">
      <w:pPr>
        <w:rPr>
          <w:rFonts w:ascii="华文仿宋" w:hAnsi="华文仿宋" w:eastAsia="华文仿宋" w:cs="华文仿宋"/>
          <w:color w:val="auto"/>
        </w:rPr>
      </w:pPr>
    </w:p>
    <w:p w14:paraId="3C5CC533">
      <w:pPr>
        <w:rPr>
          <w:rFonts w:ascii="华文仿宋" w:hAnsi="华文仿宋" w:eastAsia="华文仿宋" w:cs="华文仿宋"/>
          <w:color w:val="auto"/>
        </w:rPr>
      </w:pPr>
    </w:p>
    <w:p w14:paraId="35F3DB8D">
      <w:pPr>
        <w:rPr>
          <w:rFonts w:ascii="华文仿宋" w:hAnsi="华文仿宋" w:eastAsia="华文仿宋" w:cs="华文仿宋"/>
          <w:color w:val="auto"/>
        </w:rPr>
      </w:pPr>
    </w:p>
    <w:p w14:paraId="0EAE549C">
      <w:pPr>
        <w:rPr>
          <w:rFonts w:ascii="华文仿宋" w:hAnsi="华文仿宋" w:eastAsia="华文仿宋" w:cs="华文仿宋"/>
          <w:color w:val="auto"/>
        </w:rPr>
      </w:pPr>
    </w:p>
    <w:p w14:paraId="3D778477">
      <w:pPr>
        <w:rPr>
          <w:rFonts w:ascii="华文仿宋" w:hAnsi="华文仿宋" w:eastAsia="华文仿宋" w:cs="华文仿宋"/>
          <w:color w:val="auto"/>
        </w:rPr>
      </w:pPr>
    </w:p>
    <w:p w14:paraId="4CC944B1">
      <w:pPr>
        <w:rPr>
          <w:rFonts w:ascii="华文仿宋" w:hAnsi="华文仿宋" w:eastAsia="华文仿宋" w:cs="华文仿宋"/>
          <w:color w:val="auto"/>
        </w:rPr>
      </w:pPr>
    </w:p>
    <w:p w14:paraId="7124AAFB">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技术协议编号：</w:t>
      </w:r>
    </w:p>
    <w:p w14:paraId="4CA67A7F">
      <w:pPr>
        <w:rPr>
          <w:rFonts w:hint="eastAsia" w:ascii="仿宋_GB2312" w:hAnsi="仿宋_GB2312" w:eastAsia="仿宋_GB2312" w:cs="仿宋_GB2312"/>
          <w:color w:val="auto"/>
          <w:sz w:val="32"/>
          <w:szCs w:val="32"/>
        </w:rPr>
      </w:pPr>
    </w:p>
    <w:p w14:paraId="53E0C9DF">
      <w:pPr>
        <w:rPr>
          <w:rFonts w:hint="eastAsia" w:ascii="仿宋_GB2312" w:hAnsi="仿宋_GB2312" w:eastAsia="仿宋_GB2312" w:cs="仿宋_GB2312"/>
          <w:color w:val="auto"/>
          <w:sz w:val="32"/>
          <w:szCs w:val="32"/>
        </w:rPr>
      </w:pPr>
    </w:p>
    <w:p w14:paraId="68570F83">
      <w:pPr>
        <w:rPr>
          <w:rFonts w:hint="eastAsia" w:ascii="仿宋_GB2312" w:hAnsi="仿宋_GB2312" w:eastAsia="仿宋_GB2312" w:cs="仿宋_GB2312"/>
          <w:color w:val="auto"/>
          <w:sz w:val="32"/>
          <w:szCs w:val="32"/>
        </w:rPr>
      </w:pPr>
    </w:p>
    <w:p w14:paraId="0670D1D1">
      <w:pPr>
        <w:rPr>
          <w:rFonts w:hint="eastAsia" w:ascii="仿宋_GB2312" w:hAnsi="仿宋_GB2312" w:eastAsia="仿宋_GB2312" w:cs="仿宋_GB2312"/>
          <w:color w:val="auto"/>
          <w:sz w:val="32"/>
          <w:szCs w:val="32"/>
        </w:rPr>
      </w:pPr>
    </w:p>
    <w:p w14:paraId="1D949CFC">
      <w:pPr>
        <w:rPr>
          <w:rFonts w:hint="eastAsia" w:ascii="仿宋_GB2312" w:hAnsi="仿宋_GB2312" w:eastAsia="仿宋_GB2312" w:cs="仿宋_GB2312"/>
          <w:color w:val="auto"/>
          <w:sz w:val="32"/>
          <w:szCs w:val="32"/>
        </w:rPr>
      </w:pPr>
    </w:p>
    <w:p w14:paraId="1DBDBFE0">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甲方：甘肃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w:t>
      </w:r>
    </w:p>
    <w:p w14:paraId="379166F7">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乙方：</w:t>
      </w:r>
    </w:p>
    <w:p w14:paraId="31C73FDA">
      <w:pPr>
        <w:rPr>
          <w:rFonts w:ascii="华文仿宋" w:hAnsi="华文仿宋" w:eastAsia="华文仿宋" w:cs="华文仿宋"/>
          <w:color w:val="auto"/>
        </w:rPr>
      </w:pPr>
    </w:p>
    <w:p w14:paraId="1C009746">
      <w:pPr>
        <w:rPr>
          <w:rFonts w:ascii="华文仿宋" w:hAnsi="华文仿宋" w:eastAsia="华文仿宋" w:cs="华文仿宋"/>
          <w:color w:val="auto"/>
        </w:rPr>
      </w:pPr>
    </w:p>
    <w:p w14:paraId="41ED20D7">
      <w:pPr>
        <w:rPr>
          <w:rFonts w:ascii="华文仿宋" w:hAnsi="华文仿宋" w:eastAsia="华文仿宋" w:cs="华文仿宋"/>
          <w:color w:val="auto"/>
        </w:rPr>
      </w:pPr>
    </w:p>
    <w:p w14:paraId="3B568CFF">
      <w:pPr>
        <w:rPr>
          <w:rFonts w:ascii="华文仿宋" w:hAnsi="华文仿宋" w:eastAsia="华文仿宋" w:cs="华文仿宋"/>
          <w:color w:val="auto"/>
        </w:rPr>
      </w:pPr>
    </w:p>
    <w:p w14:paraId="539C8BCD">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公司（以下简称甲方）委托</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（以下简称乙方），进行甘肃</w:t>
      </w:r>
      <w:r>
        <w:rPr>
          <w:rFonts w:hint="eastAsia" w:ascii="仿宋_GB2312" w:hAnsi="仿宋_GB2312" w:eastAsia="仿宋_GB2312" w:cs="仿宋_GB2312"/>
          <w:color w:val="auto"/>
          <w:sz w:val="32"/>
          <w:szCs w:val="32"/>
          <w:lang w:val="en-US" w:eastAsia="zh-CN"/>
        </w:rPr>
        <w:t>东兴嘉宇新材料蓄热球</w:t>
      </w:r>
      <w:r>
        <w:rPr>
          <w:rFonts w:hint="eastAsia" w:ascii="仿宋_GB2312" w:hAnsi="仿宋_GB2312" w:eastAsia="仿宋_GB2312" w:cs="仿宋_GB2312"/>
          <w:color w:val="auto"/>
          <w:sz w:val="32"/>
          <w:szCs w:val="32"/>
        </w:rPr>
        <w:t>的制造、</w:t>
      </w:r>
      <w:r>
        <w:rPr>
          <w:rFonts w:hint="eastAsia" w:ascii="仿宋_GB2312" w:hAnsi="仿宋_GB2312" w:eastAsia="仿宋_GB2312" w:cs="仿宋_GB2312"/>
          <w:color w:val="auto"/>
          <w:sz w:val="32"/>
          <w:szCs w:val="32"/>
          <w:lang w:val="en-US" w:eastAsia="zh-CN"/>
        </w:rPr>
        <w:t>运输</w:t>
      </w:r>
      <w:r>
        <w:rPr>
          <w:rFonts w:hint="eastAsia" w:ascii="仿宋_GB2312" w:hAnsi="仿宋_GB2312" w:eastAsia="仿宋_GB2312" w:cs="仿宋_GB2312"/>
          <w:color w:val="auto"/>
          <w:sz w:val="32"/>
          <w:szCs w:val="32"/>
        </w:rPr>
        <w:t>，经甲乙双方协商，达成如下技术协议：</w:t>
      </w:r>
    </w:p>
    <w:p w14:paraId="5DAD9819">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一、设备用途及主要技术</w:t>
      </w:r>
      <w:r>
        <w:rPr>
          <w:rFonts w:hint="eastAsia" w:ascii="仿宋_GB2312" w:hAnsi="仿宋_GB2312" w:eastAsia="仿宋_GB2312" w:cs="仿宋_GB2312"/>
          <w:b/>
          <w:bCs/>
          <w:color w:val="auto"/>
          <w:sz w:val="32"/>
          <w:szCs w:val="32"/>
          <w:lang w:val="en-US" w:eastAsia="zh-CN"/>
        </w:rPr>
        <w:t>要求</w:t>
      </w:r>
    </w:p>
    <w:p w14:paraId="653F30E3">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1．用于铸轧25t燃气炉升温系统蓄热球舱室内使用，</w:t>
      </w:r>
    </w:p>
    <w:p w14:paraId="506ABED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2.要求蓄热球选用直径30mm（球径尺寸公差       ≤±1.5，气孔率≤2%，热震：1100℃水冷≥30次）</w:t>
      </w:r>
    </w:p>
    <w:p w14:paraId="7C0F9939">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3.要求刚玉蓄热球内三氧化二铝含量＞97%。</w:t>
      </w:r>
    </w:p>
    <w:p w14:paraId="01C5E86F">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4.要求有良好的抗酸性、渣腐蚀性。表面光滑无杂物。.</w:t>
      </w:r>
    </w:p>
    <w:p w14:paraId="66E98756">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5.要求蓄热球密度＞3.4g/cm。</w:t>
      </w:r>
    </w:p>
    <w:p w14:paraId="5062C18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6.要求耐高温＞1200℃。</w:t>
      </w:r>
    </w:p>
    <w:p w14:paraId="7D4B1AA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7.吸水率＜2%</w:t>
      </w:r>
    </w:p>
    <w:p w14:paraId="5ADE407F">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8.莫氏硬度＞9级</w:t>
      </w:r>
    </w:p>
    <w:p w14:paraId="2886F904">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9.抗压强度＞9.2KN/颗</w:t>
      </w:r>
    </w:p>
    <w:p w14:paraId="0B544C48">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10.正常使用中按每月清灰一次，每次蓄热球损耗2&lt;%（6个月内）超出部分供方免费补偿。</w:t>
      </w:r>
    </w:p>
    <w:p w14:paraId="209EAECC">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二、工艺条件</w:t>
      </w:r>
    </w:p>
    <w:p w14:paraId="0B9E0562">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1.使用材质：刚玉</w:t>
      </w:r>
    </w:p>
    <w:p w14:paraId="06784E8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2.使用参数：高强度、易清洗、耐高温、抗腐蚀、良好的热震稳定性、密度高、热阻小、强度高、蓄放热量大、良好导热性能。</w:t>
      </w:r>
    </w:p>
    <w:p w14:paraId="12AED161">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三、加工</w:t>
      </w:r>
      <w:r>
        <w:rPr>
          <w:rFonts w:hint="eastAsia" w:ascii="仿宋_GB2312" w:hAnsi="仿宋_GB2312" w:eastAsia="仿宋_GB2312" w:cs="仿宋_GB2312"/>
          <w:b/>
          <w:bCs/>
          <w:sz w:val="32"/>
          <w:szCs w:val="32"/>
        </w:rPr>
        <w:t>要求</w:t>
      </w:r>
    </w:p>
    <w:p w14:paraId="2439AB4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乙方须严格按甲方提供的图样及相关技术文件先转化答复甲方并同时提供</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工艺及检验表的样式，由甲方审核后书面答复，乙方严格按答复的要求实施。实施中若再发现问题，应书面提出，经甲方认可书面答复后再继续加工。</w:t>
      </w:r>
    </w:p>
    <w:p w14:paraId="016909F6">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乙方需提供下列检验文件</w:t>
      </w:r>
    </w:p>
    <w:p w14:paraId="689A3CE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送货清单。</w:t>
      </w:r>
    </w:p>
    <w:p w14:paraId="1F2FB73B">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称重记录。</w:t>
      </w:r>
    </w:p>
    <w:p w14:paraId="50374357">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检验表。</w:t>
      </w:r>
    </w:p>
    <w:p w14:paraId="51F7F23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产品合格证。</w:t>
      </w:r>
    </w:p>
    <w:p w14:paraId="6CE7883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5.耐磨度</w:t>
      </w:r>
      <w:r>
        <w:rPr>
          <w:rFonts w:hint="eastAsia" w:ascii="仿宋_GB2312" w:hAnsi="仿宋_GB2312" w:eastAsia="仿宋_GB2312" w:cs="仿宋_GB2312"/>
          <w:sz w:val="32"/>
          <w:szCs w:val="32"/>
        </w:rPr>
        <w:t>检查报告。</w:t>
      </w:r>
    </w:p>
    <w:p w14:paraId="08EC2B0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6.耐冲击</w:t>
      </w:r>
      <w:r>
        <w:rPr>
          <w:rFonts w:hint="eastAsia" w:ascii="仿宋_GB2312" w:hAnsi="仿宋_GB2312" w:eastAsia="仿宋_GB2312" w:cs="仿宋_GB2312"/>
          <w:sz w:val="32"/>
          <w:szCs w:val="32"/>
        </w:rPr>
        <w:t>性能报告。</w:t>
      </w:r>
    </w:p>
    <w:p w14:paraId="33EA019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竣工图样及甲乙双方往来的相关书证。</w:t>
      </w:r>
    </w:p>
    <w:p w14:paraId="19C997E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其它</w:t>
      </w:r>
    </w:p>
    <w:p w14:paraId="68101CC2">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 验收</w:t>
      </w:r>
    </w:p>
    <w:p w14:paraId="5D1AB9D6">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甲方在乙方提供了完整的产品检验文件后，对产品进行验收。</w:t>
      </w:r>
    </w:p>
    <w:p w14:paraId="61287FFD">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在产品</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过程中，甲方有权随时进行质量检查与质量监督，届时乙方应提供方便。乙方对甲方在检查中提出的产品技术质量问题必须及时整改。甲方的监督及检查只表示对乙方工作的认可，最终质量仍由乙方负责。</w:t>
      </w:r>
    </w:p>
    <w:p w14:paraId="0E06FC75">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 发货标识和运输</w:t>
      </w:r>
    </w:p>
    <w:p w14:paraId="2E64E55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发货时必须贴上唛头:</w:t>
      </w:r>
    </w:p>
    <w:p w14:paraId="43BA7BAD">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发货单位；发货日期；货物名称、数量、毛重、净重；收货单位（包括到站名）；以及其它特殊标识，如：防雨、防碎、起吊位置等。</w:t>
      </w:r>
    </w:p>
    <w:p w14:paraId="262E2338">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运输时须注意采用工位器具，妥善包装、固定，防止表面碰伤和变形，由乙方提出包装方案，经甲方会审同意后实施。</w:t>
      </w:r>
    </w:p>
    <w:p w14:paraId="319A565C">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 承诺</w:t>
      </w:r>
    </w:p>
    <w:p w14:paraId="3A37815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在使用过程中发现有不符合质量标准的</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 xml:space="preserve">缺陷，由乙方负责召回，并在3~5天内解决，特殊的按甲乙双方商定的日期解决，由乙方负责退回并补偿有关损失。 </w:t>
      </w:r>
    </w:p>
    <w:p w14:paraId="3792514D">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八</w:t>
      </w:r>
      <w:r>
        <w:rPr>
          <w:rFonts w:hint="eastAsia" w:ascii="仿宋_GB2312" w:hAnsi="仿宋_GB2312" w:eastAsia="仿宋_GB2312" w:cs="仿宋_GB2312"/>
          <w:b/>
          <w:sz w:val="32"/>
          <w:szCs w:val="32"/>
        </w:rPr>
        <w:t>、双方责任</w:t>
      </w:r>
    </w:p>
    <w:p w14:paraId="67B1A55E">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1.甲方责任</w:t>
      </w:r>
    </w:p>
    <w:p w14:paraId="3E2318EF">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1）负责提供产品外形</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、技术参数与要求；</w:t>
      </w:r>
    </w:p>
    <w:p w14:paraId="2DA4A8F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2）负责提供相关技术文件供乙方设计、生产参考；</w:t>
      </w:r>
    </w:p>
    <w:p w14:paraId="0C0B896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3）负责入厂对产品的抽检或逐件检查，且对产品总成进行检验。</w:t>
      </w:r>
    </w:p>
    <w:p w14:paraId="166B6BD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4）负责配合乙方人员确认有关技术参数。</w:t>
      </w:r>
    </w:p>
    <w:p w14:paraId="436D47FF">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2．乙方责任</w:t>
      </w:r>
    </w:p>
    <w:p w14:paraId="0B26017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1）必须严格按照甲方提供的</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及相关技术要求进行设计与制造；</w:t>
      </w:r>
    </w:p>
    <w:p w14:paraId="7B701FB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2）乙方所提供产品必须完全满足甲方尺寸及技术性能要求；</w:t>
      </w:r>
    </w:p>
    <w:p w14:paraId="4DB46170">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3）在设计制造中应接受甲方的入厂监督和验收；</w:t>
      </w:r>
    </w:p>
    <w:p w14:paraId="0AEE184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4）在设计制造中乙方的制造</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必须经甲乙双方确认方可实施。</w:t>
      </w:r>
    </w:p>
    <w:p w14:paraId="269D8BAE">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九</w:t>
      </w:r>
      <w:r>
        <w:rPr>
          <w:rFonts w:hint="eastAsia" w:ascii="仿宋_GB2312" w:hAnsi="仿宋_GB2312" w:eastAsia="仿宋_GB2312" w:cs="仿宋_GB2312"/>
          <w:b/>
          <w:sz w:val="32"/>
          <w:szCs w:val="32"/>
        </w:rPr>
        <w:t>、资格审查与质保体系</w:t>
      </w:r>
    </w:p>
    <w:p w14:paraId="19EB2554">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 资格审查要求</w:t>
      </w:r>
    </w:p>
    <w:p w14:paraId="4CF43AF3">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的技术资格要求：甲方要求制造厂主要人员必须具备的资格：拥有执行本合同项目设备管理、设计、试验、制造、工艺、质量控制与保证。对现场安装、调试和验收进行技术指导与服务的专业技术人员，必须具有参与同类设备制造、安装调试的经验或资质证书，或曾经担任过同类设备设计、试验、制造工艺、质量控制、安装、调试和验收的人员。</w:t>
      </w:r>
    </w:p>
    <w:p w14:paraId="09AF504B">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 质保体系要求</w:t>
      </w:r>
    </w:p>
    <w:p w14:paraId="52B93CF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应对设备、备件在设计、图纸转化、材料与外购件采购、工艺外委、设备制造、检验、装配调试、包装出厂等全过程的所有阶段，按照ISO9000的标准采取质量保证和质量控制措施，确保设计、材料、加工、尺寸、质量、包装等的正确性和准确性。</w:t>
      </w:r>
    </w:p>
    <w:p w14:paraId="08D284E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乙方保证按照双方签字确认的图纸或规格型号加工制作，对第四、五条规定的符合性负责。</w:t>
      </w:r>
    </w:p>
    <w:p w14:paraId="398F00FF">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十</w:t>
      </w:r>
      <w:r>
        <w:rPr>
          <w:rFonts w:hint="eastAsia" w:ascii="仿宋_GB2312" w:hAnsi="仿宋_GB2312" w:eastAsia="仿宋_GB2312" w:cs="仿宋_GB2312"/>
          <w:b/>
          <w:sz w:val="32"/>
          <w:szCs w:val="32"/>
        </w:rPr>
        <w:t>、技术资料的交付</w:t>
      </w:r>
    </w:p>
    <w:p w14:paraId="3AFBBD2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1.甲方向乙方提供产品外形图纸一套，供设计参考。</w:t>
      </w:r>
    </w:p>
    <w:p w14:paraId="55B77321">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2.乙方向甲方提供的技术与商务文件资料如下：</w:t>
      </w:r>
    </w:p>
    <w:p w14:paraId="4F1FA892">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乙方供货时应提供材料成份报告、检测报告、零部件总装前检验记录、整机检验测试报告、产品合格证书。同时提交产品的出厂试验项目及报告、所有配套元件的合格证、装箱清单以及产品总成图等资料。</w:t>
      </w:r>
    </w:p>
    <w:p w14:paraId="5867337A">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、涂漆、包装、运输</w:t>
      </w:r>
    </w:p>
    <w:p w14:paraId="5D224AA8">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包装应符合国际、国内运输条件要求，并按设备特点，按要求分别加上防潮、防霉、防锈、防腐蚀、防尘等保护措施，以保证货物在没有任何损坏和腐蚀的情况下安全运抵安装现场。产品包装前，乙方负责进行检查清理，不留异物，并保证零部件齐全。</w:t>
      </w:r>
    </w:p>
    <w:p w14:paraId="3FA28404">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2.乙方对箱内的各散装部件在装配图中的部件号、零件号标记清楚，乙方在每件包装箱的两个侧面上，用不褪色的油漆以明显易见的中文字样印刷以下标记：</w:t>
      </w:r>
    </w:p>
    <w:p w14:paraId="67CDBBC0">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a、合同号b、目的站c、收货单位名称d、设备名称、编号</w:t>
      </w:r>
    </w:p>
    <w:p w14:paraId="65794EA1">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e、箱号</w:t>
      </w:r>
    </w:p>
    <w:p w14:paraId="60A77797">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3.对包装的要求：a、包装箱应具备足够的强度和韧性，载荷应分布均匀b、包装箱板材必须全新</w:t>
      </w:r>
    </w:p>
    <w:p w14:paraId="644A7C3E">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十二</w:t>
      </w:r>
      <w:r>
        <w:rPr>
          <w:rFonts w:hint="eastAsia" w:ascii="仿宋_GB2312" w:hAnsi="仿宋_GB2312" w:eastAsia="仿宋_GB2312" w:cs="仿宋_GB2312"/>
          <w:b/>
          <w:bCs/>
          <w:color w:val="auto"/>
          <w:sz w:val="32"/>
          <w:szCs w:val="32"/>
        </w:rPr>
        <w:t>、其它</w:t>
      </w:r>
    </w:p>
    <w:p w14:paraId="05752FB3">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本技术协议为附生效条件的合同，以主合同的生效为前提条件。本协议一式叁份，甲方持壹份，乙方持壹份、招标中心留档一份； 作为合同的附件，与合同具有同等法律效力，双方签字生效。</w:t>
      </w:r>
    </w:p>
    <w:p w14:paraId="7C8C9246">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6EE9DFC4">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5B0DE57D">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 方： 甘肃</w:t>
      </w:r>
      <w:r>
        <w:rPr>
          <w:rFonts w:hint="eastAsia" w:ascii="仿宋_GB2312" w:hAnsi="仿宋_GB2312" w:eastAsia="仿宋_GB2312" w:cs="仿宋_GB2312"/>
          <w:color w:val="auto"/>
          <w:sz w:val="32"/>
          <w:szCs w:val="32"/>
          <w:lang w:val="en-US" w:eastAsia="zh-CN"/>
        </w:rPr>
        <w:t>东兴嘉宇新材料</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bookmarkStart w:id="0" w:name="_GoBack"/>
      <w:bookmarkEnd w:id="0"/>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乙 方：</w:t>
      </w:r>
    </w:p>
    <w:p w14:paraId="775319DF">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有限</w:t>
      </w:r>
      <w:r>
        <w:rPr>
          <w:rFonts w:hint="eastAsia" w:ascii="仿宋_GB2312" w:hAnsi="仿宋_GB2312" w:eastAsia="仿宋_GB2312" w:cs="仿宋_GB2312"/>
          <w:color w:val="auto"/>
          <w:sz w:val="32"/>
          <w:szCs w:val="32"/>
        </w:rPr>
        <w:t>公司</w:t>
      </w:r>
    </w:p>
    <w:p w14:paraId="1553A411">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代表人：                         代表人：</w:t>
      </w:r>
    </w:p>
    <w:p w14:paraId="3C2E3B93">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1B161173">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日期：                           日期：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lowerLetter"/>
      <w:lvlText w:val="%1)"/>
      <w:lvlJc w:val="left"/>
      <w:pPr>
        <w:tabs>
          <w:tab w:val="left" w:pos="900"/>
        </w:tabs>
        <w:ind w:left="900" w:hanging="420"/>
      </w:pPr>
    </w:lvl>
    <w:lvl w:ilvl="1" w:tentative="0">
      <w:start w:val="1"/>
      <w:numFmt w:val="lowerLetter"/>
      <w:pStyle w:val="2"/>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c2MmRlZThhYzIzODhhMmNlNzVmZTFhMWU1MmI1NWYifQ=="/>
  </w:docVars>
  <w:rsids>
    <w:rsidRoot w:val="009E4595"/>
    <w:rsid w:val="00010BEF"/>
    <w:rsid w:val="0011621B"/>
    <w:rsid w:val="00163E5D"/>
    <w:rsid w:val="009E4595"/>
    <w:rsid w:val="00D01AE8"/>
    <w:rsid w:val="033648A9"/>
    <w:rsid w:val="05937314"/>
    <w:rsid w:val="06D77B50"/>
    <w:rsid w:val="08323277"/>
    <w:rsid w:val="09950B51"/>
    <w:rsid w:val="0B347B37"/>
    <w:rsid w:val="0B4973D0"/>
    <w:rsid w:val="0CCA5067"/>
    <w:rsid w:val="0D8D0CD1"/>
    <w:rsid w:val="0EBE45A9"/>
    <w:rsid w:val="0EF83BFF"/>
    <w:rsid w:val="12BB665D"/>
    <w:rsid w:val="133D2FFA"/>
    <w:rsid w:val="158C4499"/>
    <w:rsid w:val="17B1394B"/>
    <w:rsid w:val="18871549"/>
    <w:rsid w:val="1D723E10"/>
    <w:rsid w:val="20A5502A"/>
    <w:rsid w:val="28F6721F"/>
    <w:rsid w:val="29E11179"/>
    <w:rsid w:val="2B395976"/>
    <w:rsid w:val="2C284767"/>
    <w:rsid w:val="2EE25398"/>
    <w:rsid w:val="2F3108BC"/>
    <w:rsid w:val="2F3C0EE8"/>
    <w:rsid w:val="30F20A93"/>
    <w:rsid w:val="33CF1290"/>
    <w:rsid w:val="344849F4"/>
    <w:rsid w:val="379E261D"/>
    <w:rsid w:val="383115E7"/>
    <w:rsid w:val="38886310"/>
    <w:rsid w:val="3F46153A"/>
    <w:rsid w:val="3F661165"/>
    <w:rsid w:val="40065D9D"/>
    <w:rsid w:val="44F27D14"/>
    <w:rsid w:val="454E178B"/>
    <w:rsid w:val="482102AB"/>
    <w:rsid w:val="4887741E"/>
    <w:rsid w:val="48BB6089"/>
    <w:rsid w:val="49342908"/>
    <w:rsid w:val="4A077488"/>
    <w:rsid w:val="4AB832C7"/>
    <w:rsid w:val="4F0A5A6C"/>
    <w:rsid w:val="4F4E0E62"/>
    <w:rsid w:val="4F7B6BCB"/>
    <w:rsid w:val="50254936"/>
    <w:rsid w:val="50450DF9"/>
    <w:rsid w:val="53AA7F06"/>
    <w:rsid w:val="560356EC"/>
    <w:rsid w:val="5AF41CE3"/>
    <w:rsid w:val="5C372A2F"/>
    <w:rsid w:val="5E8F0FA0"/>
    <w:rsid w:val="5F812FDF"/>
    <w:rsid w:val="60C91FA7"/>
    <w:rsid w:val="618C57E6"/>
    <w:rsid w:val="63B1020F"/>
    <w:rsid w:val="63E245DC"/>
    <w:rsid w:val="670D6D88"/>
    <w:rsid w:val="6EBE3BF5"/>
    <w:rsid w:val="6FB93412"/>
    <w:rsid w:val="70942FF5"/>
    <w:rsid w:val="722E756F"/>
    <w:rsid w:val="7816222A"/>
    <w:rsid w:val="7CDF70AE"/>
    <w:rsid w:val="7F405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numPr>
        <w:ilvl w:val="1"/>
        <w:numId w:val="1"/>
      </w:numPr>
      <w:overflowPunct w:val="0"/>
      <w:autoSpaceDE w:val="0"/>
      <w:autoSpaceDN w:val="0"/>
      <w:adjustRightInd w:val="0"/>
      <w:spacing w:line="240" w:lineRule="atLeast"/>
      <w:jc w:val="left"/>
      <w:textAlignment w:val="baseline"/>
      <w:outlineLvl w:val="1"/>
    </w:pPr>
    <w:rPr>
      <w:rFonts w:hAnsi="Arial"/>
      <w:spacing w:val="8"/>
      <w:kern w:val="0"/>
      <w:sz w:val="2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宋体"/>
    <w:basedOn w:val="1"/>
    <w:qFormat/>
    <w:uiPriority w:val="0"/>
    <w:pPr>
      <w:adjustRightInd w:val="0"/>
      <w:spacing w:line="360" w:lineRule="atLeast"/>
      <w:textAlignment w:val="baseline"/>
    </w:pPr>
    <w:rPr>
      <w:rFonts w:ascii="Arial" w:hAnsi="Arial"/>
      <w:w w:val="98"/>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1977</Words>
  <Characters>2049</Characters>
  <Lines>24</Lines>
  <Paragraphs>6</Paragraphs>
  <TotalTime>1</TotalTime>
  <ScaleCrop>false</ScaleCrop>
  <LinksUpToDate>false</LinksUpToDate>
  <CharactersWithSpaces>2177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Administrator.J700422</dc:creator>
  <cp:lastModifiedBy>朱福鹏</cp:lastModifiedBy>
  <cp:lastPrinted>2020-11-26T07:25:00Z</cp:lastPrinted>
  <dcterms:modified xsi:type="dcterms:W3CDTF">2025-08-22T01:07:01Z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DA3263AB87DF4042B1C04A1181C6529D</vt:lpwstr>
  </property>
  <property fmtid="{D5CDD505-2E9C-101B-9397-08002B2CF9AE}" pid="4" name="KSOTemplateDocerSaveRecord">
    <vt:lpwstr>eyJoZGlkIjoiMzdjZTdiNWY3MWVjMWZmZjRhYjk5YzljZmMwMWYzMmIiLCJ1c2VySWQiOiIxNDg5MzA1MTEzIn0=</vt:lpwstr>
  </property>
</Properties>
</file>