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F3B6D">
      <w:pPr>
        <w:pStyle w:val="2"/>
        <w:spacing w:line="245" w:lineRule="auto"/>
      </w:pPr>
    </w:p>
    <w:p w14:paraId="54AD8B77">
      <w:pPr>
        <w:pStyle w:val="2"/>
        <w:spacing w:line="245" w:lineRule="auto"/>
        <w:rPr>
          <w:rFonts w:hint="eastAsia" w:eastAsia="FangSong_GB2312"/>
          <w:lang w:eastAsia="zh-CN"/>
        </w:rPr>
      </w:pPr>
      <w:r>
        <w:rPr>
          <w:rFonts w:ascii="FangSong_GB2312" w:hAnsi="FangSong_GB2312" w:eastAsia="FangSong_GB2312" w:cs="FangSong_GB2312"/>
          <w:spacing w:val="-5"/>
          <w:sz w:val="28"/>
          <w:szCs w:val="28"/>
        </w:rPr>
        <w:t>甘肃东兴铝业有限公司</w:t>
      </w:r>
      <w:r>
        <w:rPr>
          <w:rFonts w:hint="eastAsia" w:ascii="FangSong_GB2312" w:hAnsi="FangSong_GB2312" w:eastAsia="FangSong_GB2312" w:cs="FangSong_GB2312"/>
          <w:spacing w:val="-5"/>
          <w:sz w:val="28"/>
          <w:szCs w:val="28"/>
          <w:lang w:eastAsia="zh-CN"/>
        </w:rPr>
        <w:t>其它分厂按照本技术规格书执行：</w:t>
      </w:r>
    </w:p>
    <w:p w14:paraId="58F27DBE">
      <w:pPr>
        <w:pStyle w:val="2"/>
        <w:spacing w:line="245" w:lineRule="auto"/>
      </w:pPr>
    </w:p>
    <w:p w14:paraId="1155CF2A">
      <w:pPr>
        <w:pStyle w:val="2"/>
        <w:spacing w:line="245" w:lineRule="auto"/>
      </w:pPr>
    </w:p>
    <w:p w14:paraId="478ABE4A">
      <w:pPr>
        <w:pStyle w:val="2"/>
        <w:spacing w:line="245" w:lineRule="auto"/>
      </w:pPr>
    </w:p>
    <w:p w14:paraId="27FD2AEC">
      <w:pPr>
        <w:pStyle w:val="2"/>
        <w:spacing w:line="245" w:lineRule="auto"/>
      </w:pPr>
    </w:p>
    <w:p w14:paraId="4EA2131E">
      <w:pPr>
        <w:pStyle w:val="2"/>
        <w:spacing w:line="245" w:lineRule="auto"/>
      </w:pPr>
    </w:p>
    <w:p w14:paraId="3663CD2F">
      <w:pPr>
        <w:pStyle w:val="2"/>
        <w:spacing w:line="245" w:lineRule="auto"/>
      </w:pPr>
    </w:p>
    <w:p w14:paraId="73013F2D">
      <w:pPr>
        <w:pStyle w:val="2"/>
        <w:spacing w:line="245" w:lineRule="auto"/>
      </w:pPr>
    </w:p>
    <w:p w14:paraId="7E530B71">
      <w:pPr>
        <w:pStyle w:val="2"/>
        <w:spacing w:line="245" w:lineRule="auto"/>
      </w:pPr>
    </w:p>
    <w:p w14:paraId="4123C2D0">
      <w:pPr>
        <w:pStyle w:val="2"/>
        <w:spacing w:line="245" w:lineRule="auto"/>
      </w:pPr>
    </w:p>
    <w:p w14:paraId="3DD50025">
      <w:pPr>
        <w:spacing w:before="140" w:line="222" w:lineRule="auto"/>
        <w:ind w:left="869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甘肃东兴铝业有限公司</w:t>
      </w:r>
      <w:r>
        <w:rPr>
          <w:rFonts w:hint="eastAsia" w:ascii="宋体" w:hAnsi="宋体" w:eastAsia="宋体" w:cs="宋体"/>
          <w:b/>
          <w:bCs/>
          <w:spacing w:val="5"/>
          <w:sz w:val="43"/>
          <w:szCs w:val="43"/>
          <w:lang w:eastAsia="zh-CN"/>
        </w:rPr>
        <w:t>嘉峪关</w:t>
      </w: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分公司</w:t>
      </w:r>
    </w:p>
    <w:p w14:paraId="64A0D011">
      <w:pPr>
        <w:pStyle w:val="2"/>
        <w:spacing w:line="263" w:lineRule="auto"/>
      </w:pPr>
    </w:p>
    <w:p w14:paraId="76B7B5F1">
      <w:pPr>
        <w:pStyle w:val="2"/>
        <w:spacing w:line="263" w:lineRule="auto"/>
      </w:pPr>
    </w:p>
    <w:p w14:paraId="3FD99EDB">
      <w:pPr>
        <w:pStyle w:val="2"/>
        <w:spacing w:line="263" w:lineRule="auto"/>
      </w:pPr>
    </w:p>
    <w:p w14:paraId="6885D61B">
      <w:pPr>
        <w:pStyle w:val="2"/>
        <w:spacing w:line="264" w:lineRule="auto"/>
      </w:pPr>
    </w:p>
    <w:p w14:paraId="08B88C46">
      <w:pPr>
        <w:spacing w:before="246" w:line="224" w:lineRule="auto"/>
        <w:jc w:val="center"/>
        <w:outlineLvl w:val="0"/>
        <w:rPr>
          <w:rFonts w:hint="eastAsia" w:ascii="宋体" w:hAnsi="宋体" w:eastAsia="宋体" w:cs="宋体"/>
          <w:b/>
          <w:bCs/>
          <w:spacing w:val="4"/>
          <w:sz w:val="31"/>
          <w:szCs w:val="31"/>
          <w:lang w:eastAsia="zh-CN"/>
        </w:rPr>
      </w:pPr>
      <w:r>
        <w:rPr>
          <w:rFonts w:hint="eastAsia" w:ascii="宋体" w:hAnsi="宋体" w:eastAsia="宋体" w:cs="宋体"/>
          <w:b/>
          <w:bCs/>
          <w:spacing w:val="4"/>
          <w:sz w:val="31"/>
          <w:szCs w:val="31"/>
          <w:lang w:eastAsia="zh-CN"/>
        </w:rPr>
        <w:t>电动正三轮摩托车</w:t>
      </w:r>
    </w:p>
    <w:p w14:paraId="225699CB">
      <w:pPr>
        <w:spacing w:before="246" w:line="224" w:lineRule="auto"/>
        <w:ind w:left="3050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6"/>
          <w:sz w:val="31"/>
          <w:szCs w:val="31"/>
        </w:rPr>
        <w:t>购置技术规格书</w:t>
      </w:r>
    </w:p>
    <w:p w14:paraId="3477E005">
      <w:pPr>
        <w:pStyle w:val="2"/>
        <w:spacing w:line="248" w:lineRule="auto"/>
      </w:pPr>
    </w:p>
    <w:p w14:paraId="57568836">
      <w:pPr>
        <w:pStyle w:val="2"/>
        <w:spacing w:line="248" w:lineRule="auto"/>
      </w:pPr>
    </w:p>
    <w:p w14:paraId="0CE7E4BB">
      <w:pPr>
        <w:pStyle w:val="2"/>
        <w:spacing w:line="248" w:lineRule="auto"/>
      </w:pPr>
    </w:p>
    <w:p w14:paraId="16226837">
      <w:pPr>
        <w:pStyle w:val="2"/>
        <w:spacing w:line="248" w:lineRule="auto"/>
      </w:pPr>
    </w:p>
    <w:p w14:paraId="634E21D4">
      <w:pPr>
        <w:pStyle w:val="2"/>
        <w:spacing w:line="248" w:lineRule="auto"/>
      </w:pPr>
    </w:p>
    <w:p w14:paraId="40586D2A">
      <w:pPr>
        <w:pStyle w:val="2"/>
        <w:spacing w:line="248" w:lineRule="auto"/>
      </w:pPr>
    </w:p>
    <w:p w14:paraId="39D56715">
      <w:pPr>
        <w:pStyle w:val="2"/>
        <w:spacing w:line="248" w:lineRule="auto"/>
      </w:pPr>
    </w:p>
    <w:p w14:paraId="45654C4E">
      <w:pPr>
        <w:pStyle w:val="2"/>
        <w:spacing w:line="248" w:lineRule="auto"/>
      </w:pPr>
    </w:p>
    <w:p w14:paraId="78627B6E">
      <w:pPr>
        <w:pStyle w:val="2"/>
        <w:spacing w:line="248" w:lineRule="auto"/>
      </w:pPr>
    </w:p>
    <w:p w14:paraId="32F314C2">
      <w:pPr>
        <w:pStyle w:val="2"/>
        <w:spacing w:line="248" w:lineRule="auto"/>
      </w:pPr>
    </w:p>
    <w:p w14:paraId="2C791D63">
      <w:pPr>
        <w:pStyle w:val="2"/>
        <w:spacing w:line="248" w:lineRule="auto"/>
      </w:pPr>
    </w:p>
    <w:p w14:paraId="3C31E2AB">
      <w:pPr>
        <w:pStyle w:val="2"/>
        <w:spacing w:line="248" w:lineRule="auto"/>
      </w:pPr>
    </w:p>
    <w:p w14:paraId="651FFAD9">
      <w:pPr>
        <w:pStyle w:val="2"/>
        <w:spacing w:line="248" w:lineRule="auto"/>
      </w:pPr>
    </w:p>
    <w:p w14:paraId="3929CCC1">
      <w:pPr>
        <w:pStyle w:val="2"/>
        <w:spacing w:line="248" w:lineRule="auto"/>
      </w:pPr>
    </w:p>
    <w:p w14:paraId="6ED0A990">
      <w:pPr>
        <w:pStyle w:val="2"/>
        <w:spacing w:line="248" w:lineRule="auto"/>
      </w:pPr>
    </w:p>
    <w:p w14:paraId="05C201BA">
      <w:pPr>
        <w:pStyle w:val="2"/>
        <w:spacing w:line="248" w:lineRule="auto"/>
      </w:pPr>
    </w:p>
    <w:p w14:paraId="082A5D21">
      <w:pPr>
        <w:pStyle w:val="2"/>
        <w:spacing w:line="248" w:lineRule="auto"/>
      </w:pPr>
    </w:p>
    <w:p w14:paraId="41311384">
      <w:pPr>
        <w:pStyle w:val="2"/>
        <w:spacing w:line="248" w:lineRule="auto"/>
      </w:pPr>
    </w:p>
    <w:p w14:paraId="1418F528">
      <w:pPr>
        <w:pStyle w:val="2"/>
        <w:spacing w:line="248" w:lineRule="auto"/>
      </w:pPr>
    </w:p>
    <w:p w14:paraId="3553A908">
      <w:pPr>
        <w:pStyle w:val="2"/>
        <w:spacing w:line="248" w:lineRule="auto"/>
      </w:pPr>
    </w:p>
    <w:p w14:paraId="4ED787C8">
      <w:pPr>
        <w:pStyle w:val="2"/>
        <w:spacing w:line="248" w:lineRule="auto"/>
      </w:pPr>
    </w:p>
    <w:p w14:paraId="076F48EB">
      <w:pPr>
        <w:pStyle w:val="2"/>
        <w:spacing w:line="248" w:lineRule="auto"/>
      </w:pPr>
    </w:p>
    <w:p w14:paraId="0AD2F5A7">
      <w:pPr>
        <w:pStyle w:val="2"/>
        <w:spacing w:line="248" w:lineRule="auto"/>
      </w:pPr>
    </w:p>
    <w:p w14:paraId="188A3BCD">
      <w:pPr>
        <w:pStyle w:val="2"/>
        <w:spacing w:line="249" w:lineRule="auto"/>
      </w:pPr>
    </w:p>
    <w:p w14:paraId="5D4CD78C">
      <w:pPr>
        <w:pStyle w:val="2"/>
        <w:spacing w:line="249" w:lineRule="auto"/>
      </w:pPr>
    </w:p>
    <w:p w14:paraId="41C3CD48">
      <w:pPr>
        <w:spacing w:before="101" w:line="357" w:lineRule="auto"/>
        <w:ind w:right="1132" w:firstLine="966" w:firstLineChars="300"/>
        <w:rPr>
          <w:rFonts w:ascii="FangSong_GB2312" w:hAnsi="FangSong_GB2312" w:eastAsia="FangSong_GB2312" w:cs="FangSong_GB2312"/>
          <w:spacing w:val="6"/>
          <w:sz w:val="31"/>
          <w:szCs w:val="31"/>
        </w:rPr>
      </w:pP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甲方：甘肃东兴铝业有限公司</w:t>
      </w:r>
      <w:r>
        <w:rPr>
          <w:rFonts w:hint="eastAsia" w:ascii="FangSong_GB2312" w:hAnsi="FangSong_GB2312" w:eastAsia="FangSong_GB2312" w:cs="FangSong_GB2312"/>
          <w:spacing w:val="6"/>
          <w:sz w:val="31"/>
          <w:szCs w:val="31"/>
          <w:lang w:eastAsia="zh-CN"/>
        </w:rPr>
        <w:t>嘉峪关</w:t>
      </w:r>
      <w:r>
        <w:rPr>
          <w:rFonts w:ascii="FangSong_GB2312" w:hAnsi="FangSong_GB2312" w:eastAsia="FangSong_GB2312" w:cs="FangSong_GB2312"/>
          <w:spacing w:val="6"/>
          <w:sz w:val="31"/>
          <w:szCs w:val="31"/>
        </w:rPr>
        <w:t>分公司</w:t>
      </w:r>
    </w:p>
    <w:p w14:paraId="6BB42B63">
      <w:pPr>
        <w:spacing w:before="101" w:line="357" w:lineRule="auto"/>
        <w:ind w:right="1132" w:firstLine="876" w:firstLineChars="300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pacing w:val="-9"/>
          <w:sz w:val="31"/>
          <w:szCs w:val="31"/>
        </w:rPr>
        <w:t>乙方：</w:t>
      </w:r>
    </w:p>
    <w:p w14:paraId="1AF76F48">
      <w:pPr>
        <w:spacing w:line="357" w:lineRule="auto"/>
        <w:rPr>
          <w:rFonts w:ascii="FangSong_GB2312" w:hAnsi="FangSong_GB2312" w:eastAsia="FangSong_GB2312" w:cs="FangSong_GB2312"/>
          <w:sz w:val="31"/>
          <w:szCs w:val="31"/>
        </w:rPr>
        <w:sectPr>
          <w:footerReference r:id="rId5" w:type="default"/>
          <w:pgSz w:w="11906" w:h="16839"/>
          <w:pgMar w:top="1431" w:right="1785" w:bottom="1151" w:left="1785" w:header="0" w:footer="987" w:gutter="0"/>
          <w:cols w:space="720" w:num="1"/>
        </w:sectPr>
      </w:pPr>
    </w:p>
    <w:p w14:paraId="5C5B218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28" w:firstLineChars="200"/>
        <w:jc w:val="both"/>
        <w:textAlignment w:val="baseline"/>
        <w:rPr>
          <w:rFonts w:hint="eastAsia" w:ascii="FangSong_GB2312" w:hAnsi="FangSong_GB2312" w:eastAsia="FangSong_GB2312" w:cs="FangSong_GB2312"/>
          <w:spacing w:val="-8"/>
          <w:sz w:val="28"/>
          <w:szCs w:val="28"/>
          <w:u w:val="single"/>
          <w:lang w:val="en-US" w:eastAsia="zh-CN"/>
        </w:rPr>
      </w:pPr>
      <w:r>
        <w:rPr>
          <w:rFonts w:ascii="FangSong_GB2312" w:hAnsi="FangSong_GB2312" w:eastAsia="FangSong_GB2312" w:cs="FangSong_GB2312"/>
          <w:spacing w:val="-8"/>
          <w:sz w:val="28"/>
          <w:szCs w:val="28"/>
          <w:u w:val="single" w:color="auto"/>
        </w:rPr>
        <w:t>甘肃东兴铝业有限公司</w:t>
      </w:r>
      <w:r>
        <w:rPr>
          <w:rFonts w:hint="eastAsia" w:ascii="FangSong_GB2312" w:hAnsi="FangSong_GB2312" w:eastAsia="FangSong_GB2312" w:cs="FangSong_GB2312"/>
          <w:spacing w:val="-8"/>
          <w:sz w:val="28"/>
          <w:szCs w:val="28"/>
          <w:u w:val="single" w:color="auto"/>
          <w:lang w:eastAsia="zh-CN"/>
        </w:rPr>
        <w:t>嘉峪关</w:t>
      </w:r>
      <w:r>
        <w:rPr>
          <w:rFonts w:ascii="FangSong_GB2312" w:hAnsi="FangSong_GB2312" w:eastAsia="FangSong_GB2312" w:cs="FangSong_GB2312"/>
          <w:spacing w:val="-8"/>
          <w:sz w:val="28"/>
          <w:szCs w:val="28"/>
          <w:u w:val="single" w:color="auto"/>
        </w:rPr>
        <w:t>分公司</w:t>
      </w:r>
      <w:r>
        <w:rPr>
          <w:rFonts w:ascii="FangSong_GB2312" w:hAnsi="FangSong_GB2312" w:eastAsia="FangSong_GB2312" w:cs="FangSong_GB2312"/>
          <w:spacing w:val="-8"/>
          <w:sz w:val="28"/>
          <w:szCs w:val="28"/>
        </w:rPr>
        <w:t>（以下简称甲方）与</w:t>
      </w:r>
      <w:r>
        <w:rPr>
          <w:rFonts w:hint="eastAsia" w:ascii="FangSong_GB2312" w:hAnsi="FangSong_GB2312" w:eastAsia="FangSong_GB2312" w:cs="FangSong_GB2312"/>
          <w:spacing w:val="-8"/>
          <w:sz w:val="28"/>
          <w:szCs w:val="28"/>
          <w:u w:val="single"/>
          <w:lang w:val="en-US" w:eastAsia="zh-CN"/>
        </w:rPr>
        <w:t xml:space="preserve">        </w:t>
      </w:r>
    </w:p>
    <w:p w14:paraId="48C5308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spacing w:val="-8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ascii="FangSong_GB2312" w:hAnsi="FangSong_GB2312" w:eastAsia="FangSong_GB2312" w:cs="FangSong_GB2312"/>
          <w:spacing w:val="-8"/>
          <w:sz w:val="28"/>
          <w:szCs w:val="28"/>
          <w:u w:val="none" w:color="auto"/>
        </w:rPr>
        <w:t>公</w:t>
      </w:r>
      <w:r>
        <w:rPr>
          <w:rFonts w:ascii="FangSong_GB2312" w:hAnsi="FangSong_GB2312" w:eastAsia="FangSong_GB2312" w:cs="FangSong_GB2312"/>
          <w:spacing w:val="-4"/>
          <w:sz w:val="28"/>
          <w:szCs w:val="28"/>
          <w:u w:val="none" w:color="auto"/>
        </w:rPr>
        <w:t>司（</w:t>
      </w:r>
      <w:r>
        <w:rPr>
          <w:rFonts w:ascii="FangSong_GB2312" w:hAnsi="FangSong_GB2312" w:eastAsia="FangSong_GB2312" w:cs="FangSong_GB2312"/>
          <w:spacing w:val="-4"/>
          <w:sz w:val="28"/>
          <w:szCs w:val="28"/>
        </w:rPr>
        <w:t>以下简称乙方）就</w:t>
      </w:r>
      <w:r>
        <w:rPr>
          <w:rFonts w:hint="eastAsia" w:ascii="FangSong_GB2312" w:hAnsi="FangSong_GB2312" w:eastAsia="FangSong_GB2312" w:cs="FangSong_GB2312"/>
          <w:spacing w:val="-4"/>
          <w:sz w:val="28"/>
          <w:szCs w:val="28"/>
          <w:lang w:eastAsia="zh-CN"/>
        </w:rPr>
        <w:t>电动正三轮摩托车</w:t>
      </w:r>
      <w:r>
        <w:rPr>
          <w:rFonts w:ascii="FangSong_GB2312" w:hAnsi="FangSong_GB2312" w:eastAsia="FangSong_GB2312" w:cs="FangSong_GB2312"/>
          <w:spacing w:val="-4"/>
          <w:sz w:val="28"/>
          <w:szCs w:val="28"/>
        </w:rPr>
        <w:t>采购事宜，经双方协商一致达成如</w:t>
      </w:r>
      <w:r>
        <w:rPr>
          <w:rFonts w:ascii="FangSong_GB2312" w:hAnsi="FangSong_GB2312" w:eastAsia="FangSong_GB2312" w:cs="FangSong_GB2312"/>
          <w:spacing w:val="-3"/>
          <w:sz w:val="28"/>
          <w:szCs w:val="28"/>
        </w:rPr>
        <w:t>下有关技术</w:t>
      </w:r>
      <w:r>
        <w:rPr>
          <w:rFonts w:hint="eastAsia" w:ascii="FangSong_GB2312" w:hAnsi="FangSong_GB2312" w:eastAsia="FangSong_GB2312" w:cs="FangSong_GB2312"/>
          <w:spacing w:val="-3"/>
          <w:sz w:val="28"/>
          <w:szCs w:val="28"/>
          <w:lang w:eastAsia="zh-CN"/>
        </w:rPr>
        <w:t>规格书</w:t>
      </w:r>
      <w:r>
        <w:rPr>
          <w:rFonts w:ascii="FangSong_GB2312" w:hAnsi="FangSong_GB2312" w:eastAsia="FangSong_GB2312" w:cs="FangSong_GB2312"/>
          <w:spacing w:val="-3"/>
          <w:sz w:val="28"/>
          <w:szCs w:val="28"/>
        </w:rPr>
        <w:t>：</w:t>
      </w:r>
    </w:p>
    <w:p w14:paraId="631AFD8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30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b/>
          <w:bCs/>
          <w:spacing w:val="-8"/>
          <w:sz w:val="28"/>
          <w:szCs w:val="28"/>
        </w:rPr>
        <w:t>一、总则</w:t>
      </w:r>
    </w:p>
    <w:p w14:paraId="31B01C8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4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4"/>
          <w:sz w:val="28"/>
          <w:szCs w:val="28"/>
        </w:rPr>
        <w:t>1.1本技术规格书作为甲方设备订货合同的附件，与</w:t>
      </w:r>
      <w:r>
        <w:rPr>
          <w:rFonts w:ascii="FangSong_GB2312" w:hAnsi="FangSong_GB2312" w:eastAsia="FangSong_GB2312" w:cs="FangSong_GB2312"/>
          <w:spacing w:val="-5"/>
          <w:sz w:val="28"/>
          <w:szCs w:val="28"/>
        </w:rPr>
        <w:t>订货合同同</w:t>
      </w:r>
      <w:r>
        <w:rPr>
          <w:rFonts w:ascii="FangSong_GB2312" w:hAnsi="FangSong_GB2312" w:eastAsia="FangSong_GB2312" w:cs="FangSong_GB2312"/>
          <w:spacing w:val="-4"/>
          <w:sz w:val="28"/>
          <w:szCs w:val="28"/>
        </w:rPr>
        <w:t>时生效，具有同等法律效力。合同执行期间双方再协商形成的补充协</w:t>
      </w:r>
      <w:r>
        <w:rPr>
          <w:rFonts w:ascii="FangSong_GB2312" w:hAnsi="FangSong_GB2312" w:eastAsia="FangSong_GB2312" w:cs="FangSong_GB2312"/>
          <w:spacing w:val="-2"/>
          <w:sz w:val="28"/>
          <w:szCs w:val="28"/>
        </w:rPr>
        <w:t>议和追加条款也具有同等法律效力。</w:t>
      </w:r>
    </w:p>
    <w:p w14:paraId="1646AE2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4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4"/>
          <w:sz w:val="28"/>
          <w:szCs w:val="28"/>
        </w:rPr>
        <w:t>1.2本技术规格书所提出的是最低标准的技术要求，</w:t>
      </w:r>
      <w:r>
        <w:rPr>
          <w:rFonts w:ascii="FangSong_GB2312" w:hAnsi="FangSong_GB2312" w:eastAsia="FangSong_GB2312" w:cs="FangSong_GB2312"/>
          <w:spacing w:val="-5"/>
          <w:sz w:val="28"/>
          <w:szCs w:val="28"/>
        </w:rPr>
        <w:t>并未对一切</w:t>
      </w:r>
      <w:r>
        <w:rPr>
          <w:rFonts w:ascii="FangSong_GB2312" w:hAnsi="FangSong_GB2312" w:eastAsia="FangSong_GB2312" w:cs="FangSong_GB2312"/>
          <w:spacing w:val="-4"/>
          <w:sz w:val="28"/>
          <w:szCs w:val="28"/>
        </w:rPr>
        <w:t>技术细节</w:t>
      </w:r>
      <w:r>
        <w:rPr>
          <w:rFonts w:hint="eastAsia" w:ascii="FangSong_GB2312" w:hAnsi="FangSong_GB2312" w:eastAsia="FangSong_GB2312" w:cs="FangSong_GB2312"/>
          <w:spacing w:val="-4"/>
          <w:sz w:val="28"/>
          <w:szCs w:val="28"/>
          <w:lang w:eastAsia="zh-CN"/>
        </w:rPr>
        <w:t>作出</w:t>
      </w:r>
      <w:r>
        <w:rPr>
          <w:rFonts w:ascii="FangSong_GB2312" w:hAnsi="FangSong_GB2312" w:eastAsia="FangSong_GB2312" w:cs="FangSong_GB2312"/>
          <w:spacing w:val="-4"/>
          <w:sz w:val="28"/>
          <w:szCs w:val="28"/>
        </w:rPr>
        <w:t>规定，也未充分引述有关标准和规范的条文，乙方应保</w:t>
      </w:r>
      <w:r>
        <w:rPr>
          <w:rFonts w:ascii="FangSong_GB2312" w:hAnsi="FangSong_GB2312" w:eastAsia="FangSong_GB2312" w:cs="FangSong_GB2312"/>
          <w:spacing w:val="-1"/>
          <w:sz w:val="28"/>
          <w:szCs w:val="28"/>
        </w:rPr>
        <w:t>证提供符合有关标准和技术文件的优质产品。</w:t>
      </w:r>
    </w:p>
    <w:p w14:paraId="50AF17B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8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3"/>
          <w:sz w:val="28"/>
          <w:szCs w:val="28"/>
        </w:rPr>
        <w:t>1.3乙方提供的设备必须具有国内同行业近几年内的先进制造</w:t>
      </w:r>
      <w:r>
        <w:rPr>
          <w:rFonts w:ascii="FangSong_GB2312" w:hAnsi="FangSong_GB2312" w:eastAsia="FangSong_GB2312" w:cs="FangSong_GB2312"/>
          <w:spacing w:val="-1"/>
          <w:sz w:val="28"/>
          <w:szCs w:val="28"/>
        </w:rPr>
        <w:t>水平，采用先进工艺，合格材料，成熟的技术或专利技术。</w:t>
      </w:r>
    </w:p>
    <w:p w14:paraId="66682A6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16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11"/>
          <w:sz w:val="28"/>
          <w:szCs w:val="28"/>
        </w:rPr>
        <w:t>1.4乙方提供的设备必须是全新、规范、先进的高质量可靠产品，</w:t>
      </w:r>
      <w:r>
        <w:rPr>
          <w:rFonts w:ascii="FangSong_GB2312" w:hAnsi="FangSong_GB2312" w:eastAsia="FangSong_GB2312" w:cs="FangSong_GB2312"/>
          <w:spacing w:val="-3"/>
          <w:sz w:val="28"/>
          <w:szCs w:val="28"/>
        </w:rPr>
        <w:t>能够确保连续稳定</w:t>
      </w:r>
      <w:r>
        <w:rPr>
          <w:rFonts w:hint="eastAsia" w:ascii="FangSong_GB2312" w:hAnsi="FangSong_GB2312" w:eastAsia="FangSong_GB2312" w:cs="FangSong_GB2312"/>
          <w:spacing w:val="-3"/>
          <w:sz w:val="28"/>
          <w:szCs w:val="28"/>
          <w:lang w:eastAsia="zh-CN"/>
        </w:rPr>
        <w:t>地</w:t>
      </w:r>
      <w:r>
        <w:rPr>
          <w:rFonts w:ascii="FangSong_GB2312" w:hAnsi="FangSong_GB2312" w:eastAsia="FangSong_GB2312" w:cs="FangSong_GB2312"/>
          <w:spacing w:val="-3"/>
          <w:sz w:val="28"/>
          <w:szCs w:val="28"/>
        </w:rPr>
        <w:t>工作。</w:t>
      </w:r>
    </w:p>
    <w:p w14:paraId="71C71969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4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4"/>
          <w:sz w:val="28"/>
          <w:szCs w:val="28"/>
        </w:rPr>
        <w:t>1.5乙方提供货物的制造，材料的选择，都应按照国</w:t>
      </w:r>
      <w:r>
        <w:rPr>
          <w:rFonts w:ascii="FangSong_GB2312" w:hAnsi="FangSong_GB2312" w:eastAsia="FangSong_GB2312" w:cs="FangSong_GB2312"/>
          <w:spacing w:val="-5"/>
          <w:sz w:val="28"/>
          <w:szCs w:val="28"/>
        </w:rPr>
        <w:t>内外通用的</w:t>
      </w:r>
      <w:r>
        <w:rPr>
          <w:rFonts w:ascii="FangSong_GB2312" w:hAnsi="FangSong_GB2312" w:eastAsia="FangSong_GB2312" w:cs="FangSong_GB2312"/>
          <w:spacing w:val="-4"/>
          <w:sz w:val="28"/>
          <w:szCs w:val="28"/>
        </w:rPr>
        <w:t>现行标准和相应的技术规范执行，而这些标准和技术规范应为合同签</w:t>
      </w:r>
      <w:r>
        <w:rPr>
          <w:rFonts w:hint="eastAsia" w:ascii="FangSong_GB2312" w:hAnsi="FangSong_GB2312" w:eastAsia="FangSong_GB2312" w:cs="FangSong_GB2312"/>
          <w:spacing w:val="7"/>
          <w:sz w:val="28"/>
          <w:szCs w:val="28"/>
          <w:lang w:eastAsia="zh-CN"/>
        </w:rPr>
        <w:t>字</w:t>
      </w:r>
      <w:r>
        <w:rPr>
          <w:rFonts w:ascii="FangSong_GB2312" w:hAnsi="FangSong_GB2312" w:eastAsia="FangSong_GB2312" w:cs="FangSong_GB2312"/>
          <w:spacing w:val="-6"/>
          <w:sz w:val="28"/>
          <w:szCs w:val="28"/>
        </w:rPr>
        <w:t>日为止最新公布</w:t>
      </w:r>
      <w:r>
        <w:rPr>
          <w:rFonts w:hint="eastAsia" w:ascii="FangSong_GB2312" w:hAnsi="FangSong_GB2312" w:eastAsia="FangSong_GB2312" w:cs="FangSong_GB2312"/>
          <w:spacing w:val="-6"/>
          <w:sz w:val="28"/>
          <w:szCs w:val="28"/>
          <w:lang w:eastAsia="zh-CN"/>
        </w:rPr>
        <w:t>发文</w:t>
      </w:r>
      <w:r>
        <w:rPr>
          <w:rFonts w:ascii="FangSong_GB2312" w:hAnsi="FangSong_GB2312" w:eastAsia="FangSong_GB2312" w:cs="FangSong_GB2312"/>
          <w:spacing w:val="-6"/>
          <w:sz w:val="28"/>
          <w:szCs w:val="28"/>
        </w:rPr>
        <w:t>的标准和技术规范。</w:t>
      </w:r>
    </w:p>
    <w:p w14:paraId="3DA91D87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4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4"/>
          <w:sz w:val="28"/>
          <w:szCs w:val="28"/>
        </w:rPr>
        <w:t>1.6乙方须对本设备的设计完整性、合理性和设计质</w:t>
      </w:r>
      <w:r>
        <w:rPr>
          <w:rFonts w:ascii="FangSong_GB2312" w:hAnsi="FangSong_GB2312" w:eastAsia="FangSong_GB2312" w:cs="FangSong_GB2312"/>
          <w:spacing w:val="-5"/>
          <w:sz w:val="28"/>
          <w:szCs w:val="28"/>
        </w:rPr>
        <w:t>量承担全部</w:t>
      </w:r>
      <w:r>
        <w:rPr>
          <w:rFonts w:ascii="FangSong_GB2312" w:hAnsi="FangSong_GB2312" w:eastAsia="FangSong_GB2312" w:cs="FangSong_GB2312"/>
          <w:spacing w:val="-4"/>
          <w:sz w:val="28"/>
          <w:szCs w:val="28"/>
        </w:rPr>
        <w:t>责任。乙方在合同货物制造中，发生侵犯专利的行为时其侵权责任与甲方无关。</w:t>
      </w:r>
    </w:p>
    <w:p w14:paraId="3AC02A0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2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b/>
          <w:bCs/>
          <w:spacing w:val="-5"/>
          <w:sz w:val="28"/>
          <w:szCs w:val="28"/>
        </w:rPr>
        <w:t>二、作业环境要求和工况条件</w:t>
      </w:r>
    </w:p>
    <w:p w14:paraId="4902DF8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2"/>
          <w:sz w:val="28"/>
          <w:szCs w:val="28"/>
        </w:rPr>
        <w:t>2.1使用性能必须满足生产要求。</w:t>
      </w:r>
    </w:p>
    <w:p w14:paraId="3806358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2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3"/>
          <w:sz w:val="28"/>
          <w:szCs w:val="28"/>
        </w:rPr>
        <w:t>2.2适应高粉尘、高海拔（1700m）地</w:t>
      </w:r>
      <w:r>
        <w:rPr>
          <w:rFonts w:ascii="FangSong_GB2312" w:hAnsi="FangSong_GB2312" w:eastAsia="FangSong_GB2312" w:cs="FangSong_GB2312"/>
          <w:spacing w:val="2"/>
          <w:sz w:val="28"/>
          <w:szCs w:val="28"/>
        </w:rPr>
        <w:t>区使用，满足高寒高温自</w:t>
      </w:r>
      <w:r>
        <w:rPr>
          <w:rFonts w:ascii="FangSong_GB2312" w:hAnsi="FangSong_GB2312" w:eastAsia="FangSong_GB2312" w:cs="FangSong_GB2312"/>
          <w:spacing w:val="-2"/>
          <w:sz w:val="28"/>
          <w:szCs w:val="28"/>
        </w:rPr>
        <w:t>然环境作业（50℃—零下20℃)。</w:t>
      </w:r>
    </w:p>
    <w:p w14:paraId="5F4FEE01">
      <w:pPr>
        <w:keepNext w:val="0"/>
        <w:keepLines w:val="0"/>
        <w:pageBreakBefore w:val="0"/>
        <w:widowControl w:val="0"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6" w:firstLineChars="200"/>
        <w:jc w:val="both"/>
        <w:textAlignment w:val="baseline"/>
        <w:rPr>
          <w:rFonts w:ascii="FangSong_GB2312" w:hAnsi="FangSong_GB2312" w:eastAsia="FangSong_GB2312" w:cs="FangSong_GB2312"/>
          <w:b/>
          <w:bCs/>
          <w:spacing w:val="-4"/>
          <w:sz w:val="28"/>
          <w:szCs w:val="28"/>
        </w:rPr>
      </w:pPr>
      <w:r>
        <w:rPr>
          <w:rFonts w:ascii="FangSong_GB2312" w:hAnsi="FangSong_GB2312" w:eastAsia="FangSong_GB2312" w:cs="FangSong_GB2312"/>
          <w:b/>
          <w:bCs/>
          <w:spacing w:val="-4"/>
          <w:sz w:val="28"/>
          <w:szCs w:val="28"/>
        </w:rPr>
        <w:t>设备名称</w:t>
      </w:r>
    </w:p>
    <w:p w14:paraId="7D7D8AE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4" w:firstLineChars="200"/>
        <w:jc w:val="both"/>
        <w:textAlignment w:val="baseline"/>
        <w:rPr>
          <w:rFonts w:hint="eastAsia" w:ascii="FangSong_GB2312" w:hAnsi="FangSong_GB2312" w:eastAsia="FangSong_GB2312" w:cs="FangSong_GB2312"/>
          <w:spacing w:val="-4"/>
          <w:sz w:val="28"/>
          <w:szCs w:val="28"/>
          <w:lang w:eastAsia="zh-CN"/>
        </w:rPr>
      </w:pPr>
      <w:r>
        <w:rPr>
          <w:rFonts w:hint="eastAsia" w:ascii="FangSong_GB2312" w:hAnsi="FangSong_GB2312" w:eastAsia="FangSong_GB2312" w:cs="FangSong_GB2312"/>
          <w:spacing w:val="-4"/>
          <w:sz w:val="28"/>
          <w:szCs w:val="28"/>
          <w:lang w:eastAsia="zh-CN"/>
        </w:rPr>
        <w:t>电动正三轮摩托车</w:t>
      </w:r>
    </w:p>
    <w:p w14:paraId="56FEDF0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30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b/>
          <w:bCs/>
          <w:spacing w:val="-8"/>
          <w:sz w:val="28"/>
          <w:szCs w:val="28"/>
        </w:rPr>
        <w:t>四、主要技术要求参数</w:t>
      </w:r>
    </w:p>
    <w:p w14:paraId="54887BF3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6" w:firstLineChars="200"/>
        <w:jc w:val="both"/>
        <w:textAlignment w:val="baseline"/>
        <w:rPr>
          <w:rFonts w:ascii="FangSong_GB2312" w:hAnsi="FangSong_GB2312" w:eastAsia="FangSong_GB2312" w:cs="FangSong_GB2312"/>
          <w:b/>
          <w:bCs/>
          <w:spacing w:val="-4"/>
          <w:sz w:val="28"/>
          <w:szCs w:val="28"/>
        </w:rPr>
      </w:pPr>
      <w:r>
        <w:rPr>
          <w:rFonts w:ascii="FangSong_GB2312" w:hAnsi="FangSong_GB2312" w:eastAsia="FangSong_GB2312" w:cs="FangSong_GB2312"/>
          <w:b/>
          <w:bCs/>
          <w:spacing w:val="-4"/>
          <w:sz w:val="28"/>
          <w:szCs w:val="28"/>
        </w:rPr>
        <w:t>4.1主要参数基本信息</w:t>
      </w:r>
      <w:r>
        <w:rPr>
          <w:rFonts w:hint="eastAsia" w:ascii="FangSong_GB2312" w:hAnsi="FangSong_GB2312" w:eastAsia="FangSong_GB2312" w:cs="FangSong_GB2312"/>
          <w:b/>
          <w:bCs/>
          <w:spacing w:val="-4"/>
          <w:sz w:val="28"/>
          <w:szCs w:val="28"/>
          <w:lang w:val="en-US" w:eastAsia="zh-CN"/>
        </w:rPr>
        <w:t>（公告为准）</w:t>
      </w:r>
    </w:p>
    <w:p w14:paraId="134F53C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z w:val="28"/>
          <w:szCs w:val="28"/>
        </w:rPr>
        <w:t>4.1.1整车技术参数：</w:t>
      </w:r>
    </w:p>
    <w:p w14:paraId="3ED2EE8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z w:val="28"/>
          <w:szCs w:val="28"/>
        </w:rPr>
        <w:t>驱动形式：单桥；</w:t>
      </w:r>
      <w:bookmarkStart w:id="0" w:name="_GoBack"/>
      <w:bookmarkEnd w:id="0"/>
    </w:p>
    <w:p w14:paraId="6B8915D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both"/>
        <w:textAlignment w:val="baseline"/>
        <w:rPr>
          <w:rFonts w:hint="eastAsia" w:ascii="FangSong_GB2312" w:hAnsi="FangSong_GB2312" w:eastAsia="FangSong_GB2312" w:cs="FangSong_GB2312"/>
          <w:sz w:val="28"/>
          <w:szCs w:val="28"/>
          <w:lang w:eastAsia="zh-CN"/>
        </w:rPr>
      </w:pPr>
      <w:r>
        <w:rPr>
          <w:rFonts w:hint="eastAsia" w:ascii="FangSong_GB2312" w:hAnsi="FangSong_GB2312" w:eastAsia="FangSong_GB2312" w:cs="FangSong_GB2312"/>
          <w:sz w:val="28"/>
          <w:szCs w:val="28"/>
          <w:lang w:eastAsia="zh-CN"/>
        </w:rPr>
        <w:t>燃料种类：电；</w:t>
      </w:r>
    </w:p>
    <w:p w14:paraId="678A925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z w:val="28"/>
          <w:szCs w:val="28"/>
        </w:rPr>
        <w:t>货箱形式：液压自卸式；</w:t>
      </w:r>
    </w:p>
    <w:p w14:paraId="6C7FF92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z w:val="28"/>
          <w:szCs w:val="28"/>
        </w:rPr>
        <w:t>车辆启动方式：电动启动；</w:t>
      </w:r>
    </w:p>
    <w:p w14:paraId="5D80CCB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sz w:val="28"/>
          <w:szCs w:val="28"/>
          <w:lang w:eastAsia="zh-CN"/>
        </w:rPr>
        <w:t>额定载质量</w:t>
      </w:r>
      <w:r>
        <w:rPr>
          <w:rFonts w:ascii="FangSong_GB2312" w:hAnsi="FangSong_GB2312" w:eastAsia="FangSong_GB2312" w:cs="FangSong_GB2312"/>
          <w:sz w:val="28"/>
          <w:szCs w:val="28"/>
        </w:rPr>
        <w:t>：</w:t>
      </w:r>
      <w:r>
        <w:rPr>
          <w:rFonts w:hint="eastAsia" w:ascii="FangSong_GB2312" w:hAnsi="FangSong_GB2312" w:eastAsia="FangSong_GB2312" w:cs="FangSong_GB2312"/>
          <w:sz w:val="28"/>
          <w:szCs w:val="28"/>
          <w:lang w:val="en-US" w:eastAsia="zh-CN"/>
        </w:rPr>
        <w:t>600kg</w:t>
      </w:r>
      <w:r>
        <w:rPr>
          <w:rFonts w:ascii="FangSong_GB2312" w:hAnsi="FangSong_GB2312" w:eastAsia="FangSong_GB2312" w:cs="FangSong_GB2312"/>
          <w:sz w:val="28"/>
          <w:szCs w:val="28"/>
        </w:rPr>
        <w:t>；</w:t>
      </w:r>
    </w:p>
    <w:p w14:paraId="6490458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z w:val="28"/>
          <w:szCs w:val="28"/>
        </w:rPr>
        <w:t>轮胎数：3（个）；</w:t>
      </w:r>
    </w:p>
    <w:p w14:paraId="512494F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z w:val="28"/>
          <w:szCs w:val="28"/>
        </w:rPr>
        <w:t>轴距：</w:t>
      </w:r>
      <w:r>
        <w:rPr>
          <w:rFonts w:hint="eastAsia" w:ascii="FangSong_GB2312" w:hAnsi="FangSong_GB2312" w:eastAsia="FangSong_GB2312" w:cs="FangSong_GB2312"/>
          <w:sz w:val="28"/>
          <w:szCs w:val="28"/>
          <w:lang w:val="en-US" w:eastAsia="zh-CN"/>
        </w:rPr>
        <w:t>2100-</w:t>
      </w:r>
      <w:r>
        <w:rPr>
          <w:rFonts w:ascii="FangSong_GB2312" w:hAnsi="FangSong_GB2312" w:eastAsia="FangSong_GB2312" w:cs="FangSong_GB2312"/>
          <w:sz w:val="28"/>
          <w:szCs w:val="28"/>
        </w:rPr>
        <w:t>2605mm；</w:t>
      </w:r>
    </w:p>
    <w:p w14:paraId="26CC9BB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sz w:val="28"/>
          <w:szCs w:val="28"/>
          <w:lang w:val="en-US" w:eastAsia="zh-CN"/>
        </w:rPr>
        <w:t>外廓尺寸</w:t>
      </w:r>
      <w:r>
        <w:rPr>
          <w:rFonts w:ascii="FangSong_GB2312" w:hAnsi="FangSong_GB2312" w:eastAsia="FangSong_GB2312" w:cs="FangSong_GB2312"/>
          <w:sz w:val="28"/>
          <w:szCs w:val="28"/>
        </w:rPr>
        <w:t>：</w:t>
      </w:r>
      <w:r>
        <w:rPr>
          <w:rFonts w:hint="eastAsia" w:ascii="FangSong_GB2312" w:hAnsi="FangSong_GB2312" w:eastAsia="FangSong_GB2312" w:cs="FangSong_GB2312"/>
          <w:sz w:val="28"/>
          <w:szCs w:val="28"/>
          <w:lang w:val="en-US" w:eastAsia="zh-CN"/>
        </w:rPr>
        <w:t>≥2500</w:t>
      </w:r>
      <w:r>
        <w:rPr>
          <w:rFonts w:ascii="FangSong_GB2312" w:hAnsi="FangSong_GB2312" w:eastAsia="FangSong_GB2312" w:cs="FangSong_GB2312"/>
          <w:sz w:val="28"/>
          <w:szCs w:val="28"/>
        </w:rPr>
        <w:t>×14</w:t>
      </w:r>
      <w:r>
        <w:rPr>
          <w:rFonts w:hint="eastAsia" w:ascii="FangSong_GB2312" w:hAnsi="FangSong_GB2312" w:eastAsia="FangSong_GB2312" w:cs="FangSong_GB2312"/>
          <w:sz w:val="28"/>
          <w:szCs w:val="28"/>
          <w:lang w:val="en-US" w:eastAsia="zh-CN"/>
        </w:rPr>
        <w:t>30</w:t>
      </w:r>
      <w:r>
        <w:rPr>
          <w:rFonts w:hint="eastAsia" w:ascii="FangSong_GB2312" w:hAnsi="FangSong_GB2312" w:eastAsia="FangSong_GB2312" w:cs="FangSong_GB2312"/>
          <w:sz w:val="28"/>
          <w:szCs w:val="28"/>
        </w:rPr>
        <w:t>×</w:t>
      </w:r>
      <w:r>
        <w:rPr>
          <w:rFonts w:hint="eastAsia" w:ascii="FangSong_GB2312" w:hAnsi="FangSong_GB2312" w:eastAsia="FangSong_GB2312" w:cs="FangSong_GB2312"/>
          <w:sz w:val="28"/>
          <w:szCs w:val="28"/>
          <w:lang w:val="en-US" w:eastAsia="zh-CN"/>
        </w:rPr>
        <w:t>1450</w:t>
      </w:r>
      <w:r>
        <w:rPr>
          <w:rFonts w:ascii="FangSong_GB2312" w:hAnsi="FangSong_GB2312" w:eastAsia="FangSong_GB2312" w:cs="FangSong_GB2312"/>
          <w:sz w:val="28"/>
          <w:szCs w:val="28"/>
        </w:rPr>
        <w:t>mm；</w:t>
      </w:r>
    </w:p>
    <w:p w14:paraId="01468D5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z w:val="28"/>
          <w:szCs w:val="28"/>
        </w:rPr>
        <w:t>制动方式：</w:t>
      </w:r>
      <w:r>
        <w:rPr>
          <w:rFonts w:hint="eastAsia" w:ascii="FangSong_GB2312" w:hAnsi="FangSong_GB2312" w:eastAsia="FangSong_GB2312" w:cs="FangSong_GB2312"/>
          <w:sz w:val="28"/>
          <w:szCs w:val="28"/>
          <w:lang w:val="en-US" w:eastAsia="zh-CN"/>
        </w:rPr>
        <w:t>鼓</w:t>
      </w:r>
      <w:r>
        <w:rPr>
          <w:rFonts w:ascii="FangSong_GB2312" w:hAnsi="FangSong_GB2312" w:eastAsia="FangSong_GB2312" w:cs="FangSong_GB2312"/>
          <w:sz w:val="28"/>
          <w:szCs w:val="28"/>
        </w:rPr>
        <w:t>刹；</w:t>
      </w:r>
    </w:p>
    <w:p w14:paraId="3D18584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z w:val="28"/>
          <w:szCs w:val="28"/>
        </w:rPr>
        <w:t>转向方式：</w:t>
      </w:r>
      <w:r>
        <w:rPr>
          <w:rFonts w:hint="eastAsia" w:ascii="FangSong_GB2312" w:hAnsi="FangSong_GB2312" w:eastAsia="FangSong_GB2312" w:cs="FangSong_GB2312"/>
          <w:sz w:val="28"/>
          <w:szCs w:val="28"/>
          <w:lang w:eastAsia="zh-CN"/>
        </w:rPr>
        <w:t>方向把</w:t>
      </w:r>
      <w:r>
        <w:rPr>
          <w:rFonts w:ascii="FangSong_GB2312" w:hAnsi="FangSong_GB2312" w:eastAsia="FangSong_GB2312" w:cs="FangSong_GB2312"/>
          <w:sz w:val="28"/>
          <w:szCs w:val="28"/>
        </w:rPr>
        <w:t>；</w:t>
      </w:r>
    </w:p>
    <w:p w14:paraId="78F24817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z w:val="28"/>
          <w:szCs w:val="28"/>
        </w:rPr>
        <w:t>传动形式：</w:t>
      </w:r>
      <w:r>
        <w:rPr>
          <w:rFonts w:hint="eastAsia" w:ascii="FangSong_GB2312" w:hAnsi="FangSong_GB2312" w:eastAsia="FangSong_GB2312" w:cs="FangSong_GB2312"/>
          <w:sz w:val="28"/>
          <w:szCs w:val="28"/>
          <w:lang w:val="en-US" w:eastAsia="zh-CN"/>
        </w:rPr>
        <w:t>轴传动</w:t>
      </w:r>
      <w:r>
        <w:rPr>
          <w:rFonts w:ascii="FangSong_GB2312" w:hAnsi="FangSong_GB2312" w:eastAsia="FangSong_GB2312" w:cs="FangSong_GB2312"/>
          <w:sz w:val="28"/>
          <w:szCs w:val="28"/>
        </w:rPr>
        <w:t>；</w:t>
      </w:r>
    </w:p>
    <w:p w14:paraId="4530602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pacing w:val="-4"/>
          <w:kern w:val="0"/>
          <w:sz w:val="28"/>
          <w:szCs w:val="28"/>
          <w:lang w:val="en-US" w:eastAsia="zh-CN" w:bidi="ar-SA"/>
        </w:rPr>
      </w:pPr>
      <w:r>
        <w:rPr>
          <w:rFonts w:ascii="FangSong_GB2312" w:hAnsi="FangSong_GB2312" w:eastAsia="FangSong_GB2312" w:cs="FangSong_GB2312"/>
          <w:sz w:val="28"/>
          <w:szCs w:val="28"/>
        </w:rPr>
        <w:t>轮胎规格：</w:t>
      </w:r>
      <w:r>
        <w:rPr>
          <w:rFonts w:hint="eastAsia" w:ascii="FangSong_GB2312" w:hAnsi="FangSong_GB2312" w:eastAsia="FangSong_GB2312" w:cs="FangSong_GB2312"/>
          <w:sz w:val="28"/>
          <w:szCs w:val="28"/>
          <w:lang w:eastAsia="zh-CN"/>
        </w:rPr>
        <w:t>前</w:t>
      </w:r>
      <w:r>
        <w:rPr>
          <w:rFonts w:ascii="FangSong_GB2312" w:hAnsi="FangSong_GB2312" w:eastAsia="FangSong_GB2312" w:cs="FangSong_GB2312"/>
          <w:sz w:val="28"/>
          <w:szCs w:val="28"/>
        </w:rPr>
        <w:t>5.00-1</w:t>
      </w:r>
      <w:r>
        <w:rPr>
          <w:rFonts w:hint="eastAsia" w:ascii="FangSong_GB2312" w:hAnsi="FangSong_GB2312" w:eastAsia="FangSong_GB2312" w:cs="FangSong_GB2312"/>
          <w:sz w:val="28"/>
          <w:szCs w:val="28"/>
          <w:lang w:val="en-US" w:eastAsia="zh-CN"/>
        </w:rPr>
        <w:t>2</w:t>
      </w:r>
      <w:r>
        <w:rPr>
          <w:rFonts w:ascii="FangSong_GB2312" w:hAnsi="FangSong_GB2312" w:eastAsia="FangSong_GB2312" w:cs="FangSong_GB2312"/>
          <w:sz w:val="28"/>
          <w:szCs w:val="28"/>
        </w:rPr>
        <w:t>/</w:t>
      </w:r>
      <w:r>
        <w:rPr>
          <w:rFonts w:hint="eastAsia" w:ascii="FangSong_GB2312" w:hAnsi="FangSong_GB2312" w:eastAsia="FangSong_GB2312" w:cs="FangSong_GB2312"/>
          <w:sz w:val="28"/>
          <w:szCs w:val="28"/>
          <w:lang w:eastAsia="zh-CN"/>
        </w:rPr>
        <w:t>后</w:t>
      </w:r>
      <w:r>
        <w:rPr>
          <w:rFonts w:hint="eastAsia" w:ascii="FangSong_GB2312" w:hAnsi="FangSong_GB2312" w:eastAsia="FangSong_GB2312" w:cs="FangSong_GB2312"/>
          <w:sz w:val="28"/>
          <w:szCs w:val="28"/>
          <w:lang w:val="en-US" w:eastAsia="zh-CN"/>
        </w:rPr>
        <w:t>5.00</w:t>
      </w:r>
      <w:r>
        <w:rPr>
          <w:rFonts w:ascii="FangSong_GB2312" w:hAnsi="FangSong_GB2312" w:eastAsia="FangSong_GB2312" w:cs="FangSong_GB2312"/>
          <w:sz w:val="28"/>
          <w:szCs w:val="28"/>
        </w:rPr>
        <w:t>-1</w:t>
      </w:r>
      <w:r>
        <w:rPr>
          <w:rFonts w:hint="eastAsia" w:ascii="FangSong_GB2312" w:hAnsi="FangSong_GB2312" w:eastAsia="FangSong_GB2312" w:cs="FangSong_GB2312"/>
          <w:sz w:val="28"/>
          <w:szCs w:val="28"/>
          <w:lang w:val="en-US" w:eastAsia="zh-CN"/>
        </w:rPr>
        <w:t>2，参照或相当于</w:t>
      </w:r>
      <w:r>
        <w:rPr>
          <w:rFonts w:hint="eastAsia" w:ascii="仿宋_GB2312" w:hAnsi="仿宋_GB2312" w:eastAsia="仿宋_GB2312" w:cs="仿宋_GB2312"/>
          <w:snapToGrid w:val="0"/>
          <w:color w:val="000000"/>
          <w:spacing w:val="-4"/>
          <w:kern w:val="0"/>
          <w:sz w:val="28"/>
          <w:szCs w:val="28"/>
          <w:lang w:val="en-US" w:eastAsia="zh-CN" w:bidi="ar-SA"/>
        </w:rPr>
        <w:t>吉路尔矿山钢丝胎；</w:t>
      </w:r>
    </w:p>
    <w:p w14:paraId="3649329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4" w:firstLineChars="200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pacing w:val="-4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pacing w:val="-4"/>
          <w:kern w:val="0"/>
          <w:sz w:val="28"/>
          <w:szCs w:val="28"/>
          <w:lang w:val="en-US" w:eastAsia="zh-CN" w:bidi="ar-SA"/>
        </w:rPr>
        <w:t>减震：</w:t>
      </w:r>
      <w:r>
        <w:rPr>
          <w:rFonts w:hint="eastAsia" w:ascii="FangSong_GB2312" w:hAnsi="FangSong_GB2312" w:eastAsia="FangSong_GB2312" w:cs="FangSong_GB2312"/>
          <w:sz w:val="28"/>
          <w:szCs w:val="28"/>
          <w:lang w:val="en-US" w:eastAsia="zh-CN"/>
        </w:rPr>
        <w:t>参照或相当于</w:t>
      </w:r>
      <w:r>
        <w:rPr>
          <w:rFonts w:hint="eastAsia" w:ascii="仿宋_GB2312" w:hAnsi="仿宋_GB2312" w:eastAsia="仿宋_GB2312" w:cs="仿宋_GB2312"/>
          <w:snapToGrid w:val="0"/>
          <w:color w:val="000000"/>
          <w:spacing w:val="-4"/>
          <w:kern w:val="0"/>
          <w:sz w:val="28"/>
          <w:szCs w:val="28"/>
          <w:lang w:val="en-US" w:eastAsia="zh-CN" w:bidi="ar-SA"/>
        </w:rPr>
        <w:t>43管龙暴外簧浇筑减震；</w:t>
      </w:r>
    </w:p>
    <w:p w14:paraId="58863AB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4" w:firstLineChars="200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pacing w:val="-4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pacing w:val="-4"/>
          <w:kern w:val="0"/>
          <w:sz w:val="28"/>
          <w:szCs w:val="28"/>
          <w:lang w:val="en-US" w:eastAsia="zh-CN" w:bidi="ar-SA"/>
        </w:rPr>
        <w:t>后桥：一体220鼓刹全悬浮；</w:t>
      </w:r>
    </w:p>
    <w:p w14:paraId="05E26BE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4" w:firstLineChars="200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pacing w:val="-4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pacing w:val="-4"/>
          <w:kern w:val="0"/>
          <w:sz w:val="28"/>
          <w:szCs w:val="28"/>
          <w:lang w:val="en-US" w:eastAsia="zh-CN" w:bidi="ar-SA"/>
        </w:rPr>
        <w:t>其他：转换器，空开，T动力，安全制动，真皮发泡棉坐垫。</w:t>
      </w:r>
    </w:p>
    <w:p w14:paraId="1EB6653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4" w:firstLineChars="200"/>
        <w:jc w:val="both"/>
        <w:textAlignment w:val="baseline"/>
        <w:rPr>
          <w:rFonts w:hint="eastAsia" w:ascii="FangSong_GB2312" w:hAnsi="FangSong_GB2312" w:eastAsia="FangSong_GB2312" w:cs="FangSong_GB2312"/>
          <w:b/>
          <w:bCs/>
          <w:spacing w:val="-2"/>
          <w:sz w:val="28"/>
          <w:szCs w:val="28"/>
          <w:lang w:val="en-US" w:eastAsia="zh-CN"/>
        </w:rPr>
      </w:pPr>
      <w:r>
        <w:rPr>
          <w:rFonts w:hint="eastAsia" w:ascii="FangSong_GB2312" w:hAnsi="FangSong_GB2312" w:eastAsia="FangSong_GB2312" w:cs="FangSong_GB2312"/>
          <w:b/>
          <w:bCs/>
          <w:spacing w:val="-2"/>
          <w:sz w:val="28"/>
          <w:szCs w:val="28"/>
          <w:lang w:val="en-US" w:eastAsia="zh-CN"/>
        </w:rPr>
        <w:t>备注：电气系统应能满足强磁场环境下的正常运行（公告为准）。</w:t>
      </w:r>
    </w:p>
    <w:p w14:paraId="51B2785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0" w:firstLineChars="200"/>
        <w:jc w:val="both"/>
        <w:textAlignment w:val="baseline"/>
        <w:rPr>
          <w:rFonts w:ascii="FangSong_GB2312" w:hAnsi="FangSong_GB2312" w:eastAsia="FangSong_GB2312" w:cs="FangSong_GB2312"/>
          <w:b/>
          <w:bCs/>
          <w:spacing w:val="-3"/>
          <w:sz w:val="28"/>
          <w:szCs w:val="28"/>
        </w:rPr>
      </w:pPr>
      <w:r>
        <w:rPr>
          <w:rFonts w:ascii="FangSong_GB2312" w:hAnsi="FangSong_GB2312" w:eastAsia="FangSong_GB2312" w:cs="FangSong_GB2312"/>
          <w:b/>
          <w:bCs/>
          <w:spacing w:val="-3"/>
          <w:sz w:val="28"/>
          <w:szCs w:val="28"/>
        </w:rPr>
        <w:t>4.2设备总性能要求</w:t>
      </w:r>
    </w:p>
    <w:p w14:paraId="64F586B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2"/>
          <w:sz w:val="28"/>
          <w:szCs w:val="28"/>
        </w:rPr>
        <w:t>4.2.1乙方应保证所提供的设备功能完整</w:t>
      </w:r>
      <w:r>
        <w:rPr>
          <w:rFonts w:ascii="FangSong_GB2312" w:hAnsi="FangSong_GB2312" w:eastAsia="FangSong_GB2312" w:cs="FangSong_GB2312"/>
          <w:spacing w:val="-3"/>
          <w:sz w:val="28"/>
          <w:szCs w:val="28"/>
        </w:rPr>
        <w:t>，技术先进，并能满足</w:t>
      </w:r>
      <w:r>
        <w:rPr>
          <w:rFonts w:ascii="FangSong_GB2312" w:hAnsi="FangSong_GB2312" w:eastAsia="FangSong_GB2312" w:cs="FangSong_GB2312"/>
          <w:spacing w:val="-2"/>
          <w:sz w:val="28"/>
          <w:szCs w:val="28"/>
        </w:rPr>
        <w:t>人身安全和劳动保护条件。</w:t>
      </w:r>
    </w:p>
    <w:p w14:paraId="655DDBA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</w:pP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4.2.2所供设备均应正确设计和制造，在正常工况下均能安全、持续运行，而不应有过度的应力、振动、温升、磨损、腐蚀、老化等其他问题，需方欢迎乙方提供优于本规格书要求的先进、成熟、可靠的设备及部件。</w:t>
      </w:r>
    </w:p>
    <w:p w14:paraId="7C6BF92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</w:pP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4.2.3设备零部件应采用先进、可靠的加工制造技术，应有良好的表面几何形状及合适的公差配合，需方不接受带有试制性质的部件。</w:t>
      </w:r>
    </w:p>
    <w:p w14:paraId="3319CF3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</w:pP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4.2.4易于磨损、腐蚀、老化或需要调整、检查和更换的部件应提供备用品，并能比较方便地拆卸、更换和修理。</w:t>
      </w:r>
    </w:p>
    <w:p w14:paraId="15190D7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</w:pP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4.2.5所用的材料及零部件（或元器件）应符合有关规范的要求，且应是新的和优质的，并能满足当地环境条件的要求。外购配套件须选用优质、节能、先进的产品，并有生产许可证及产品检验合格证，严禁采用国家公布的淘汰产品。重要部件需取得需方认可或需方指定，目前国内产品质量尚不过关的部件，可选用进口产品。</w:t>
      </w:r>
    </w:p>
    <w:p w14:paraId="4895C36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</w:pP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4.2.6所使用的零件或组件应有良好的互换性。</w:t>
      </w:r>
    </w:p>
    <w:p w14:paraId="4557D18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</w:pP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4.2.7外购材料及部件乙方应进行检验，并对其质量负全责。</w:t>
      </w:r>
    </w:p>
    <w:p w14:paraId="7AC0905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</w:pP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4.2.8设备标志：</w:t>
      </w:r>
    </w:p>
    <w:p w14:paraId="5C76F6D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</w:pP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fldChar w:fldCharType="begin"/>
      </w: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instrText xml:space="preserve"> HYPERLINK "4.2.8.1" </w:instrText>
      </w: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fldChar w:fldCharType="separate"/>
      </w: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4.2.8.1</w:t>
      </w: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fldChar w:fldCharType="end"/>
      </w: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设备铭牌应采用耐腐蚀的金属板制造。</w:t>
      </w:r>
    </w:p>
    <w:p w14:paraId="7DFC53E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</w:pP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fldChar w:fldCharType="begin"/>
      </w: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instrText xml:space="preserve"> HYPERLINK "4.2.8.2" </w:instrText>
      </w: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fldChar w:fldCharType="separate"/>
      </w: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4.2.8.2</w:t>
      </w: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fldChar w:fldCharType="end"/>
      </w: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铭牌应安放在运行人员容易看到的地方。</w:t>
      </w:r>
    </w:p>
    <w:p w14:paraId="5422963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</w:pP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fldChar w:fldCharType="begin"/>
      </w: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instrText xml:space="preserve"> HYPERLINK "4.2.8.3" </w:instrText>
      </w: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fldChar w:fldCharType="separate"/>
      </w: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4.2.8.3</w:t>
      </w: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fldChar w:fldCharType="end"/>
      </w: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铭牌上应刻有耐磨损的下列内容：制造厂名称；设备名称；设备型号；主要技术参数；出厂日期；出厂编码。</w:t>
      </w:r>
    </w:p>
    <w:p w14:paraId="790EE9C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</w:pP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4.2.9乙方提供的产品必须是全新的最佳产品。要保证安全、稳定、可靠、长周期运行和操作。</w:t>
      </w:r>
    </w:p>
    <w:p w14:paraId="5CC0B4A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</w:pP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4.2.10乙方对所提供的产品的质量、性能完全负责。</w:t>
      </w:r>
    </w:p>
    <w:p w14:paraId="6B042B7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</w:pP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4.2.11乙方提供的产品应满足国家环保排放要求及国家、行业的安全要求。</w:t>
      </w:r>
    </w:p>
    <w:p w14:paraId="189EEA3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</w:pP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4.2.12乙方提供的零部件、易损件、备品备件应有良好的互换性，材质和质量应与图纸规定相一致。</w:t>
      </w:r>
    </w:p>
    <w:p w14:paraId="202819A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</w:pP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4.2.13表面处理与涂漆，应在出厂前完成，在安装前如因运输、安装等原因造成漆面破坏，应在安装调试后予以补涂并应与原表面色保持一致。</w:t>
      </w:r>
    </w:p>
    <w:p w14:paraId="03391B0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</w:pP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fldChar w:fldCharType="begin"/>
      </w: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instrText xml:space="preserve"> HYPERLINK "4.2.14.2" </w:instrText>
      </w: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fldChar w:fldCharType="separate"/>
      </w: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4.2.14.2</w:t>
      </w: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fldChar w:fldCharType="end"/>
      </w: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发动机保养期限按发动机生产厂家三保规定执行。</w:t>
      </w:r>
    </w:p>
    <w:p w14:paraId="7E10C87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2" w:firstLineChars="200"/>
        <w:jc w:val="both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五、供货范围</w:t>
      </w:r>
    </w:p>
    <w:p w14:paraId="3F0AB6D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</w:pP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5.1供货范围</w:t>
      </w:r>
    </w:p>
    <w:p w14:paraId="0ADDD0C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</w:pP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乙方提供配套齐全、技术性能满足本技术规格书要求的电动正三轮摩托车。</w:t>
      </w:r>
    </w:p>
    <w:p w14:paraId="4E5648A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</w:pP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5.2每台电动正三轮摩托车配套1kg灭火器一个，警示三角牌两个；随车配带使用说明书、保养手册、零件目录手册（整车、发动机）、产品合格证；提供车辆修理手册及发动机修理手册（或光盘）。</w:t>
      </w:r>
    </w:p>
    <w:p w14:paraId="41DD70D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</w:pPr>
      <w:r>
        <w:rPr>
          <w:rFonts w:hint="eastAsia" w:ascii="FangSong_GB2312" w:hAnsi="FangSong_GB2312" w:eastAsia="FangSong_GB2312" w:cs="FangSong_GB2312"/>
          <w:spacing w:val="-2"/>
          <w:sz w:val="28"/>
          <w:szCs w:val="28"/>
          <w:lang w:val="en-US" w:eastAsia="zh-CN"/>
        </w:rPr>
        <w:t>5.3随机备品备件（每台车数量如下）</w:t>
      </w:r>
    </w:p>
    <w:p w14:paraId="011FB9FB">
      <w:pPr>
        <w:spacing w:line="20" w:lineRule="exact"/>
      </w:pPr>
    </w:p>
    <w:tbl>
      <w:tblPr>
        <w:tblStyle w:val="5"/>
        <w:tblW w:w="8002" w:type="dxa"/>
        <w:tblInd w:w="16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3"/>
        <w:gridCol w:w="2494"/>
        <w:gridCol w:w="2259"/>
        <w:gridCol w:w="884"/>
        <w:gridCol w:w="1412"/>
      </w:tblGrid>
      <w:tr w14:paraId="5C0A7E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953" w:type="dxa"/>
            <w:vAlign w:val="top"/>
          </w:tcPr>
          <w:p w14:paraId="4B2E8C69">
            <w:pPr>
              <w:spacing w:before="133" w:line="229" w:lineRule="auto"/>
              <w:ind w:left="277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2"/>
                <w:sz w:val="20"/>
                <w:szCs w:val="20"/>
              </w:rPr>
              <w:t>序号</w:t>
            </w:r>
          </w:p>
        </w:tc>
        <w:tc>
          <w:tcPr>
            <w:tcW w:w="2494" w:type="dxa"/>
            <w:vAlign w:val="top"/>
          </w:tcPr>
          <w:p w14:paraId="7AB1BFDA">
            <w:pPr>
              <w:spacing w:before="133" w:line="229" w:lineRule="auto"/>
              <w:ind w:left="104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"/>
                <w:sz w:val="20"/>
                <w:szCs w:val="20"/>
              </w:rPr>
              <w:t>名称</w:t>
            </w:r>
          </w:p>
        </w:tc>
        <w:tc>
          <w:tcPr>
            <w:tcW w:w="2259" w:type="dxa"/>
            <w:vAlign w:val="top"/>
          </w:tcPr>
          <w:p w14:paraId="48030EBE">
            <w:pPr>
              <w:spacing w:before="133" w:line="227" w:lineRule="auto"/>
              <w:ind w:left="719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规格型号</w:t>
            </w:r>
          </w:p>
        </w:tc>
        <w:tc>
          <w:tcPr>
            <w:tcW w:w="884" w:type="dxa"/>
            <w:vAlign w:val="top"/>
          </w:tcPr>
          <w:p w14:paraId="66F0969D">
            <w:pPr>
              <w:spacing w:before="133" w:line="231" w:lineRule="auto"/>
              <w:ind w:left="24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2"/>
                <w:sz w:val="20"/>
                <w:szCs w:val="20"/>
              </w:rPr>
              <w:t>数量</w:t>
            </w:r>
          </w:p>
        </w:tc>
        <w:tc>
          <w:tcPr>
            <w:tcW w:w="1412" w:type="dxa"/>
            <w:vAlign w:val="top"/>
          </w:tcPr>
          <w:p w14:paraId="395EE4E9">
            <w:pPr>
              <w:spacing w:before="133" w:line="229" w:lineRule="auto"/>
              <w:ind w:left="509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"/>
                <w:sz w:val="20"/>
                <w:szCs w:val="20"/>
              </w:rPr>
              <w:t>备注</w:t>
            </w:r>
          </w:p>
        </w:tc>
      </w:tr>
      <w:tr w14:paraId="61F5D8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953" w:type="dxa"/>
            <w:vAlign w:val="top"/>
          </w:tcPr>
          <w:p w14:paraId="1E68F740">
            <w:pPr>
              <w:spacing w:before="167" w:line="195" w:lineRule="auto"/>
              <w:ind w:left="44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z w:val="20"/>
                <w:szCs w:val="20"/>
              </w:rPr>
              <w:t>1</w:t>
            </w:r>
          </w:p>
        </w:tc>
        <w:tc>
          <w:tcPr>
            <w:tcW w:w="2494" w:type="dxa"/>
            <w:vAlign w:val="top"/>
          </w:tcPr>
          <w:p w14:paraId="0BA3F653">
            <w:pPr>
              <w:spacing w:before="160" w:line="229" w:lineRule="auto"/>
              <w:ind w:left="735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前轮胎钢圈</w:t>
            </w:r>
          </w:p>
        </w:tc>
        <w:tc>
          <w:tcPr>
            <w:tcW w:w="2259" w:type="dxa"/>
            <w:vAlign w:val="top"/>
          </w:tcPr>
          <w:p w14:paraId="6EC18F4C">
            <w:pPr>
              <w:spacing w:before="196" w:line="191" w:lineRule="auto"/>
              <w:ind w:left="823"/>
              <w:rPr>
                <w:rFonts w:hint="default" w:ascii="FangSong_GB2312" w:hAnsi="FangSong_GB2312" w:eastAsia="FangSong_GB2312" w:cs="FangSong_GB2312"/>
                <w:sz w:val="20"/>
                <w:szCs w:val="20"/>
                <w:lang w:val="en-US" w:eastAsia="zh-CN"/>
              </w:rPr>
            </w:pPr>
            <w:r>
              <w:rPr>
                <w:rFonts w:ascii="FangSong_GB2312" w:hAnsi="FangSong_GB2312" w:eastAsia="FangSong_GB2312" w:cs="FangSong_GB2312"/>
                <w:spacing w:val="3"/>
                <w:sz w:val="20"/>
                <w:szCs w:val="20"/>
              </w:rPr>
              <w:t>5.0-</w:t>
            </w:r>
            <w:r>
              <w:rPr>
                <w:rFonts w:hint="eastAsia" w:ascii="FangSong_GB2312" w:hAnsi="FangSong_GB2312" w:eastAsia="FangSong_GB2312" w:cs="FangSong_GB2312"/>
                <w:spacing w:val="3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84" w:type="dxa"/>
            <w:vAlign w:val="top"/>
          </w:tcPr>
          <w:p w14:paraId="0AFCDD68">
            <w:pPr>
              <w:spacing w:before="161" w:line="229" w:lineRule="auto"/>
              <w:ind w:left="280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-10"/>
                <w:sz w:val="20"/>
                <w:szCs w:val="20"/>
              </w:rPr>
              <w:t>1个</w:t>
            </w:r>
          </w:p>
        </w:tc>
        <w:tc>
          <w:tcPr>
            <w:tcW w:w="1412" w:type="dxa"/>
            <w:vAlign w:val="top"/>
          </w:tcPr>
          <w:p w14:paraId="03966B38">
            <w:pPr>
              <w:rPr>
                <w:rFonts w:ascii="Arial"/>
                <w:sz w:val="21"/>
              </w:rPr>
            </w:pPr>
          </w:p>
        </w:tc>
      </w:tr>
      <w:tr w14:paraId="4F3907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953" w:type="dxa"/>
            <w:vAlign w:val="top"/>
          </w:tcPr>
          <w:p w14:paraId="53F2ADDF">
            <w:pPr>
              <w:spacing w:before="168" w:line="194" w:lineRule="auto"/>
              <w:ind w:left="431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z w:val="20"/>
                <w:szCs w:val="20"/>
              </w:rPr>
              <w:t>2</w:t>
            </w:r>
          </w:p>
        </w:tc>
        <w:tc>
          <w:tcPr>
            <w:tcW w:w="2494" w:type="dxa"/>
            <w:vAlign w:val="top"/>
          </w:tcPr>
          <w:p w14:paraId="7938DA89">
            <w:pPr>
              <w:spacing w:before="163" w:line="229" w:lineRule="auto"/>
              <w:ind w:left="73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后轮胎钢圈</w:t>
            </w:r>
          </w:p>
        </w:tc>
        <w:tc>
          <w:tcPr>
            <w:tcW w:w="2259" w:type="dxa"/>
            <w:vAlign w:val="top"/>
          </w:tcPr>
          <w:p w14:paraId="11767D8D">
            <w:pPr>
              <w:spacing w:before="199" w:line="191" w:lineRule="auto"/>
              <w:ind w:left="821"/>
              <w:rPr>
                <w:rFonts w:hint="eastAsia" w:ascii="FangSong_GB2312" w:hAnsi="FangSong_GB2312" w:eastAsia="FangSong_GB2312" w:cs="FangSong_GB2312"/>
                <w:sz w:val="20"/>
                <w:szCs w:val="20"/>
                <w:lang w:val="en-US" w:eastAsia="zh-CN"/>
              </w:rPr>
            </w:pPr>
            <w:r>
              <w:rPr>
                <w:rFonts w:ascii="FangSong_GB2312" w:hAnsi="FangSong_GB2312" w:eastAsia="FangSong_GB2312" w:cs="FangSong_GB2312"/>
                <w:spacing w:val="3"/>
                <w:sz w:val="20"/>
                <w:szCs w:val="20"/>
              </w:rPr>
              <w:t>5.0-</w:t>
            </w:r>
            <w:r>
              <w:rPr>
                <w:rFonts w:hint="eastAsia" w:ascii="FangSong_GB2312" w:hAnsi="FangSong_GB2312" w:eastAsia="FangSong_GB2312" w:cs="FangSong_GB2312"/>
                <w:spacing w:val="3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84" w:type="dxa"/>
            <w:vAlign w:val="top"/>
          </w:tcPr>
          <w:p w14:paraId="76965D68">
            <w:pPr>
              <w:spacing w:before="164" w:line="229" w:lineRule="auto"/>
              <w:ind w:left="267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hint="eastAsia" w:ascii="FangSong_GB2312" w:hAnsi="FangSong_GB2312" w:eastAsia="FangSong_GB2312" w:cs="FangSong_GB2312"/>
                <w:spacing w:val="-3"/>
                <w:sz w:val="20"/>
                <w:szCs w:val="20"/>
                <w:lang w:val="en-US" w:eastAsia="zh-CN"/>
              </w:rPr>
              <w:t>2</w:t>
            </w:r>
            <w:r>
              <w:rPr>
                <w:rFonts w:ascii="FangSong_GB2312" w:hAnsi="FangSong_GB2312" w:eastAsia="FangSong_GB2312" w:cs="FangSong_GB2312"/>
                <w:spacing w:val="-3"/>
                <w:sz w:val="20"/>
                <w:szCs w:val="20"/>
              </w:rPr>
              <w:t>个</w:t>
            </w:r>
          </w:p>
        </w:tc>
        <w:tc>
          <w:tcPr>
            <w:tcW w:w="1412" w:type="dxa"/>
            <w:vAlign w:val="top"/>
          </w:tcPr>
          <w:p w14:paraId="3F526FCF">
            <w:pPr>
              <w:rPr>
                <w:rFonts w:ascii="Arial"/>
                <w:sz w:val="21"/>
              </w:rPr>
            </w:pPr>
          </w:p>
        </w:tc>
      </w:tr>
    </w:tbl>
    <w:p w14:paraId="51A1924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38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6"/>
          <w:sz w:val="28"/>
          <w:szCs w:val="28"/>
        </w:rPr>
        <w:t>六、技术资料</w:t>
      </w:r>
    </w:p>
    <w:p w14:paraId="1F5DFC5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6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1"/>
          <w:sz w:val="28"/>
          <w:szCs w:val="28"/>
        </w:rPr>
        <w:t>6.1、乙方交货时应提供，包括但不限于以下内容：</w:t>
      </w:r>
    </w:p>
    <w:p w14:paraId="7B2BA98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28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8"/>
          <w:sz w:val="28"/>
          <w:szCs w:val="28"/>
        </w:rPr>
        <w:t>使用维护说明书每车1份；发动机维修手册每车1份；易损件明</w:t>
      </w:r>
      <w:r>
        <w:rPr>
          <w:rFonts w:ascii="FangSong_GB2312" w:hAnsi="FangSong_GB2312" w:eastAsia="FangSong_GB2312" w:cs="FangSong_GB2312"/>
          <w:spacing w:val="-11"/>
          <w:sz w:val="28"/>
          <w:szCs w:val="28"/>
        </w:rPr>
        <w:t>细表每车1份。</w:t>
      </w:r>
    </w:p>
    <w:p w14:paraId="41741DE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38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6"/>
          <w:sz w:val="28"/>
          <w:szCs w:val="28"/>
        </w:rPr>
        <w:t>七、验收和标准</w:t>
      </w:r>
    </w:p>
    <w:p w14:paraId="27A0AF87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8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3"/>
          <w:sz w:val="28"/>
          <w:szCs w:val="28"/>
        </w:rPr>
        <w:t>7.1、标准</w:t>
      </w:r>
    </w:p>
    <w:p w14:paraId="034EC80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80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5"/>
          <w:sz w:val="28"/>
          <w:szCs w:val="28"/>
        </w:rPr>
        <w:t>乙方所供设备的设计和制造应符合相应的现行有效的国家和行</w:t>
      </w:r>
      <w:r>
        <w:rPr>
          <w:rFonts w:ascii="FangSong_GB2312" w:hAnsi="FangSong_GB2312" w:eastAsia="FangSong_GB2312" w:cs="FangSong_GB2312"/>
          <w:spacing w:val="-4"/>
          <w:sz w:val="28"/>
          <w:szCs w:val="28"/>
        </w:rPr>
        <w:t>业标准，本技术条款的标准与乙方所执行的标准不一致时，按较高标</w:t>
      </w:r>
      <w:r>
        <w:rPr>
          <w:rFonts w:ascii="FangSong_GB2312" w:hAnsi="FangSong_GB2312" w:eastAsia="FangSong_GB2312" w:cs="FangSong_GB2312"/>
          <w:spacing w:val="-5"/>
          <w:sz w:val="28"/>
          <w:szCs w:val="28"/>
        </w:rPr>
        <w:t>准执行。</w:t>
      </w:r>
    </w:p>
    <w:p w14:paraId="10D5855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8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3"/>
          <w:sz w:val="28"/>
          <w:szCs w:val="28"/>
        </w:rPr>
        <w:t>7.2、验收</w:t>
      </w:r>
    </w:p>
    <w:p w14:paraId="35E18E2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0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5"/>
          <w:sz w:val="28"/>
          <w:szCs w:val="28"/>
        </w:rPr>
        <w:t>乙方所供设备应符合相应的现行有效的国家和行业标准，应能满</w:t>
      </w:r>
      <w:r>
        <w:rPr>
          <w:rFonts w:ascii="FangSong_GB2312" w:hAnsi="FangSong_GB2312" w:eastAsia="FangSong_GB2312" w:cs="FangSong_GB2312"/>
          <w:spacing w:val="-1"/>
          <w:sz w:val="28"/>
          <w:szCs w:val="28"/>
        </w:rPr>
        <w:t>足本技术条款中规定的技术性能参数。</w:t>
      </w:r>
    </w:p>
    <w:p w14:paraId="1A033689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0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5"/>
          <w:sz w:val="28"/>
          <w:szCs w:val="28"/>
        </w:rPr>
        <w:t>乙方所供产品到达规定交货地点后，双方应按供货明细核对装箱</w:t>
      </w:r>
      <w:r>
        <w:rPr>
          <w:rFonts w:ascii="FangSong_GB2312" w:hAnsi="FangSong_GB2312" w:eastAsia="FangSong_GB2312" w:cs="FangSong_GB2312"/>
          <w:spacing w:val="-4"/>
          <w:sz w:val="28"/>
          <w:szCs w:val="28"/>
        </w:rPr>
        <w:t>单，开箱检验，对名称、规格、数量、外观质量、外形尺寸、随机技术文件、产品合格证等进行初验。初验合格后，双方代表签字，交由</w:t>
      </w:r>
      <w:r>
        <w:rPr>
          <w:rFonts w:ascii="FangSong_GB2312" w:hAnsi="FangSong_GB2312" w:eastAsia="FangSong_GB2312" w:cs="FangSong_GB2312"/>
          <w:spacing w:val="-2"/>
          <w:sz w:val="28"/>
          <w:szCs w:val="28"/>
        </w:rPr>
        <w:t>甲方负责入库、保管。</w:t>
      </w:r>
    </w:p>
    <w:p w14:paraId="02DBADE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4" w:firstLineChars="200"/>
        <w:jc w:val="both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4"/>
          <w:sz w:val="28"/>
          <w:szCs w:val="28"/>
        </w:rPr>
        <w:t>7.3性能及交工验收</w:t>
      </w:r>
    </w:p>
    <w:p w14:paraId="573F642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0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FangSong_GB2312" w:hAnsi="FangSong_GB2312" w:eastAsia="FangSong_GB2312" w:cs="FangSong_GB2312"/>
          <w:spacing w:val="-5"/>
          <w:sz w:val="28"/>
          <w:szCs w:val="28"/>
        </w:rPr>
        <w:t>由于乙方的责任，在整个制造、安装、调试</w:t>
      </w:r>
      <w:r>
        <w:rPr>
          <w:rFonts w:ascii="FangSong_GB2312" w:hAnsi="FangSong_GB2312" w:eastAsia="FangSong_GB2312" w:cs="FangSong_GB2312"/>
          <w:spacing w:val="-6"/>
          <w:sz w:val="28"/>
          <w:szCs w:val="28"/>
        </w:rPr>
        <w:t>过程中发生的设备及</w:t>
      </w:r>
      <w:r>
        <w:rPr>
          <w:rFonts w:ascii="FangSong_GB2312" w:hAnsi="FangSong_GB2312" w:eastAsia="FangSong_GB2312" w:cs="FangSong_GB2312"/>
          <w:spacing w:val="-4"/>
          <w:sz w:val="28"/>
          <w:szCs w:val="28"/>
        </w:rPr>
        <w:t>零部件的损坏、系统漏风、设备性能达不到要求，乙方有责任负责修</w:t>
      </w:r>
      <w:r>
        <w:rPr>
          <w:rFonts w:ascii="仿宋" w:hAnsi="仿宋" w:eastAsia="仿宋" w:cs="仿宋"/>
          <w:spacing w:val="-2"/>
          <w:sz w:val="28"/>
          <w:szCs w:val="28"/>
        </w:rPr>
        <w:t>复或更换。由此发生的一切费用均由乙方承担。</w:t>
      </w:r>
    </w:p>
    <w:p w14:paraId="271E544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36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甲方根据实际情况有权提出部分小的调整和改动，乙方应同意甲</w:t>
      </w:r>
      <w:r>
        <w:rPr>
          <w:rFonts w:ascii="仿宋" w:hAnsi="仿宋" w:eastAsia="仿宋" w:cs="仿宋"/>
          <w:spacing w:val="-5"/>
          <w:sz w:val="28"/>
          <w:szCs w:val="28"/>
        </w:rPr>
        <w:t>方的要求。</w:t>
      </w:r>
    </w:p>
    <w:p w14:paraId="04C2189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6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4"/>
          <w:sz w:val="28"/>
          <w:szCs w:val="28"/>
        </w:rPr>
        <w:t>八、交货、运输与包装</w:t>
      </w:r>
    </w:p>
    <w:p w14:paraId="12E84A6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4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8.1供货时间：</w:t>
      </w:r>
    </w:p>
    <w:p w14:paraId="6E314DB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6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乙方在</w:t>
      </w:r>
      <w:r>
        <w:rPr>
          <w:rFonts w:hint="eastAsia" w:ascii="仿宋" w:hAnsi="仿宋" w:eastAsia="仿宋" w:cs="仿宋"/>
          <w:spacing w:val="-1"/>
          <w:sz w:val="28"/>
          <w:szCs w:val="28"/>
          <w:lang w:eastAsia="zh-CN"/>
        </w:rPr>
        <w:t>合同约定交货</w:t>
      </w:r>
      <w:r>
        <w:rPr>
          <w:rFonts w:ascii="仿宋" w:hAnsi="仿宋" w:eastAsia="仿宋" w:cs="仿宋"/>
          <w:spacing w:val="-1"/>
          <w:sz w:val="28"/>
          <w:szCs w:val="28"/>
        </w:rPr>
        <w:t>之日内，负责将车辆运至甘肃东</w:t>
      </w:r>
      <w:r>
        <w:rPr>
          <w:rFonts w:ascii="仿宋" w:hAnsi="仿宋" w:eastAsia="仿宋" w:cs="仿宋"/>
          <w:spacing w:val="-2"/>
          <w:sz w:val="28"/>
          <w:szCs w:val="28"/>
        </w:rPr>
        <w:t>兴铝业有限公司</w:t>
      </w:r>
      <w:r>
        <w:rPr>
          <w:rFonts w:hint="eastAsia" w:ascii="仿宋" w:hAnsi="仿宋" w:eastAsia="仿宋" w:cs="仿宋"/>
          <w:spacing w:val="-2"/>
          <w:sz w:val="28"/>
          <w:szCs w:val="28"/>
          <w:lang w:eastAsia="zh-CN"/>
        </w:rPr>
        <w:t>嘉峪关</w:t>
      </w:r>
      <w:r>
        <w:rPr>
          <w:rFonts w:ascii="仿宋" w:hAnsi="仿宋" w:eastAsia="仿宋" w:cs="仿宋"/>
          <w:spacing w:val="-2"/>
          <w:sz w:val="28"/>
          <w:szCs w:val="28"/>
        </w:rPr>
        <w:t>分公司。</w:t>
      </w:r>
    </w:p>
    <w:p w14:paraId="40756277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8.2交货方式：乙方负责产品运送到甲方指定位置，甲方负责卸</w:t>
      </w:r>
      <w:r>
        <w:rPr>
          <w:rFonts w:ascii="仿宋" w:hAnsi="仿宋" w:eastAsia="仿宋" w:cs="仿宋"/>
          <w:spacing w:val="-13"/>
          <w:sz w:val="28"/>
          <w:szCs w:val="28"/>
        </w:rPr>
        <w:t>车。</w:t>
      </w:r>
    </w:p>
    <w:p w14:paraId="655483B5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8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8.3乙方应在所供产品发运前七天，书面通知甲方，以便甲方做好接收事宜。</w:t>
      </w:r>
    </w:p>
    <w:p w14:paraId="5C1C0C9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8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8.4乙方发货后，以甲方最终目的地代表人签收日期为实际到货</w:t>
      </w:r>
      <w:r>
        <w:rPr>
          <w:rFonts w:ascii="仿宋" w:hAnsi="仿宋" w:eastAsia="仿宋" w:cs="仿宋"/>
          <w:spacing w:val="-9"/>
          <w:sz w:val="28"/>
          <w:szCs w:val="28"/>
        </w:rPr>
        <w:t>期。</w:t>
      </w:r>
    </w:p>
    <w:p w14:paraId="1EBB3A8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8.5包装按GB/T13384-92《机</w:t>
      </w:r>
      <w:r>
        <w:rPr>
          <w:rFonts w:ascii="仿宋" w:hAnsi="仿宋" w:eastAsia="仿宋" w:cs="仿宋"/>
          <w:spacing w:val="-3"/>
          <w:sz w:val="28"/>
          <w:szCs w:val="28"/>
        </w:rPr>
        <w:t>电产品包装通用技术条件》执行。</w:t>
      </w:r>
    </w:p>
    <w:p w14:paraId="2CAB102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8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8.6乙方应采用妥当的运输、包装方式，以保证产品不被损坏或</w:t>
      </w:r>
      <w:r>
        <w:rPr>
          <w:rFonts w:ascii="仿宋" w:hAnsi="仿宋" w:eastAsia="仿宋" w:cs="仿宋"/>
          <w:spacing w:val="-4"/>
          <w:sz w:val="28"/>
          <w:szCs w:val="28"/>
        </w:rPr>
        <w:t>丢失。交货前发生的损坏和丢失等不利产品的事项，甲方不承担任何</w:t>
      </w:r>
      <w:r>
        <w:rPr>
          <w:rFonts w:ascii="仿宋" w:hAnsi="仿宋" w:eastAsia="仿宋" w:cs="仿宋"/>
          <w:spacing w:val="-7"/>
          <w:sz w:val="28"/>
          <w:szCs w:val="28"/>
        </w:rPr>
        <w:t>责任。</w:t>
      </w:r>
    </w:p>
    <w:p w14:paraId="0B4D7BE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34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7"/>
          <w:sz w:val="28"/>
          <w:szCs w:val="28"/>
        </w:rPr>
        <w:t>九、技术服务</w:t>
      </w:r>
    </w:p>
    <w:p w14:paraId="1B7A99B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4" w:firstLineChars="200"/>
        <w:jc w:val="both"/>
        <w:textAlignment w:val="baseline"/>
        <w:rPr>
          <w:rFonts w:ascii="仿宋" w:hAnsi="仿宋" w:eastAsia="仿宋" w:cs="仿宋"/>
          <w:spacing w:val="-5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甲方根据设备运行操作、检修需要，要派人到乙方学习和</w:t>
      </w:r>
      <w:r>
        <w:rPr>
          <w:rFonts w:ascii="仿宋" w:hAnsi="仿宋" w:eastAsia="仿宋" w:cs="仿宋"/>
          <w:spacing w:val="-5"/>
          <w:sz w:val="28"/>
          <w:szCs w:val="28"/>
        </w:rPr>
        <w:t>培训，</w:t>
      </w:r>
      <w:r>
        <w:rPr>
          <w:rFonts w:ascii="仿宋" w:hAnsi="仿宋" w:eastAsia="仿宋" w:cs="仿宋"/>
          <w:spacing w:val="-3"/>
          <w:sz w:val="28"/>
          <w:szCs w:val="28"/>
        </w:rPr>
        <w:t>乙方有义务和责任对甲方的技术人员进行技术培训，通过技术培训，</w:t>
      </w:r>
      <w:r>
        <w:rPr>
          <w:rFonts w:ascii="仿宋" w:hAnsi="仿宋" w:eastAsia="仿宋" w:cs="仿宋"/>
          <w:spacing w:val="-4"/>
          <w:sz w:val="28"/>
          <w:szCs w:val="28"/>
        </w:rPr>
        <w:t>应使甲方的技术人员能够掌握设备检修和维护的能力，能及时处理各</w:t>
      </w:r>
      <w:r>
        <w:rPr>
          <w:rFonts w:ascii="仿宋" w:hAnsi="仿宋" w:eastAsia="仿宋" w:cs="仿宋"/>
          <w:spacing w:val="-5"/>
          <w:sz w:val="28"/>
          <w:szCs w:val="28"/>
        </w:rPr>
        <w:t>种故障。</w:t>
      </w:r>
    </w:p>
    <w:p w14:paraId="08D89D8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0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乙方提供的合同设备如发生由于设计、制造、安装等问题而出现</w:t>
      </w:r>
      <w:r>
        <w:rPr>
          <w:rFonts w:ascii="仿宋" w:hAnsi="仿宋" w:eastAsia="仿宋" w:cs="仿宋"/>
          <w:spacing w:val="-9"/>
          <w:sz w:val="28"/>
          <w:szCs w:val="28"/>
        </w:rPr>
        <w:t>的故障，</w:t>
      </w:r>
      <w:r>
        <w:rPr>
          <w:rFonts w:ascii="仿宋" w:hAnsi="仿宋" w:eastAsia="仿宋" w:cs="仿宋"/>
          <w:spacing w:val="-2"/>
          <w:sz w:val="28"/>
          <w:szCs w:val="28"/>
        </w:rPr>
        <w:t>甲方无法处理的，乙方接到通知后应及时派出技术人员在48小</w:t>
      </w:r>
      <w:r>
        <w:rPr>
          <w:rFonts w:ascii="仿宋" w:hAnsi="仿宋" w:eastAsia="仿宋" w:cs="仿宋"/>
          <w:spacing w:val="-1"/>
          <w:sz w:val="28"/>
          <w:szCs w:val="28"/>
        </w:rPr>
        <w:t>时内到达现场，解决和处理由此发生的一切</w:t>
      </w:r>
      <w:r>
        <w:rPr>
          <w:rFonts w:ascii="仿宋" w:hAnsi="仿宋" w:eastAsia="仿宋" w:cs="仿宋"/>
          <w:spacing w:val="-2"/>
          <w:sz w:val="28"/>
          <w:szCs w:val="28"/>
        </w:rPr>
        <w:t>费用均应由乙方负担。</w:t>
      </w:r>
    </w:p>
    <w:p w14:paraId="4828355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34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7"/>
          <w:sz w:val="28"/>
          <w:szCs w:val="28"/>
        </w:rPr>
        <w:t>十、质量保证</w:t>
      </w:r>
    </w:p>
    <w:p w14:paraId="75AAFD2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8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10.1乙方保证对所供产品出现的质量问题承担全部责任。</w:t>
      </w:r>
    </w:p>
    <w:p w14:paraId="43BDC01A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10.2在规定的质保期内，乙方应保证按投标书承诺的质量、售</w:t>
      </w:r>
      <w:r>
        <w:rPr>
          <w:rFonts w:ascii="仿宋" w:hAnsi="仿宋" w:eastAsia="仿宋" w:cs="仿宋"/>
          <w:spacing w:val="-3"/>
          <w:sz w:val="28"/>
          <w:szCs w:val="28"/>
        </w:rPr>
        <w:t>后服务条款履行责任。</w:t>
      </w:r>
    </w:p>
    <w:p w14:paraId="7B78B037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10.3甲方应严格按照使用说明书的规定和要求操纵、维护和保</w:t>
      </w:r>
      <w:r>
        <w:rPr>
          <w:rFonts w:ascii="仿宋" w:hAnsi="仿宋" w:eastAsia="仿宋" w:cs="仿宋"/>
          <w:spacing w:val="-4"/>
          <w:sz w:val="28"/>
          <w:szCs w:val="28"/>
        </w:rPr>
        <w:t>养，如果甲方在使用过程中操作不当</w:t>
      </w:r>
      <w:r>
        <w:rPr>
          <w:rFonts w:ascii="仿宋" w:hAnsi="仿宋" w:eastAsia="仿宋" w:cs="仿宋"/>
          <w:spacing w:val="-1"/>
          <w:sz w:val="28"/>
          <w:szCs w:val="28"/>
        </w:rPr>
        <w:t>造成车辆损坏，甲方承担全部责任。</w:t>
      </w:r>
    </w:p>
    <w:p w14:paraId="291E101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4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"/>
          <w:sz w:val="28"/>
          <w:szCs w:val="28"/>
        </w:rPr>
        <w:t>10.4乙方不得以任何形式将合同产品的制造加工转让给下属服</w:t>
      </w:r>
      <w:r>
        <w:rPr>
          <w:rFonts w:ascii="仿宋" w:hAnsi="仿宋" w:eastAsia="仿宋" w:cs="仿宋"/>
          <w:spacing w:val="-2"/>
          <w:sz w:val="28"/>
          <w:szCs w:val="28"/>
        </w:rPr>
        <w:t>务公司、第三产业或扩散给第三方。</w:t>
      </w:r>
    </w:p>
    <w:p w14:paraId="4A2DF8C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34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7"/>
          <w:sz w:val="28"/>
          <w:szCs w:val="28"/>
        </w:rPr>
        <w:t>十一、质保期</w:t>
      </w:r>
    </w:p>
    <w:p w14:paraId="71B7D07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6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质保期为设备验收后12个月（其中发动机、变速箱、驱动</w:t>
      </w:r>
      <w:r>
        <w:rPr>
          <w:rFonts w:ascii="仿宋" w:hAnsi="仿宋" w:eastAsia="仿宋" w:cs="仿宋"/>
          <w:spacing w:val="-2"/>
          <w:sz w:val="28"/>
          <w:szCs w:val="28"/>
        </w:rPr>
        <w:t>桥、</w:t>
      </w:r>
      <w:r>
        <w:rPr>
          <w:rFonts w:ascii="仿宋" w:hAnsi="仿宋" w:eastAsia="仿宋" w:cs="仿宋"/>
          <w:spacing w:val="-5"/>
          <w:sz w:val="28"/>
          <w:szCs w:val="28"/>
        </w:rPr>
        <w:t>油缸、油泵、轮胎执行配套厂家三保标准</w:t>
      </w:r>
      <w:r>
        <w:rPr>
          <w:rFonts w:ascii="仿宋" w:hAnsi="仿宋" w:eastAsia="仿宋" w:cs="仿宋"/>
          <w:spacing w:val="13"/>
          <w:sz w:val="28"/>
          <w:szCs w:val="28"/>
        </w:rPr>
        <w:t>），</w:t>
      </w:r>
      <w:r>
        <w:rPr>
          <w:rFonts w:ascii="仿宋" w:hAnsi="仿宋" w:eastAsia="仿宋" w:cs="仿宋"/>
          <w:spacing w:val="-5"/>
          <w:sz w:val="28"/>
          <w:szCs w:val="28"/>
        </w:rPr>
        <w:t>电器、易损、易碎件不</w:t>
      </w:r>
      <w:r>
        <w:rPr>
          <w:rFonts w:ascii="仿宋" w:hAnsi="仿宋" w:eastAsia="仿宋" w:cs="仿宋"/>
          <w:spacing w:val="-3"/>
          <w:sz w:val="28"/>
          <w:szCs w:val="28"/>
        </w:rPr>
        <w:t>属于质保范围。</w:t>
      </w:r>
    </w:p>
    <w:p w14:paraId="54D388E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6" w:firstLineChars="200"/>
        <w:jc w:val="both"/>
        <w:textAlignment w:val="baseline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十二、未尽事宜</w:t>
      </w:r>
    </w:p>
    <w:p w14:paraId="71138FE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4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12.1</w:t>
      </w:r>
      <w:r>
        <w:rPr>
          <w:rFonts w:ascii="仿宋" w:hAnsi="仿宋" w:eastAsia="仿宋" w:cs="仿宋"/>
          <w:spacing w:val="-5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本规格书一式三份，</w:t>
      </w:r>
      <w:r>
        <w:rPr>
          <w:rFonts w:ascii="仿宋" w:hAnsi="仿宋" w:eastAsia="仿宋" w:cs="仿宋"/>
          <w:spacing w:val="-8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甲方执二份，乙方</w:t>
      </w:r>
      <w:r>
        <w:rPr>
          <w:rFonts w:ascii="仿宋" w:hAnsi="仿宋" w:eastAsia="仿宋" w:cs="仿宋"/>
          <w:spacing w:val="-5"/>
          <w:sz w:val="28"/>
          <w:szCs w:val="28"/>
        </w:rPr>
        <w:t>执一份。</w:t>
      </w:r>
    </w:p>
    <w:p w14:paraId="6492C9B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12.2</w:t>
      </w:r>
      <w:r>
        <w:rPr>
          <w:rFonts w:ascii="仿宋" w:hAnsi="仿宋" w:eastAsia="仿宋" w:cs="仿宋"/>
          <w:spacing w:val="-4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本规格书自双方签字之日起生效，协议事项全部完成之日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后失效。</w:t>
      </w:r>
    </w:p>
    <w:p w14:paraId="1E98E9C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36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12.3</w:t>
      </w:r>
      <w:r>
        <w:rPr>
          <w:rFonts w:ascii="仿宋" w:hAnsi="仿宋" w:eastAsia="仿宋" w:cs="仿宋"/>
          <w:spacing w:val="-3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其他未尽事宜，</w:t>
      </w:r>
      <w:r>
        <w:rPr>
          <w:rFonts w:ascii="仿宋" w:hAnsi="仿宋" w:eastAsia="仿宋" w:cs="仿宋"/>
          <w:spacing w:val="-8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甲乙双方协商解决。</w:t>
      </w:r>
    </w:p>
    <w:p w14:paraId="5A64AEA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28" w:firstLineChars="200"/>
        <w:jc w:val="both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12.4</w:t>
      </w:r>
      <w:r>
        <w:rPr>
          <w:rFonts w:ascii="仿宋" w:hAnsi="仿宋" w:eastAsia="仿宋" w:cs="仿宋"/>
          <w:spacing w:val="-5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本规格书内容经由甲乙双方于</w:t>
      </w:r>
      <w:r>
        <w:rPr>
          <w:rFonts w:ascii="仿宋" w:hAnsi="仿宋" w:eastAsia="仿宋" w:cs="仿宋"/>
          <w:spacing w:val="-8"/>
          <w:sz w:val="28"/>
          <w:szCs w:val="28"/>
          <w:u w:val="single" w:color="auto"/>
        </w:rPr>
        <w:t xml:space="preserve">   </w:t>
      </w:r>
      <w:r>
        <w:rPr>
          <w:rFonts w:ascii="仿宋" w:hAnsi="仿宋" w:eastAsia="仿宋" w:cs="仿宋"/>
          <w:spacing w:val="-11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年</w:t>
      </w:r>
      <w:r>
        <w:rPr>
          <w:rFonts w:ascii="仿宋" w:hAnsi="仿宋" w:eastAsia="仿宋" w:cs="仿宋"/>
          <w:spacing w:val="-8"/>
          <w:sz w:val="28"/>
          <w:szCs w:val="28"/>
          <w:u w:val="single" w:color="auto"/>
        </w:rPr>
        <w:t xml:space="preserve">  </w:t>
      </w:r>
      <w:r>
        <w:rPr>
          <w:rFonts w:ascii="仿宋" w:hAnsi="仿宋" w:eastAsia="仿宋" w:cs="仿宋"/>
          <w:spacing w:val="-10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月</w:t>
      </w:r>
      <w:r>
        <w:rPr>
          <w:rFonts w:ascii="仿宋" w:hAnsi="仿宋" w:eastAsia="仿宋" w:cs="仿宋"/>
          <w:spacing w:val="-8"/>
          <w:sz w:val="28"/>
          <w:szCs w:val="28"/>
          <w:u w:val="single" w:color="auto"/>
        </w:rPr>
        <w:t xml:space="preserve">  </w:t>
      </w:r>
      <w:r>
        <w:rPr>
          <w:rFonts w:ascii="仿宋" w:hAnsi="仿宋" w:eastAsia="仿宋" w:cs="仿宋"/>
          <w:spacing w:val="-6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日</w:t>
      </w:r>
      <w:r>
        <w:rPr>
          <w:rFonts w:ascii="仿宋" w:hAnsi="仿宋" w:eastAsia="仿宋" w:cs="仿宋"/>
          <w:spacing w:val="-8"/>
          <w:sz w:val="28"/>
          <w:szCs w:val="28"/>
          <w:u w:val="single" w:color="auto"/>
        </w:rPr>
        <w:t xml:space="preserve">  </w:t>
      </w:r>
      <w:r>
        <w:rPr>
          <w:rFonts w:ascii="仿宋" w:hAnsi="仿宋" w:eastAsia="仿宋" w:cs="仿宋"/>
          <w:spacing w:val="-10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时至</w:t>
      </w:r>
      <w:r>
        <w:rPr>
          <w:rFonts w:ascii="仿宋" w:hAnsi="仿宋" w:eastAsia="仿宋" w:cs="仿宋"/>
          <w:spacing w:val="-8"/>
          <w:sz w:val="28"/>
          <w:szCs w:val="28"/>
          <w:u w:val="single" w:color="auto"/>
        </w:rPr>
        <w:t xml:space="preserve">  </w:t>
      </w:r>
      <w:r>
        <w:rPr>
          <w:rFonts w:ascii="仿宋" w:hAnsi="仿宋" w:eastAsia="仿宋" w:cs="仿宋"/>
          <w:spacing w:val="-10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时通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过</w:t>
      </w:r>
      <w:r>
        <w:rPr>
          <w:rFonts w:ascii="仿宋" w:hAnsi="仿宋" w:eastAsia="仿宋" w:cs="仿宋"/>
          <w:spacing w:val="17"/>
          <w:sz w:val="28"/>
          <w:szCs w:val="28"/>
          <w:u w:val="single" w:color="auto"/>
        </w:rPr>
        <w:t xml:space="preserve">     </w:t>
      </w:r>
      <w:r>
        <w:rPr>
          <w:rFonts w:hint="eastAsia" w:ascii="仿宋" w:hAnsi="仿宋" w:eastAsia="仿宋" w:cs="仿宋"/>
          <w:spacing w:val="17"/>
          <w:sz w:val="28"/>
          <w:szCs w:val="28"/>
          <w:u w:val="single" w:color="auto"/>
          <w:lang w:val="en-US" w:eastAsia="zh-CN"/>
        </w:rPr>
        <w:t xml:space="preserve">       </w:t>
      </w:r>
      <w:r>
        <w:rPr>
          <w:rFonts w:ascii="仿宋" w:hAnsi="仿宋" w:eastAsia="仿宋" w:cs="仿宋"/>
          <w:spacing w:val="17"/>
          <w:sz w:val="28"/>
          <w:szCs w:val="28"/>
          <w:u w:val="single" w:color="auto"/>
        </w:rPr>
        <w:t xml:space="preserve">   </w:t>
      </w:r>
      <w:r>
        <w:rPr>
          <w:rFonts w:ascii="仿宋" w:hAnsi="仿宋" w:eastAsia="仿宋" w:cs="仿宋"/>
          <w:spacing w:val="-11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8"/>
          <w:sz w:val="28"/>
          <w:szCs w:val="28"/>
        </w:rPr>
        <w:t>方式商定。</w:t>
      </w:r>
    </w:p>
    <w:p w14:paraId="06C98CC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jc w:val="both"/>
        <w:textAlignment w:val="baseline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12.5 甲乙双方应当就签订本规格书的相关事宜保密，不得将签订主体、时间、内容等信息透露给其他第三人。</w:t>
      </w:r>
    </w:p>
    <w:p w14:paraId="4107D49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jc w:val="both"/>
        <w:textAlignment w:val="baseline"/>
        <w:rPr>
          <w:rFonts w:ascii="仿宋" w:hAnsi="仿宋" w:eastAsia="仿宋" w:cs="仿宋"/>
          <w:spacing w:val="2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12.6 若</w:t>
      </w:r>
      <w:r>
        <w:rPr>
          <w:rFonts w:ascii="仿宋" w:hAnsi="仿宋" w:eastAsia="仿宋" w:cs="仿宋"/>
          <w:spacing w:val="2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pacing w:val="2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ascii="仿宋" w:hAnsi="仿宋" w:eastAsia="仿宋" w:cs="仿宋"/>
          <w:spacing w:val="2"/>
          <w:sz w:val="28"/>
          <w:szCs w:val="28"/>
          <w:u w:val="single"/>
        </w:rPr>
        <w:t xml:space="preserve">       </w:t>
      </w:r>
      <w:r>
        <w:rPr>
          <w:rFonts w:ascii="仿宋" w:hAnsi="仿宋" w:eastAsia="仿宋" w:cs="仿宋"/>
          <w:spacing w:val="2"/>
          <w:sz w:val="28"/>
          <w:szCs w:val="28"/>
        </w:rPr>
        <w:t>单位不中标，本技术规格书自动失效，双方互不承担任何责任。</w:t>
      </w:r>
    </w:p>
    <w:p w14:paraId="0670337E">
      <w:pPr>
        <w:spacing w:before="16"/>
      </w:pPr>
    </w:p>
    <w:p w14:paraId="34C3C246">
      <w:pPr>
        <w:spacing w:before="16"/>
      </w:pPr>
    </w:p>
    <w:p w14:paraId="5C8282AF">
      <w:pPr>
        <w:spacing w:before="16"/>
      </w:pPr>
    </w:p>
    <w:p w14:paraId="6B42630D">
      <w:pPr>
        <w:spacing w:before="16"/>
      </w:pPr>
    </w:p>
    <w:p w14:paraId="40CA376C">
      <w:pPr>
        <w:spacing w:before="16"/>
      </w:pPr>
    </w:p>
    <w:p w14:paraId="1E6E83C5">
      <w:pPr>
        <w:sectPr>
          <w:footerReference r:id="rId6" w:type="default"/>
          <w:type w:val="continuous"/>
          <w:pgSz w:w="11906" w:h="16839"/>
          <w:pgMar w:top="1431" w:right="1785" w:bottom="1152" w:left="1705" w:header="0" w:footer="987" w:gutter="0"/>
          <w:cols w:equalWidth="0" w:num="1">
            <w:col w:w="8416"/>
          </w:cols>
        </w:sectPr>
      </w:pPr>
    </w:p>
    <w:p w14:paraId="745713B2">
      <w:pPr>
        <w:spacing w:before="56" w:line="397" w:lineRule="auto"/>
        <w:ind w:left="859" w:right="1117" w:hanging="819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5"/>
          <w:sz w:val="28"/>
          <w:szCs w:val="28"/>
        </w:rPr>
        <w:t>甲方：甘肃东兴铝业有限公司</w:t>
      </w:r>
      <w:r>
        <w:rPr>
          <w:rFonts w:ascii="FangSong_GB2312" w:hAnsi="FangSong_GB2312" w:eastAsia="FangSong_GB2312" w:cs="FangSong_GB2312"/>
          <w:spacing w:val="9"/>
          <w:sz w:val="28"/>
          <w:szCs w:val="28"/>
        </w:rPr>
        <w:t xml:space="preserve"> </w:t>
      </w:r>
      <w:r>
        <w:rPr>
          <w:rFonts w:hint="eastAsia" w:ascii="FangSong_GB2312" w:hAnsi="FangSong_GB2312" w:eastAsia="FangSong_GB2312" w:cs="FangSong_GB2312"/>
          <w:spacing w:val="9"/>
          <w:sz w:val="28"/>
          <w:szCs w:val="28"/>
          <w:lang w:eastAsia="zh-CN"/>
        </w:rPr>
        <w:t>嘉峪关</w:t>
      </w:r>
      <w:r>
        <w:rPr>
          <w:rFonts w:ascii="FangSong_GB2312" w:hAnsi="FangSong_GB2312" w:eastAsia="FangSong_GB2312" w:cs="FangSong_GB2312"/>
          <w:spacing w:val="-7"/>
          <w:sz w:val="28"/>
          <w:szCs w:val="28"/>
        </w:rPr>
        <w:t>分公司</w:t>
      </w:r>
    </w:p>
    <w:p w14:paraId="128A630E">
      <w:pPr>
        <w:spacing w:before="44" w:line="396" w:lineRule="auto"/>
        <w:ind w:left="14" w:right="412" w:hanging="10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10"/>
          <w:sz w:val="28"/>
          <w:szCs w:val="28"/>
        </w:rPr>
        <w:t>地址：甘肃</w:t>
      </w:r>
      <w:r>
        <w:rPr>
          <w:rFonts w:hint="eastAsia" w:ascii="FangSong_GB2312" w:hAnsi="FangSong_GB2312" w:eastAsia="FangSong_GB2312" w:cs="FangSong_GB2312"/>
          <w:spacing w:val="-10"/>
          <w:sz w:val="28"/>
          <w:szCs w:val="28"/>
          <w:lang w:eastAsia="zh-CN"/>
        </w:rPr>
        <w:t>省嘉峪关市</w:t>
      </w:r>
    </w:p>
    <w:p w14:paraId="3288A9EE">
      <w:pPr>
        <w:spacing w:before="49" w:line="395" w:lineRule="auto"/>
        <w:ind w:left="3" w:right="3420" w:hanging="3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16"/>
          <w:sz w:val="28"/>
          <w:szCs w:val="28"/>
        </w:rPr>
        <w:t>联系电话：</w:t>
      </w:r>
      <w:r>
        <w:rPr>
          <w:rFonts w:ascii="FangSong_GB2312" w:hAnsi="FangSong_GB2312" w:eastAsia="FangSong_GB2312" w:cs="FangSong_GB2312"/>
          <w:spacing w:val="2"/>
          <w:sz w:val="28"/>
          <w:szCs w:val="28"/>
        </w:rPr>
        <w:t xml:space="preserve"> </w:t>
      </w:r>
      <w:r>
        <w:rPr>
          <w:rFonts w:ascii="FangSong_GB2312" w:hAnsi="FangSong_GB2312" w:eastAsia="FangSong_GB2312" w:cs="FangSong_GB2312"/>
          <w:spacing w:val="-16"/>
          <w:sz w:val="28"/>
          <w:szCs w:val="28"/>
        </w:rPr>
        <w:t>授权代表：</w:t>
      </w:r>
    </w:p>
    <w:p w14:paraId="79FD1A52">
      <w:pPr>
        <w:spacing w:before="48" w:line="190" w:lineRule="auto"/>
        <w:ind w:left="9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10"/>
          <w:sz w:val="28"/>
          <w:szCs w:val="28"/>
        </w:rPr>
        <w:t>签订日期：</w:t>
      </w:r>
      <w:r>
        <w:rPr>
          <w:rFonts w:ascii="FangSong_GB2312" w:hAnsi="FangSong_GB2312" w:eastAsia="FangSong_GB2312" w:cs="FangSong_GB2312"/>
          <w:spacing w:val="11"/>
          <w:sz w:val="28"/>
          <w:szCs w:val="28"/>
        </w:rPr>
        <w:t xml:space="preserve">  </w:t>
      </w:r>
      <w:r>
        <w:rPr>
          <w:rFonts w:ascii="FangSong_GB2312" w:hAnsi="FangSong_GB2312" w:eastAsia="FangSong_GB2312" w:cs="FangSong_GB2312"/>
          <w:spacing w:val="-10"/>
          <w:sz w:val="28"/>
          <w:szCs w:val="28"/>
        </w:rPr>
        <w:t>年</w:t>
      </w:r>
      <w:r>
        <w:rPr>
          <w:rFonts w:ascii="FangSong_GB2312" w:hAnsi="FangSong_GB2312" w:eastAsia="FangSong_GB2312" w:cs="FangSong_GB2312"/>
          <w:spacing w:val="15"/>
          <w:sz w:val="28"/>
          <w:szCs w:val="28"/>
        </w:rPr>
        <w:t xml:space="preserve">  </w:t>
      </w:r>
      <w:r>
        <w:rPr>
          <w:rFonts w:ascii="FangSong_GB2312" w:hAnsi="FangSong_GB2312" w:eastAsia="FangSong_GB2312" w:cs="FangSong_GB2312"/>
          <w:spacing w:val="-10"/>
          <w:sz w:val="28"/>
          <w:szCs w:val="28"/>
        </w:rPr>
        <w:t>月</w:t>
      </w:r>
      <w:r>
        <w:rPr>
          <w:rFonts w:ascii="FangSong_GB2312" w:hAnsi="FangSong_GB2312" w:eastAsia="FangSong_GB2312" w:cs="FangSong_GB2312"/>
          <w:spacing w:val="40"/>
          <w:sz w:val="28"/>
          <w:szCs w:val="28"/>
        </w:rPr>
        <w:t xml:space="preserve">  </w:t>
      </w:r>
      <w:r>
        <w:rPr>
          <w:rFonts w:ascii="FangSong_GB2312" w:hAnsi="FangSong_GB2312" w:eastAsia="FangSong_GB2312" w:cs="FangSong_GB2312"/>
          <w:spacing w:val="-10"/>
          <w:sz w:val="28"/>
          <w:szCs w:val="28"/>
        </w:rPr>
        <w:t>日</w:t>
      </w:r>
    </w:p>
    <w:p w14:paraId="7E103AF1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1CFCD484">
      <w:pPr>
        <w:spacing w:before="56" w:line="225" w:lineRule="auto"/>
        <w:ind w:left="23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13"/>
          <w:sz w:val="28"/>
          <w:szCs w:val="28"/>
        </w:rPr>
        <w:t>乙方：</w:t>
      </w:r>
    </w:p>
    <w:p w14:paraId="1A76F9B8">
      <w:pPr>
        <w:pStyle w:val="2"/>
        <w:spacing w:line="270" w:lineRule="auto"/>
      </w:pPr>
    </w:p>
    <w:p w14:paraId="673425F5">
      <w:pPr>
        <w:pStyle w:val="2"/>
        <w:spacing w:line="270" w:lineRule="auto"/>
      </w:pPr>
    </w:p>
    <w:p w14:paraId="3321A6B1">
      <w:pPr>
        <w:pStyle w:val="2"/>
        <w:spacing w:line="270" w:lineRule="auto"/>
      </w:pPr>
    </w:p>
    <w:p w14:paraId="7D5B4816">
      <w:pPr>
        <w:spacing w:before="92" w:line="360" w:lineRule="auto"/>
        <w:ind w:left="4"/>
        <w:rPr>
          <w:rFonts w:ascii="FangSong_GB2312" w:hAnsi="FangSong_GB2312" w:eastAsia="FangSong_GB2312" w:cs="FangSong_GB2312"/>
          <w:spacing w:val="-16"/>
          <w:sz w:val="28"/>
          <w:szCs w:val="28"/>
        </w:rPr>
      </w:pPr>
      <w:r>
        <w:rPr>
          <w:rFonts w:ascii="FangSong_GB2312" w:hAnsi="FangSong_GB2312" w:eastAsia="FangSong_GB2312" w:cs="FangSong_GB2312"/>
          <w:spacing w:val="-6"/>
          <w:sz w:val="28"/>
          <w:szCs w:val="28"/>
        </w:rPr>
        <w:t>地址：</w:t>
      </w:r>
    </w:p>
    <w:p w14:paraId="56B1AB83">
      <w:pPr>
        <w:spacing w:before="92" w:line="360" w:lineRule="auto"/>
        <w:ind w:right="2248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16"/>
          <w:sz w:val="28"/>
          <w:szCs w:val="28"/>
        </w:rPr>
        <w:t>联系电话：</w:t>
      </w:r>
      <w:r>
        <w:rPr>
          <w:rFonts w:ascii="FangSong_GB2312" w:hAnsi="FangSong_GB2312" w:eastAsia="FangSong_GB2312" w:cs="FangSong_GB2312"/>
          <w:spacing w:val="2"/>
          <w:sz w:val="28"/>
          <w:szCs w:val="28"/>
        </w:rPr>
        <w:t xml:space="preserve"> </w:t>
      </w:r>
      <w:r>
        <w:rPr>
          <w:rFonts w:ascii="FangSong_GB2312" w:hAnsi="FangSong_GB2312" w:eastAsia="FangSong_GB2312" w:cs="FangSong_GB2312"/>
          <w:spacing w:val="-16"/>
          <w:sz w:val="28"/>
          <w:szCs w:val="28"/>
        </w:rPr>
        <w:t>授权代表：</w:t>
      </w:r>
    </w:p>
    <w:p w14:paraId="7C4B181E">
      <w:pPr>
        <w:spacing w:before="47" w:line="360" w:lineRule="auto"/>
        <w:ind w:left="9"/>
        <w:rPr>
          <w:rFonts w:ascii="FangSong_GB2312" w:hAnsi="FangSong_GB2312" w:eastAsia="FangSong_GB2312" w:cs="FangSong_GB2312"/>
          <w:spacing w:val="-10"/>
          <w:sz w:val="28"/>
          <w:szCs w:val="28"/>
        </w:rPr>
      </w:pPr>
      <w:r>
        <w:rPr>
          <w:rFonts w:ascii="FangSong_GB2312" w:hAnsi="FangSong_GB2312" w:eastAsia="FangSong_GB2312" w:cs="FangSong_GB2312"/>
          <w:spacing w:val="-10"/>
          <w:sz w:val="28"/>
          <w:szCs w:val="28"/>
        </w:rPr>
        <w:t>签订日期：</w:t>
      </w:r>
      <w:r>
        <w:rPr>
          <w:rFonts w:ascii="FangSong_GB2312" w:hAnsi="FangSong_GB2312" w:eastAsia="FangSong_GB2312" w:cs="FangSong_GB2312"/>
          <w:spacing w:val="7"/>
          <w:sz w:val="28"/>
          <w:szCs w:val="28"/>
        </w:rPr>
        <w:t xml:space="preserve">   </w:t>
      </w:r>
      <w:r>
        <w:rPr>
          <w:rFonts w:ascii="FangSong_GB2312" w:hAnsi="FangSong_GB2312" w:eastAsia="FangSong_GB2312" w:cs="FangSong_GB2312"/>
          <w:spacing w:val="-10"/>
          <w:sz w:val="28"/>
          <w:szCs w:val="28"/>
        </w:rPr>
        <w:t>年</w:t>
      </w:r>
      <w:r>
        <w:rPr>
          <w:rFonts w:ascii="FangSong_GB2312" w:hAnsi="FangSong_GB2312" w:eastAsia="FangSong_GB2312" w:cs="FangSong_GB2312"/>
          <w:spacing w:val="16"/>
          <w:sz w:val="28"/>
          <w:szCs w:val="28"/>
        </w:rPr>
        <w:t xml:space="preserve">  </w:t>
      </w:r>
      <w:r>
        <w:rPr>
          <w:rFonts w:ascii="FangSong_GB2312" w:hAnsi="FangSong_GB2312" w:eastAsia="FangSong_GB2312" w:cs="FangSong_GB2312"/>
          <w:spacing w:val="-10"/>
          <w:sz w:val="28"/>
          <w:szCs w:val="28"/>
        </w:rPr>
        <w:t>月</w:t>
      </w:r>
      <w:r>
        <w:rPr>
          <w:rFonts w:ascii="FangSong_GB2312" w:hAnsi="FangSong_GB2312" w:eastAsia="FangSong_GB2312" w:cs="FangSong_GB2312"/>
          <w:spacing w:val="39"/>
          <w:sz w:val="28"/>
          <w:szCs w:val="28"/>
        </w:rPr>
        <w:t xml:space="preserve">  </w:t>
      </w:r>
      <w:r>
        <w:rPr>
          <w:rFonts w:ascii="FangSong_GB2312" w:hAnsi="FangSong_GB2312" w:eastAsia="FangSong_GB2312" w:cs="FangSong_GB2312"/>
          <w:spacing w:val="-10"/>
          <w:sz w:val="28"/>
          <w:szCs w:val="28"/>
        </w:rPr>
        <w:t>日</w:t>
      </w:r>
    </w:p>
    <w:p w14:paraId="757E1755">
      <w:pPr>
        <w:spacing w:before="47" w:line="360" w:lineRule="auto"/>
        <w:ind w:left="9"/>
        <w:rPr>
          <w:rFonts w:ascii="FangSong_GB2312" w:hAnsi="FangSong_GB2312" w:eastAsia="FangSong_GB2312" w:cs="FangSong_GB2312"/>
          <w:spacing w:val="-10"/>
          <w:sz w:val="28"/>
          <w:szCs w:val="28"/>
        </w:rPr>
      </w:pPr>
    </w:p>
    <w:p w14:paraId="0624C65F">
      <w:pPr>
        <w:spacing w:before="47" w:line="360" w:lineRule="auto"/>
        <w:ind w:left="9"/>
        <w:rPr>
          <w:rFonts w:ascii="FangSong_GB2312" w:hAnsi="FangSong_GB2312" w:eastAsia="FangSong_GB2312" w:cs="FangSong_GB2312"/>
          <w:spacing w:val="-10"/>
          <w:sz w:val="28"/>
          <w:szCs w:val="28"/>
        </w:rPr>
      </w:pPr>
    </w:p>
    <w:p w14:paraId="5EC3BAF8">
      <w:pPr>
        <w:spacing w:before="47" w:line="360" w:lineRule="auto"/>
        <w:ind w:left="9"/>
        <w:rPr>
          <w:rFonts w:ascii="FangSong_GB2312" w:hAnsi="FangSong_GB2312" w:eastAsia="FangSong_GB2312" w:cs="FangSong_GB2312"/>
          <w:spacing w:val="-10"/>
          <w:sz w:val="28"/>
          <w:szCs w:val="28"/>
        </w:rPr>
      </w:pPr>
    </w:p>
    <w:p w14:paraId="5E636DB2">
      <w:pPr>
        <w:spacing w:before="47" w:line="360" w:lineRule="auto"/>
        <w:ind w:left="9"/>
        <w:rPr>
          <w:rFonts w:ascii="FangSong_GB2312" w:hAnsi="FangSong_GB2312" w:eastAsia="FangSong_GB2312" w:cs="FangSong_GB2312"/>
          <w:spacing w:val="-10"/>
          <w:sz w:val="28"/>
          <w:szCs w:val="28"/>
        </w:rPr>
      </w:pPr>
    </w:p>
    <w:p w14:paraId="3F6CDEE9">
      <w:pPr>
        <w:spacing w:before="47" w:line="360" w:lineRule="auto"/>
        <w:ind w:left="9"/>
        <w:rPr>
          <w:rFonts w:ascii="FangSong_GB2312" w:hAnsi="FangSong_GB2312" w:eastAsia="FangSong_GB2312" w:cs="FangSong_GB2312"/>
          <w:spacing w:val="-10"/>
          <w:sz w:val="28"/>
          <w:szCs w:val="28"/>
        </w:rPr>
      </w:pPr>
    </w:p>
    <w:p w14:paraId="1D741906">
      <w:pPr>
        <w:spacing w:before="47" w:line="360" w:lineRule="auto"/>
        <w:rPr>
          <w:rFonts w:ascii="FangSong_GB2312" w:hAnsi="FangSong_GB2312" w:eastAsia="FangSong_GB2312" w:cs="FangSong_GB2312"/>
          <w:spacing w:val="-10"/>
          <w:sz w:val="28"/>
          <w:szCs w:val="28"/>
        </w:rPr>
      </w:pPr>
    </w:p>
    <w:p w14:paraId="26A1299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90" w:lineRule="auto"/>
        <w:ind w:left="0" w:right="0"/>
        <w:textAlignment w:val="baseline"/>
        <w:rPr>
          <w:rFonts w:ascii="FangSong_GB2312" w:hAnsi="FangSong_GB2312" w:eastAsia="FangSong_GB2312" w:cs="FangSong_GB2312"/>
          <w:sz w:val="28"/>
          <w:szCs w:val="28"/>
        </w:rPr>
      </w:pPr>
    </w:p>
    <w:sectPr>
      <w:footerReference r:id="rId7" w:type="default"/>
      <w:type w:val="continuous"/>
      <w:pgSz w:w="11906" w:h="16839"/>
      <w:pgMar w:top="1431" w:right="1785" w:bottom="1152" w:left="1705" w:header="0" w:footer="987" w:gutter="0"/>
      <w:cols w:equalWidth="0" w:num="2">
        <w:col w:w="4744" w:space="100"/>
        <w:col w:w="3572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9B6E48">
    <w:pPr>
      <w:spacing w:line="168" w:lineRule="auto"/>
      <w:ind w:left="413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200CC2">
    <w:pPr>
      <w:spacing w:line="169" w:lineRule="auto"/>
      <w:ind w:left="420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885B84">
    <w:pPr>
      <w:spacing w:line="169" w:lineRule="auto"/>
      <w:ind w:left="420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D992FE"/>
    <w:multiLevelType w:val="singleLevel"/>
    <w:tmpl w:val="D4D992F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10522D27"/>
    <w:rsid w:val="12230893"/>
    <w:rsid w:val="1A134258"/>
    <w:rsid w:val="220D7BC4"/>
    <w:rsid w:val="2496378E"/>
    <w:rsid w:val="25825628"/>
    <w:rsid w:val="2D79152E"/>
    <w:rsid w:val="2FB7522E"/>
    <w:rsid w:val="30C44E04"/>
    <w:rsid w:val="32B1065A"/>
    <w:rsid w:val="408F5151"/>
    <w:rsid w:val="4B470D4E"/>
    <w:rsid w:val="60956D42"/>
    <w:rsid w:val="64E037BF"/>
    <w:rsid w:val="674D1729"/>
    <w:rsid w:val="6E301E58"/>
    <w:rsid w:val="72B172DF"/>
    <w:rsid w:val="752B3379"/>
    <w:rsid w:val="75D472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3063</Words>
  <Characters>3296</Characters>
  <TotalTime>2</TotalTime>
  <ScaleCrop>false</ScaleCrop>
  <LinksUpToDate>false</LinksUpToDate>
  <CharactersWithSpaces>3406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2025-05-21T09:30:00Z</dcterms:created>
  <dc:creator>刘德财</dc:creator>
  <cp:lastModifiedBy>郭伟</cp:lastModifiedBy>
  <dcterms:modified xsi:type="dcterms:W3CDTF">2026-06-03T01:27:49Z</dcterms:modified>
  <dc:title>东兴铝业陇西分公司阳极拖车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2026-01-12T09:30:30Z</vt:filetime>
  </property>
  <property fmtid="{D5CDD505-2E9C-101B-9397-08002B2CF9AE}" pid="4" name="KSOTemplateDocerSaveRecord">
    <vt:lpwstr>eyJoZGlkIjoiZjVjZDkwOTdiYWM4NGUzNWVhNzU5MzMzYTYxMmI3MjAiLCJ1c2VySWQiOiIxNjQ4MzMxMDk4In0=</vt:lpwstr>
  </property>
  <property fmtid="{D5CDD505-2E9C-101B-9397-08002B2CF9AE}" pid="5" name="KSOProductBuildVer">
    <vt:lpwstr>2052-12.1.0.25865</vt:lpwstr>
  </property>
  <property fmtid="{D5CDD505-2E9C-101B-9397-08002B2CF9AE}" pid="6" name="ICV">
    <vt:lpwstr>504B86172925459194C151406D3E9B8B_13</vt:lpwstr>
  </property>
</Properties>
</file>