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黑体" w:hAnsi="宋体" w:eastAsia="宋体"/>
          <w:b/>
          <w:bCs/>
          <w:color w:val="000000"/>
          <w:sz w:val="32"/>
          <w:szCs w:val="32"/>
          <w:lang w:val="en-US" w:eastAsia="zh-CN"/>
        </w:rPr>
      </w:pPr>
      <w:r>
        <w:rPr>
          <w:rFonts w:hint="eastAsia"/>
          <w:b/>
          <w:bCs/>
          <w:sz w:val="32"/>
          <w:szCs w:val="32"/>
          <w:lang w:val="en-US" w:eastAsia="zh-CN"/>
        </w:rPr>
        <w:t>泡沫陶瓷过滤板采购技术规格书</w:t>
      </w:r>
    </w:p>
    <w:p>
      <w:pPr>
        <w:spacing w:before="156" w:beforeLines="50" w:after="156" w:afterLines="50"/>
        <w:rPr>
          <w:rFonts w:hint="eastAsia" w:ascii="黑体" w:hAnsi="宋体" w:eastAsia="黑体"/>
          <w:b/>
          <w:bCs/>
          <w:color w:val="000000"/>
          <w:sz w:val="24"/>
          <w:szCs w:val="24"/>
          <w:lang w:val="en-US" w:eastAsia="zh-CN"/>
        </w:rPr>
      </w:pPr>
      <w:r>
        <w:rPr>
          <w:rFonts w:hint="eastAsia" w:ascii="黑体" w:hAnsi="宋体" w:eastAsia="黑体"/>
          <w:b/>
          <w:bCs/>
          <w:color w:val="000000"/>
          <w:sz w:val="24"/>
          <w:szCs w:val="24"/>
          <w:lang w:val="en-US" w:eastAsia="zh-CN"/>
        </w:rPr>
        <w:t>1 概述</w:t>
      </w:r>
    </w:p>
    <w:p>
      <w:pPr>
        <w:keepNext w:val="0"/>
        <w:keepLines w:val="0"/>
        <w:pageBreakBefore w:val="0"/>
        <w:widowControl w:val="0"/>
        <w:numPr>
          <w:ilvl w:val="0"/>
          <w:numId w:val="0"/>
        </w:numPr>
        <w:tabs>
          <w:tab w:val="left" w:pos="5685"/>
        </w:tabs>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1.1 甲方：甘肃</w:t>
      </w:r>
      <w:r>
        <w:rPr>
          <w:rFonts w:hint="default" w:asciiTheme="minorEastAsia" w:hAnsiTheme="minorEastAsia" w:eastAsiaTheme="minorEastAsia" w:cstheme="minorEastAsia"/>
          <w:b/>
          <w:bCs w:val="0"/>
          <w:sz w:val="24"/>
          <w:szCs w:val="24"/>
          <w:lang w:eastAsia="zh-CN"/>
        </w:rPr>
        <w:t>东兴嘉宇新材料</w:t>
      </w:r>
      <w:r>
        <w:rPr>
          <w:rFonts w:hint="eastAsia" w:asciiTheme="minorEastAsia" w:hAnsiTheme="minorEastAsia" w:eastAsiaTheme="minorEastAsia" w:cstheme="minorEastAsia"/>
          <w:b/>
          <w:bCs w:val="0"/>
          <w:sz w:val="24"/>
          <w:szCs w:val="24"/>
          <w:lang w:val="en-US" w:eastAsia="zh-CN"/>
        </w:rPr>
        <w:t>有限公司</w:t>
      </w:r>
    </w:p>
    <w:p>
      <w:pPr>
        <w:keepNext w:val="0"/>
        <w:keepLines w:val="0"/>
        <w:pageBreakBefore w:val="0"/>
        <w:widowControl w:val="0"/>
        <w:numPr>
          <w:ilvl w:val="0"/>
          <w:numId w:val="0"/>
        </w:numPr>
        <w:tabs>
          <w:tab w:val="left" w:pos="5685"/>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val="0"/>
          <w:sz w:val="24"/>
          <w:szCs w:val="24"/>
          <w:u w:val="none"/>
          <w:lang w:val="en-US" w:eastAsia="zh-CN"/>
        </w:rPr>
      </w:pPr>
      <w:r>
        <w:rPr>
          <w:rFonts w:hint="eastAsia" w:asciiTheme="minorEastAsia" w:hAnsiTheme="minorEastAsia" w:eastAsiaTheme="minorEastAsia" w:cstheme="minorEastAsia"/>
          <w:b/>
          <w:bCs w:val="0"/>
          <w:sz w:val="24"/>
          <w:szCs w:val="24"/>
          <w:lang w:val="en-US" w:eastAsia="zh-CN"/>
        </w:rPr>
        <w:t>乙方：</w:t>
      </w:r>
    </w:p>
    <w:p>
      <w:pPr>
        <w:keepNext w:val="0"/>
        <w:keepLines w:val="0"/>
        <w:pageBreakBefore w:val="0"/>
        <w:widowControl w:val="0"/>
        <w:tabs>
          <w:tab w:val="left" w:pos="5685"/>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kern w:val="0"/>
          <w:sz w:val="24"/>
          <w:szCs w:val="24"/>
          <w:lang w:val="zh-CN"/>
        </w:rPr>
      </w:pPr>
      <w:r>
        <w:rPr>
          <w:rFonts w:hint="eastAsia" w:asciiTheme="minorEastAsia" w:hAnsiTheme="minorEastAsia" w:eastAsiaTheme="minorEastAsia" w:cstheme="minorEastAsia"/>
          <w:b w:val="0"/>
          <w:bCs/>
          <w:color w:val="000000"/>
          <w:kern w:val="0"/>
          <w:sz w:val="24"/>
          <w:szCs w:val="24"/>
          <w:lang w:val="en-US" w:eastAsia="zh-CN"/>
        </w:rPr>
        <w:t>甲乙双方就采购的泡沫陶瓷过滤板</w:t>
      </w:r>
      <w:r>
        <w:rPr>
          <w:rFonts w:hint="eastAsia" w:asciiTheme="minorEastAsia" w:hAnsiTheme="minorEastAsia" w:eastAsiaTheme="minorEastAsia" w:cstheme="minorEastAsia"/>
          <w:b w:val="0"/>
          <w:bCs/>
          <w:color w:val="000000"/>
          <w:kern w:val="0"/>
          <w:sz w:val="24"/>
          <w:szCs w:val="24"/>
          <w:lang w:val="zh-CN" w:eastAsia="zh-CN"/>
        </w:rPr>
        <w:t>事宜中有关物资的供货要求</w:t>
      </w:r>
      <w:r>
        <w:rPr>
          <w:rFonts w:hint="eastAsia" w:asciiTheme="minorEastAsia" w:hAnsiTheme="minorEastAsia" w:eastAsiaTheme="minorEastAsia" w:cstheme="minorEastAsia"/>
          <w:b w:val="0"/>
          <w:bCs/>
          <w:color w:val="000000"/>
          <w:kern w:val="0"/>
          <w:sz w:val="24"/>
          <w:szCs w:val="24"/>
          <w:lang w:val="en-US" w:eastAsia="zh-CN"/>
        </w:rPr>
        <w:t>、技术标准等要求进行了充分讨论，</w:t>
      </w:r>
      <w:r>
        <w:rPr>
          <w:rFonts w:hint="eastAsia" w:asciiTheme="minorEastAsia" w:hAnsiTheme="minorEastAsia" w:eastAsiaTheme="minorEastAsia" w:cstheme="minorEastAsia"/>
          <w:b w:val="0"/>
          <w:bCs/>
          <w:color w:val="000000"/>
          <w:kern w:val="0"/>
          <w:sz w:val="24"/>
          <w:szCs w:val="24"/>
          <w:lang w:val="zh-CN"/>
        </w:rPr>
        <w:t>经双方友好协商达成如下协议：</w:t>
      </w:r>
    </w:p>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val="0"/>
          <w:color w:val="000000"/>
          <w:kern w:val="0"/>
          <w:sz w:val="24"/>
          <w:szCs w:val="24"/>
          <w:lang w:val="en-US" w:eastAsia="zh-CN"/>
        </w:rPr>
      </w:pPr>
      <w:r>
        <w:rPr>
          <w:rFonts w:hint="eastAsia" w:asciiTheme="minorEastAsia" w:hAnsiTheme="minorEastAsia" w:eastAsiaTheme="minorEastAsia" w:cstheme="minorEastAsia"/>
          <w:b/>
          <w:bCs w:val="0"/>
          <w:color w:val="000000"/>
          <w:kern w:val="0"/>
          <w:sz w:val="24"/>
          <w:szCs w:val="24"/>
          <w:lang w:val="en-US" w:eastAsia="zh-CN"/>
        </w:rPr>
        <w:t>1.2 本协议参考或使用标准：</w:t>
      </w:r>
    </w:p>
    <w:p>
      <w:pPr>
        <w:keepNext w:val="0"/>
        <w:keepLines w:val="0"/>
        <w:pageBreakBefore w:val="0"/>
        <w:widowControl w:val="0"/>
        <w:tabs>
          <w:tab w:val="left" w:pos="5685"/>
        </w:tabs>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color w:val="000000"/>
          <w:kern w:val="0"/>
          <w:sz w:val="24"/>
          <w:szCs w:val="24"/>
          <w:lang w:val="en-US" w:eastAsia="zh-CN"/>
        </w:rPr>
      </w:pPr>
      <w:r>
        <w:rPr>
          <w:rFonts w:hint="default" w:asciiTheme="minorEastAsia" w:hAnsiTheme="minorEastAsia" w:eastAsiaTheme="minorEastAsia" w:cstheme="minorEastAsia"/>
          <w:b w:val="0"/>
          <w:bCs/>
          <w:color w:val="000000"/>
          <w:kern w:val="0"/>
          <w:sz w:val="24"/>
          <w:szCs w:val="24"/>
          <w:lang w:val="en-US" w:eastAsia="zh-CN"/>
        </w:rPr>
        <w:t>GB/T2997-2015 致密定形耐火制品显气孔率、吸水率、体积密度和真气孔率试验方法</w:t>
      </w:r>
    </w:p>
    <w:p>
      <w:pPr>
        <w:keepNext w:val="0"/>
        <w:keepLines w:val="0"/>
        <w:pageBreakBefore w:val="0"/>
        <w:widowControl w:val="0"/>
        <w:tabs>
          <w:tab w:val="left" w:pos="5685"/>
        </w:tabs>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color w:val="000000"/>
          <w:kern w:val="0"/>
          <w:sz w:val="24"/>
          <w:szCs w:val="24"/>
          <w:lang w:val="en-US" w:eastAsia="zh-CN"/>
        </w:rPr>
      </w:pPr>
      <w:r>
        <w:rPr>
          <w:rFonts w:hint="default" w:asciiTheme="minorEastAsia" w:hAnsiTheme="minorEastAsia" w:eastAsiaTheme="minorEastAsia" w:cstheme="minorEastAsia"/>
          <w:b w:val="0"/>
          <w:bCs/>
          <w:color w:val="000000"/>
          <w:kern w:val="0"/>
          <w:sz w:val="24"/>
          <w:szCs w:val="24"/>
          <w:lang w:val="en-US" w:eastAsia="zh-CN"/>
        </w:rPr>
        <w:t>GB/T3005-1982 普通硅酸铝耐火纤维毡加热线收缩试验方法</w:t>
      </w:r>
    </w:p>
    <w:p>
      <w:pPr>
        <w:keepNext w:val="0"/>
        <w:keepLines w:val="0"/>
        <w:pageBreakBefore w:val="0"/>
        <w:widowControl w:val="0"/>
        <w:tabs>
          <w:tab w:val="left" w:pos="5685"/>
        </w:tabs>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color w:val="000000"/>
          <w:kern w:val="0"/>
          <w:sz w:val="24"/>
          <w:szCs w:val="24"/>
          <w:lang w:val="en-US" w:eastAsia="zh-CN"/>
        </w:rPr>
      </w:pPr>
      <w:r>
        <w:rPr>
          <w:rFonts w:hint="default" w:asciiTheme="minorEastAsia" w:hAnsiTheme="minorEastAsia" w:eastAsiaTheme="minorEastAsia" w:cstheme="minorEastAsia"/>
          <w:b w:val="0"/>
          <w:bCs/>
          <w:color w:val="000000"/>
          <w:kern w:val="0"/>
          <w:sz w:val="24"/>
          <w:szCs w:val="24"/>
          <w:lang w:val="en-US" w:eastAsia="zh-CN"/>
        </w:rPr>
        <w:t>GB/T7322-2007 耐火材料耐火度试验方法。</w:t>
      </w:r>
    </w:p>
    <w:p>
      <w:pPr>
        <w:keepNext w:val="0"/>
        <w:keepLines w:val="0"/>
        <w:pageBreakBefore w:val="0"/>
        <w:widowControl w:val="0"/>
        <w:tabs>
          <w:tab w:val="left" w:pos="5685"/>
        </w:tabs>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color w:val="000000"/>
          <w:kern w:val="0"/>
          <w:sz w:val="24"/>
          <w:szCs w:val="24"/>
          <w:lang w:val="en-US" w:eastAsia="zh-CN"/>
        </w:rPr>
      </w:pPr>
      <w:r>
        <w:rPr>
          <w:rFonts w:hint="default" w:asciiTheme="minorEastAsia" w:hAnsiTheme="minorEastAsia" w:eastAsiaTheme="minorEastAsia" w:cstheme="minorEastAsia"/>
          <w:b w:val="0"/>
          <w:bCs/>
          <w:color w:val="000000"/>
          <w:kern w:val="0"/>
          <w:sz w:val="24"/>
          <w:szCs w:val="24"/>
          <w:lang w:val="en-US" w:eastAsia="zh-CN"/>
        </w:rPr>
        <w:t>GB/T17106-1997 耐火材料导热系数试验方法。</w:t>
      </w:r>
    </w:p>
    <w:p>
      <w:pPr>
        <w:spacing w:before="156" w:beforeLines="50" w:after="156" w:afterLines="50"/>
        <w:rPr>
          <w:rFonts w:hint="eastAsia" w:ascii="黑体" w:hAnsi="宋体" w:eastAsia="黑体"/>
          <w:b/>
          <w:bCs/>
          <w:color w:val="000000"/>
          <w:sz w:val="24"/>
          <w:szCs w:val="24"/>
        </w:rPr>
      </w:pPr>
      <w:r>
        <w:rPr>
          <w:rFonts w:hint="eastAsia" w:ascii="黑体" w:hAnsi="宋体" w:eastAsia="黑体"/>
          <w:b/>
          <w:bCs/>
          <w:color w:val="000000"/>
          <w:sz w:val="24"/>
          <w:szCs w:val="24"/>
        </w:rPr>
        <w:t>2 要求</w:t>
      </w:r>
    </w:p>
    <w:p>
      <w:pPr>
        <w:spacing w:before="156" w:beforeLines="50" w:after="156" w:afterLines="50"/>
        <w:rPr>
          <w:rFonts w:hint="eastAsia" w:ascii="黑体" w:hAnsi="宋体" w:eastAsia="黑体"/>
          <w:color w:val="000000"/>
          <w:sz w:val="24"/>
          <w:szCs w:val="24"/>
          <w:lang w:val="en-US" w:eastAsia="zh-CN"/>
        </w:rPr>
      </w:pPr>
      <w:r>
        <w:rPr>
          <w:rFonts w:hint="eastAsia" w:ascii="黑体" w:hAnsi="宋体" w:eastAsia="黑体"/>
          <w:color w:val="000000"/>
          <w:sz w:val="24"/>
          <w:szCs w:val="24"/>
          <w:lang w:val="en-US" w:eastAsia="zh-CN"/>
        </w:rPr>
        <w:t>2.1 技术指标</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2.1.1 尺寸规格偏差</w:t>
      </w:r>
    </w:p>
    <w:p>
      <w:pPr>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陶瓷过滤板的规格为305×305×50mm（12inch）、381×381×50mm（15inch）、432×432×50mm（17inch）三种外形尺寸规格的陶瓷过滤板。</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217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Merge w:val="restart"/>
            <w:vAlign w:val="center"/>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项目</w:t>
            </w:r>
          </w:p>
        </w:tc>
        <w:tc>
          <w:tcPr>
            <w:tcW w:w="6816" w:type="dxa"/>
            <w:gridSpan w:val="3"/>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尺寸允许偏差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Merge w:val="continue"/>
          </w:tcPr>
          <w:p>
            <w:pPr>
              <w:rPr>
                <w:rFonts w:hint="default" w:ascii="宋体" w:hAnsi="宋体"/>
                <w:color w:val="000000"/>
                <w:sz w:val="24"/>
                <w:szCs w:val="24"/>
                <w:vertAlign w:val="baseline"/>
                <w:lang w:val="en-US" w:eastAsia="zh-CN"/>
              </w:rPr>
            </w:pPr>
          </w:p>
        </w:tc>
        <w:tc>
          <w:tcPr>
            <w:tcW w:w="2172"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≤381mm</w:t>
            </w:r>
          </w:p>
        </w:tc>
        <w:tc>
          <w:tcPr>
            <w:tcW w:w="2322"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381mm～430mm</w:t>
            </w:r>
          </w:p>
        </w:tc>
        <w:tc>
          <w:tcPr>
            <w:tcW w:w="2322"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边长允许偏差mm</w:t>
            </w:r>
          </w:p>
        </w:tc>
        <w:tc>
          <w:tcPr>
            <w:tcW w:w="2172"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±2</w:t>
            </w:r>
          </w:p>
        </w:tc>
        <w:tc>
          <w:tcPr>
            <w:tcW w:w="2322"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±2</w:t>
            </w:r>
          </w:p>
        </w:tc>
        <w:tc>
          <w:tcPr>
            <w:tcW w:w="2322"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平面间隙mm</w:t>
            </w:r>
          </w:p>
        </w:tc>
        <w:tc>
          <w:tcPr>
            <w:tcW w:w="4494" w:type="dxa"/>
            <w:gridSpan w:val="2"/>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≤3</w:t>
            </w:r>
          </w:p>
        </w:tc>
        <w:tc>
          <w:tcPr>
            <w:tcW w:w="2322"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对角线长允许偏差mm</w:t>
            </w:r>
          </w:p>
        </w:tc>
        <w:tc>
          <w:tcPr>
            <w:tcW w:w="6816" w:type="dxa"/>
            <w:gridSpan w:val="3"/>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≤（0.6%×标准边长）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厚度允许偏差mm</w:t>
            </w:r>
          </w:p>
        </w:tc>
        <w:tc>
          <w:tcPr>
            <w:tcW w:w="6816" w:type="dxa"/>
            <w:gridSpan w:val="3"/>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侧斜角的允许偏差mm</w:t>
            </w:r>
          </w:p>
        </w:tc>
        <w:tc>
          <w:tcPr>
            <w:tcW w:w="6816" w:type="dxa"/>
            <w:gridSpan w:val="3"/>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边长挠度mm</w:t>
            </w:r>
          </w:p>
        </w:tc>
        <w:tc>
          <w:tcPr>
            <w:tcW w:w="6816" w:type="dxa"/>
            <w:gridSpan w:val="3"/>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tcPr>
          <w:p>
            <w:pPr>
              <w:jc w:val="left"/>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注1：对角线偏差是指过滤板大面上两条对角线的长度之差；</w:t>
            </w:r>
          </w:p>
          <w:p>
            <w:pPr>
              <w:jc w:val="left"/>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注2：平面间隙是将的大面置于平台上测量过滤板与平台上测量过滤板平台之间的间隙；</w:t>
            </w:r>
          </w:p>
          <w:p>
            <w:pPr>
              <w:jc w:val="left"/>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注3：侧斜角是指侧斜面与大面之间的夹角；</w:t>
            </w:r>
          </w:p>
          <w:p>
            <w:pPr>
              <w:jc w:val="left"/>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注4：表中所涉及的过滤板均为理论厚度为50mm，侧斜角为17.5°的产品；</w:t>
            </w:r>
          </w:p>
          <w:p>
            <w:pPr>
              <w:jc w:val="left"/>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注5：边长挠度是指四周直线边长弯曲程度。</w:t>
            </w:r>
          </w:p>
        </w:tc>
      </w:tr>
    </w:tbl>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2.1.2 关键技术指标</w:t>
      </w:r>
    </w:p>
    <w:tbl>
      <w:tblPr>
        <w:tblStyle w:val="5"/>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905"/>
        <w:gridCol w:w="1907"/>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pPr>
              <w:jc w:val="center"/>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透光率</w:t>
            </w:r>
          </w:p>
        </w:tc>
        <w:tc>
          <w:tcPr>
            <w:tcW w:w="1905" w:type="dxa"/>
          </w:tcPr>
          <w:p>
            <w:pPr>
              <w:jc w:val="center"/>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孔隙率</w:t>
            </w:r>
          </w:p>
        </w:tc>
        <w:tc>
          <w:tcPr>
            <w:tcW w:w="1907"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抗压强度</w:t>
            </w:r>
          </w:p>
        </w:tc>
        <w:tc>
          <w:tcPr>
            <w:tcW w:w="3585"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抗热震性能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≥95%</w:t>
            </w:r>
          </w:p>
        </w:tc>
        <w:tc>
          <w:tcPr>
            <w:tcW w:w="1905"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≥85%</w:t>
            </w:r>
          </w:p>
        </w:tc>
        <w:tc>
          <w:tcPr>
            <w:tcW w:w="1907"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≥0.5Mpa</w:t>
            </w:r>
          </w:p>
        </w:tc>
        <w:tc>
          <w:tcPr>
            <w:tcW w:w="3585" w:type="dxa"/>
          </w:tcPr>
          <w:p>
            <w:pPr>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可承受5次热震不产生热裂缺陷</w:t>
            </w:r>
          </w:p>
        </w:tc>
      </w:tr>
    </w:tbl>
    <w:p>
      <w:pPr>
        <w:rPr>
          <w:rFonts w:hint="eastAsia" w:ascii="宋体" w:hAnsi="宋体"/>
          <w:color w:val="000000"/>
          <w:sz w:val="24"/>
          <w:szCs w:val="24"/>
          <w:lang w:val="en-US" w:eastAsia="zh-CN"/>
        </w:rPr>
      </w:pPr>
      <w:r>
        <w:rPr>
          <w:rFonts w:hint="default" w:ascii="宋体" w:hAnsi="宋体"/>
          <w:color w:val="000000"/>
          <w:sz w:val="24"/>
          <w:szCs w:val="24"/>
          <w:lang w:eastAsia="zh-CN"/>
        </w:rPr>
        <w:t xml:space="preserve">    </w:t>
      </w:r>
      <w:r>
        <w:rPr>
          <w:rFonts w:hint="eastAsia" w:ascii="宋体" w:hAnsi="宋体"/>
          <w:color w:val="000000"/>
          <w:sz w:val="24"/>
          <w:szCs w:val="24"/>
          <w:lang w:val="en-US" w:eastAsia="zh-CN"/>
        </w:rPr>
        <w:t>孔隙均匀度标准，以孔密度衡量及孔洞直径，按下表执行：</w:t>
      </w:r>
    </w:p>
    <w:tbl>
      <w:tblPr>
        <w:tblStyle w:val="5"/>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864"/>
        <w:gridCol w:w="1864"/>
        <w:gridCol w:w="186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tcPr>
          <w:p>
            <w:pPr>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型号</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30PPi</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40PPi</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50PPi</w:t>
            </w:r>
          </w:p>
        </w:tc>
        <w:tc>
          <w:tcPr>
            <w:tcW w:w="1865"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60PPi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孔密度（个）</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27～33</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37～43</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47～53</w:t>
            </w:r>
          </w:p>
        </w:tc>
        <w:tc>
          <w:tcPr>
            <w:tcW w:w="1865"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孔洞直径（μm）</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1600～2100</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1250～1470</w:t>
            </w:r>
          </w:p>
        </w:tc>
        <w:tc>
          <w:tcPr>
            <w:tcW w:w="1864"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900～1120</w:t>
            </w:r>
          </w:p>
        </w:tc>
        <w:tc>
          <w:tcPr>
            <w:tcW w:w="1865" w:type="dxa"/>
          </w:tcPr>
          <w:p>
            <w:pP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720～880</w:t>
            </w:r>
          </w:p>
        </w:tc>
      </w:tr>
    </w:tbl>
    <w:p>
      <w:pPr>
        <w:spacing w:before="156" w:beforeLines="50" w:after="156" w:afterLines="50"/>
        <w:rPr>
          <w:rFonts w:hint="eastAsia" w:ascii="黑体" w:hAnsi="宋体" w:eastAsia="黑体"/>
          <w:color w:val="000000"/>
          <w:sz w:val="24"/>
          <w:szCs w:val="24"/>
          <w:lang w:val="en-US" w:eastAsia="zh-CN"/>
        </w:rPr>
      </w:pPr>
      <w:r>
        <w:rPr>
          <w:rFonts w:hint="eastAsia" w:ascii="黑体" w:hAnsi="宋体" w:eastAsia="黑体"/>
          <w:color w:val="000000"/>
          <w:sz w:val="24"/>
          <w:szCs w:val="24"/>
          <w:lang w:val="en-US" w:eastAsia="zh-CN"/>
        </w:rPr>
        <w:t>2.2 外观质量</w:t>
      </w:r>
    </w:p>
    <w:p>
      <w:pPr>
        <w:rPr>
          <w:rFonts w:hint="eastAsia" w:ascii="宋体" w:hAnsi="宋体"/>
          <w:color w:val="000000"/>
          <w:sz w:val="24"/>
          <w:szCs w:val="24"/>
          <w:lang w:val="en-US" w:eastAsia="zh-CN"/>
        </w:rPr>
      </w:pPr>
      <w:r>
        <w:rPr>
          <w:rFonts w:hint="default" w:ascii="宋体" w:hAnsi="宋体"/>
          <w:color w:val="000000"/>
          <w:sz w:val="24"/>
          <w:szCs w:val="24"/>
          <w:lang w:eastAsia="zh-CN"/>
        </w:rPr>
        <w:t xml:space="preserve">  </w:t>
      </w:r>
      <w:r>
        <w:rPr>
          <w:rFonts w:hint="eastAsia" w:ascii="宋体" w:hAnsi="宋体"/>
          <w:color w:val="000000"/>
          <w:sz w:val="24"/>
          <w:szCs w:val="24"/>
          <w:lang w:val="en-US" w:eastAsia="zh-CN"/>
        </w:rPr>
        <w:t>2.</w:t>
      </w:r>
      <w:r>
        <w:rPr>
          <w:rFonts w:hint="default" w:ascii="宋体" w:hAnsi="宋体"/>
          <w:color w:val="000000"/>
          <w:sz w:val="24"/>
          <w:szCs w:val="24"/>
          <w:lang w:eastAsia="zh-CN"/>
        </w:rPr>
        <w:t>2.</w:t>
      </w:r>
      <w:r>
        <w:rPr>
          <w:rFonts w:hint="eastAsia" w:ascii="宋体" w:hAnsi="宋体"/>
          <w:color w:val="000000"/>
          <w:sz w:val="24"/>
          <w:szCs w:val="24"/>
          <w:lang w:val="en-US" w:eastAsia="zh-CN"/>
        </w:rPr>
        <w:t>1 包装必须进行防潮防震包装处理，保证开箱后内部无任何残缺、损伤及开裂。</w:t>
      </w:r>
    </w:p>
    <w:p>
      <w:pPr>
        <w:rPr>
          <w:rFonts w:hint="default" w:ascii="宋体" w:hAnsi="宋体"/>
          <w:color w:val="000000"/>
          <w:sz w:val="24"/>
          <w:szCs w:val="24"/>
          <w:lang w:val="en-US" w:eastAsia="zh-CN"/>
        </w:rPr>
      </w:pPr>
      <w:r>
        <w:rPr>
          <w:rFonts w:hint="default" w:ascii="宋体" w:hAnsi="宋体"/>
          <w:color w:val="000000"/>
          <w:sz w:val="24"/>
          <w:szCs w:val="24"/>
          <w:lang w:eastAsia="zh-CN"/>
        </w:rPr>
        <w:t xml:space="preserve">  </w:t>
      </w:r>
      <w:r>
        <w:rPr>
          <w:rFonts w:hint="eastAsia" w:ascii="宋体" w:hAnsi="宋体"/>
          <w:color w:val="000000"/>
          <w:sz w:val="24"/>
          <w:szCs w:val="24"/>
          <w:lang w:val="en-US" w:eastAsia="zh-CN"/>
        </w:rPr>
        <w:t>2.</w:t>
      </w:r>
      <w:r>
        <w:rPr>
          <w:rFonts w:hint="default" w:ascii="宋体" w:hAnsi="宋体"/>
          <w:color w:val="000000"/>
          <w:sz w:val="24"/>
          <w:szCs w:val="24"/>
          <w:lang w:eastAsia="zh-CN"/>
        </w:rPr>
        <w:t>2.</w:t>
      </w:r>
      <w:r>
        <w:rPr>
          <w:rFonts w:hint="eastAsia" w:ascii="宋体" w:hAnsi="宋体"/>
          <w:color w:val="000000"/>
          <w:sz w:val="24"/>
          <w:szCs w:val="24"/>
          <w:lang w:val="en-US" w:eastAsia="zh-CN"/>
        </w:rPr>
        <w:t>2 每片陶瓷过滤板有独立包装，独立包装固定位置明显标识过滤板尺寸规格及孔密度型号。</w:t>
      </w:r>
    </w:p>
    <w:p>
      <w:pPr>
        <w:rPr>
          <w:rFonts w:hint="eastAsia" w:ascii="宋体" w:hAnsi="宋体"/>
          <w:color w:val="000000"/>
          <w:sz w:val="24"/>
          <w:szCs w:val="24"/>
          <w:lang w:val="en-US" w:eastAsia="zh-CN"/>
        </w:rPr>
      </w:pPr>
      <w:r>
        <w:rPr>
          <w:rFonts w:hint="default" w:ascii="宋体" w:hAnsi="宋体"/>
          <w:color w:val="000000"/>
          <w:sz w:val="24"/>
          <w:szCs w:val="24"/>
          <w:lang w:eastAsia="zh-CN"/>
        </w:rPr>
        <w:t xml:space="preserve">  </w:t>
      </w:r>
      <w:r>
        <w:rPr>
          <w:rFonts w:hint="eastAsia" w:ascii="宋体" w:hAnsi="宋体"/>
          <w:color w:val="000000"/>
          <w:sz w:val="24"/>
          <w:szCs w:val="24"/>
          <w:lang w:val="en-US" w:eastAsia="zh-CN"/>
        </w:rPr>
        <w:t>2.</w:t>
      </w:r>
      <w:r>
        <w:rPr>
          <w:rFonts w:hint="default" w:ascii="宋体" w:hAnsi="宋体"/>
          <w:color w:val="000000"/>
          <w:sz w:val="24"/>
          <w:szCs w:val="24"/>
          <w:lang w:eastAsia="zh-CN"/>
        </w:rPr>
        <w:t>2.</w:t>
      </w:r>
      <w:r>
        <w:rPr>
          <w:rFonts w:hint="eastAsia" w:ascii="宋体" w:hAnsi="宋体"/>
          <w:color w:val="000000"/>
          <w:sz w:val="24"/>
          <w:szCs w:val="24"/>
          <w:lang w:val="en-US" w:eastAsia="zh-CN"/>
        </w:rPr>
        <w:t>3 侧边采用6mm纤维棉或4.1mm热膨胀棉稳固粘贴，粘贴接头部位严丝合缝。</w:t>
      </w:r>
    </w:p>
    <w:p>
      <w:pPr>
        <w:rPr>
          <w:rFonts w:hint="eastAsia" w:ascii="宋体" w:hAnsi="宋体"/>
          <w:color w:val="000000"/>
          <w:sz w:val="24"/>
          <w:szCs w:val="24"/>
          <w:lang w:val="en-US" w:eastAsia="zh-CN"/>
        </w:rPr>
      </w:pPr>
      <w:r>
        <w:rPr>
          <w:rFonts w:hint="default" w:ascii="宋体" w:hAnsi="宋体"/>
          <w:color w:val="000000"/>
          <w:sz w:val="24"/>
          <w:szCs w:val="24"/>
          <w:lang w:eastAsia="zh-CN"/>
        </w:rPr>
        <w:t xml:space="preserve">  </w:t>
      </w:r>
      <w:r>
        <w:rPr>
          <w:rFonts w:hint="eastAsia" w:ascii="宋体" w:hAnsi="宋体"/>
          <w:color w:val="000000"/>
          <w:sz w:val="24"/>
          <w:szCs w:val="24"/>
          <w:lang w:val="en-US" w:eastAsia="zh-CN"/>
        </w:rPr>
        <w:t>2.</w:t>
      </w:r>
      <w:r>
        <w:rPr>
          <w:rFonts w:hint="default" w:ascii="宋体" w:hAnsi="宋体"/>
          <w:color w:val="000000"/>
          <w:sz w:val="24"/>
          <w:szCs w:val="24"/>
          <w:lang w:eastAsia="zh-CN"/>
        </w:rPr>
        <w:t>2.</w:t>
      </w:r>
      <w:r>
        <w:rPr>
          <w:rFonts w:hint="eastAsia" w:ascii="宋体" w:hAnsi="宋体"/>
          <w:color w:val="000000"/>
          <w:sz w:val="24"/>
          <w:szCs w:val="24"/>
          <w:lang w:val="en-US" w:eastAsia="zh-CN"/>
        </w:rPr>
        <w:t>4 轻拍过滤板不得出现掉渣掉屑情况。</w:t>
      </w:r>
    </w:p>
    <w:p>
      <w:pPr>
        <w:rPr>
          <w:rFonts w:hint="eastAsia" w:ascii="宋体" w:hAnsi="宋体"/>
          <w:color w:val="000000"/>
          <w:sz w:val="24"/>
          <w:szCs w:val="24"/>
          <w:lang w:val="en-US" w:eastAsia="zh-CN"/>
        </w:rPr>
      </w:pPr>
      <w:r>
        <w:rPr>
          <w:rFonts w:hint="default" w:ascii="宋体" w:hAnsi="宋体"/>
          <w:color w:val="000000"/>
          <w:sz w:val="24"/>
          <w:szCs w:val="24"/>
          <w:lang w:eastAsia="zh-CN"/>
        </w:rPr>
        <w:t xml:space="preserve">  </w:t>
      </w:r>
      <w:r>
        <w:rPr>
          <w:rFonts w:hint="eastAsia" w:ascii="宋体" w:hAnsi="宋体"/>
          <w:color w:val="000000"/>
          <w:sz w:val="24"/>
          <w:szCs w:val="24"/>
          <w:lang w:val="en-US" w:eastAsia="zh-CN"/>
        </w:rPr>
        <w:t>2.</w:t>
      </w:r>
      <w:r>
        <w:rPr>
          <w:rFonts w:hint="default" w:ascii="宋体" w:hAnsi="宋体"/>
          <w:color w:val="000000"/>
          <w:sz w:val="24"/>
          <w:szCs w:val="24"/>
          <w:lang w:eastAsia="zh-CN"/>
        </w:rPr>
        <w:t>2.</w:t>
      </w:r>
      <w:r>
        <w:rPr>
          <w:rFonts w:hint="eastAsia" w:ascii="宋体" w:hAnsi="宋体"/>
          <w:color w:val="000000"/>
          <w:sz w:val="24"/>
          <w:szCs w:val="24"/>
          <w:lang w:val="en-US" w:eastAsia="zh-CN"/>
        </w:rPr>
        <w:t>5 过滤板不允许出现直通孔道。</w:t>
      </w:r>
    </w:p>
    <w:p>
      <w:pPr>
        <w:spacing w:before="156" w:beforeLines="50" w:after="156" w:afterLines="50"/>
        <w:rPr>
          <w:rFonts w:hint="default" w:ascii="黑体" w:hAnsi="宋体" w:eastAsia="黑体"/>
          <w:color w:val="000000"/>
          <w:sz w:val="24"/>
          <w:szCs w:val="24"/>
          <w:lang w:eastAsia="zh-CN"/>
        </w:rPr>
      </w:pPr>
      <w:r>
        <w:rPr>
          <w:rFonts w:hint="default" w:ascii="黑体" w:hAnsi="宋体" w:eastAsia="黑体"/>
          <w:color w:val="000000"/>
          <w:sz w:val="24"/>
          <w:szCs w:val="24"/>
          <w:lang w:eastAsia="zh-CN"/>
        </w:rPr>
        <w:t>2.3</w:t>
      </w:r>
      <w:r>
        <w:rPr>
          <w:rFonts w:hint="default" w:ascii="黑体" w:hAnsi="宋体" w:eastAsia="黑体"/>
          <w:color w:val="000000"/>
          <w:sz w:val="24"/>
          <w:szCs w:val="24"/>
          <w:lang w:val="en-US" w:eastAsia="zh-CN"/>
        </w:rPr>
        <w:t>其他</w:t>
      </w:r>
      <w:r>
        <w:rPr>
          <w:rFonts w:hint="default" w:ascii="黑体" w:hAnsi="宋体" w:eastAsia="黑体"/>
          <w:color w:val="000000"/>
          <w:sz w:val="24"/>
          <w:szCs w:val="24"/>
          <w:lang w:eastAsia="zh-CN"/>
        </w:rPr>
        <w:t>要求</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eastAsia="zh-CN"/>
        </w:rPr>
        <w:t xml:space="preserve">  2.3.1</w:t>
      </w:r>
      <w:r>
        <w:rPr>
          <w:rFonts w:hint="default" w:ascii="宋体" w:hAnsi="宋体" w:eastAsia="宋体"/>
          <w:color w:val="000000"/>
          <w:sz w:val="24"/>
          <w:szCs w:val="24"/>
          <w:lang w:val="en-US" w:eastAsia="zh-CN"/>
        </w:rPr>
        <w:t>铸嘴料内外表面平整光滑，无凹陷凸起状。</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eastAsia="zh-CN"/>
        </w:rPr>
        <w:t xml:space="preserve">  2.3.2</w:t>
      </w:r>
      <w:r>
        <w:rPr>
          <w:rFonts w:hint="default" w:ascii="宋体" w:hAnsi="宋体" w:eastAsia="宋体"/>
          <w:color w:val="000000"/>
          <w:sz w:val="24"/>
          <w:szCs w:val="24"/>
          <w:lang w:val="en-US" w:eastAsia="zh-CN"/>
        </w:rPr>
        <w:t>铸嘴料内腔和外沿R弧距前沿5cm均匀涂刷或喷涂进口氮化硼涂料。</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eastAsia="zh-CN"/>
        </w:rPr>
        <w:t xml:space="preserve">  2.3.3</w:t>
      </w:r>
      <w:r>
        <w:rPr>
          <w:rFonts w:hint="default" w:ascii="宋体" w:hAnsi="宋体" w:eastAsia="宋体"/>
          <w:color w:val="000000"/>
          <w:sz w:val="24"/>
          <w:szCs w:val="24"/>
          <w:lang w:val="en-US" w:eastAsia="zh-CN"/>
        </w:rPr>
        <w:t>铸嘴料从上机使用至下机，不得因其耐火材料质量问题导致使用周期周期＜10天（不得小于240小时）。</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eastAsia="zh-CN"/>
        </w:rPr>
        <w:t xml:space="preserve">  2.3.4</w:t>
      </w:r>
      <w:r>
        <w:rPr>
          <w:rFonts w:hint="default" w:ascii="宋体" w:hAnsi="宋体" w:eastAsia="宋体"/>
          <w:color w:val="000000"/>
          <w:sz w:val="24"/>
          <w:szCs w:val="24"/>
          <w:lang w:val="en-US" w:eastAsia="zh-CN"/>
        </w:rPr>
        <w:t>铸嘴料在使用周期内前沿端面及前沿往后100mm范围内的混合区不得有铝液侵蚀碳化；内腔允许存在≤3mm2的点状铝液侵蚀碳化，侵蚀深度≤0.5mm，覆盖面积≤3mm2。</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eastAsia="zh-CN"/>
        </w:rPr>
        <w:t xml:space="preserve">  2.3.5</w:t>
      </w:r>
      <w:r>
        <w:rPr>
          <w:rFonts w:hint="default" w:ascii="宋体" w:hAnsi="宋体" w:eastAsia="宋体"/>
          <w:color w:val="000000"/>
          <w:sz w:val="24"/>
          <w:szCs w:val="24"/>
          <w:lang w:val="en-US" w:eastAsia="zh-CN"/>
        </w:rPr>
        <w:t>铸嘴料在立板使用时不得出现气爆炸腔的情况。</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eastAsia="zh-CN"/>
        </w:rPr>
        <w:t xml:space="preserve">  2.3.6</w:t>
      </w:r>
      <w:r>
        <w:rPr>
          <w:rFonts w:hint="default" w:ascii="宋体" w:hAnsi="宋体" w:eastAsia="宋体"/>
          <w:color w:val="000000"/>
          <w:sz w:val="24"/>
          <w:szCs w:val="24"/>
          <w:lang w:val="en-US" w:eastAsia="zh-CN"/>
        </w:rPr>
        <w:t>铸嘴料在正常使用周期内，内腔不得出现掉屑掉渣、涂层脱落情况。</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eastAsia="zh-CN"/>
        </w:rPr>
        <w:t xml:space="preserve">  2.3.7</w:t>
      </w:r>
      <w:r>
        <w:rPr>
          <w:rFonts w:hint="default" w:ascii="宋体" w:hAnsi="宋体" w:eastAsia="宋体"/>
          <w:color w:val="000000"/>
          <w:sz w:val="24"/>
          <w:szCs w:val="24"/>
          <w:lang w:val="en-US" w:eastAsia="zh-CN"/>
        </w:rPr>
        <w:t>若铸嘴料在立板后变形严重，摩擦辊面导致板面质量不合格的（采用固定工艺参数安装），视为耐火材料质量不合格。</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eastAsia="zh-CN"/>
        </w:rPr>
        <w:t xml:space="preserve">  2.3.8</w:t>
      </w:r>
      <w:r>
        <w:rPr>
          <w:rFonts w:hint="default" w:ascii="宋体" w:hAnsi="宋体" w:eastAsia="宋体"/>
          <w:color w:val="000000"/>
          <w:sz w:val="24"/>
          <w:szCs w:val="24"/>
          <w:lang w:val="en-US" w:eastAsia="zh-CN"/>
        </w:rPr>
        <w:t>铸嘴用耐火材料变形量的要求：</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val="en-US" w:eastAsia="zh-CN"/>
        </w:rPr>
        <w:t>铸嘴宽度≤1400mm，铸嘴长度方向变形量：≤0.5mm；</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val="en-US" w:eastAsia="zh-CN"/>
        </w:rPr>
        <w:t>铸嘴宽度1400-1600mm（不包括1400mm，包括1600mm），铸嘴长度方向变形量：≤0.6mm；</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val="en-US" w:eastAsia="zh-CN"/>
        </w:rPr>
        <w:t>铸嘴宽度1600-2000mm，铸嘴长度方向变形量：≤0.7mm。</w:t>
      </w:r>
    </w:p>
    <w:p>
      <w:pPr>
        <w:rPr>
          <w:rFonts w:hint="default" w:ascii="宋体" w:hAnsi="宋体" w:eastAsia="宋体"/>
          <w:color w:val="000000"/>
          <w:sz w:val="24"/>
          <w:szCs w:val="24"/>
          <w:lang w:val="en-US" w:eastAsia="zh-CN"/>
        </w:rPr>
      </w:pPr>
      <w:r>
        <w:rPr>
          <w:rFonts w:hint="default" w:ascii="宋体" w:hAnsi="宋体" w:eastAsia="宋体"/>
          <w:color w:val="000000"/>
          <w:sz w:val="24"/>
          <w:szCs w:val="24"/>
          <w:lang w:val="en-US" w:eastAsia="zh-CN"/>
        </w:rPr>
        <w:t>3.5.9铸嘴料单片后端必须喷码，并确保号码的唯一性。</w:t>
      </w:r>
    </w:p>
    <w:p>
      <w:pPr>
        <w:tabs>
          <w:tab w:val="left" w:pos="7965"/>
        </w:tabs>
        <w:spacing w:before="156" w:beforeLines="50" w:after="156" w:afterLines="50"/>
        <w:rPr>
          <w:rFonts w:hint="eastAsia" w:ascii="黑体" w:hAnsi="宋体" w:eastAsia="黑体"/>
          <w:b/>
          <w:bCs/>
          <w:color w:val="000000"/>
          <w:sz w:val="24"/>
          <w:szCs w:val="24"/>
          <w:lang w:eastAsia="zh-CN"/>
        </w:rPr>
      </w:pPr>
      <w:r>
        <w:rPr>
          <w:rFonts w:hint="eastAsia" w:ascii="黑体" w:hAnsi="宋体" w:eastAsia="黑体"/>
          <w:b/>
          <w:bCs/>
          <w:color w:val="000000"/>
          <w:sz w:val="24"/>
          <w:szCs w:val="24"/>
        </w:rPr>
        <w:t>3 检查验收</w:t>
      </w:r>
      <w:r>
        <w:rPr>
          <w:rFonts w:hint="eastAsia" w:ascii="黑体" w:hAnsi="宋体" w:eastAsia="黑体"/>
          <w:b/>
          <w:bCs/>
          <w:color w:val="000000"/>
          <w:sz w:val="24"/>
          <w:szCs w:val="24"/>
          <w:lang w:eastAsia="zh-CN"/>
        </w:rPr>
        <w:tab/>
      </w:r>
    </w:p>
    <w:p>
      <w:pPr>
        <w:rPr>
          <w:rFonts w:hint="eastAsia" w:ascii="宋体" w:hAnsi="宋体"/>
          <w:color w:val="000000"/>
          <w:sz w:val="24"/>
          <w:szCs w:val="24"/>
        </w:rPr>
      </w:pPr>
      <w:r>
        <w:rPr>
          <w:rFonts w:hint="eastAsia" w:ascii="宋体" w:hAnsi="宋体"/>
          <w:color w:val="000000"/>
          <w:sz w:val="24"/>
          <w:szCs w:val="24"/>
        </w:rPr>
        <w:t>3.1 进入公司的</w:t>
      </w:r>
      <w:r>
        <w:rPr>
          <w:rFonts w:hint="eastAsia" w:ascii="宋体" w:hAnsi="宋体"/>
          <w:color w:val="000000"/>
          <w:sz w:val="24"/>
          <w:szCs w:val="24"/>
          <w:lang w:eastAsia="zh-CN"/>
        </w:rPr>
        <w:t>泡沫陶瓷过滤板</w:t>
      </w:r>
      <w:r>
        <w:rPr>
          <w:rFonts w:hint="eastAsia" w:ascii="宋体" w:hAnsi="宋体"/>
          <w:color w:val="000000"/>
          <w:sz w:val="24"/>
          <w:szCs w:val="24"/>
        </w:rPr>
        <w:t>应附有产品合格证和质量证明书，否则不予验收。</w:t>
      </w:r>
    </w:p>
    <w:p>
      <w:pPr>
        <w:rPr>
          <w:rFonts w:hint="eastAsia" w:ascii="宋体" w:hAnsi="宋体"/>
          <w:color w:val="000000"/>
          <w:sz w:val="24"/>
          <w:szCs w:val="24"/>
        </w:rPr>
      </w:pPr>
      <w:r>
        <w:rPr>
          <w:rFonts w:hint="eastAsia" w:ascii="宋体" w:hAnsi="宋体"/>
          <w:color w:val="000000"/>
          <w:sz w:val="24"/>
          <w:szCs w:val="24"/>
        </w:rPr>
        <w:t>3.2 组批</w:t>
      </w:r>
    </w:p>
    <w:p>
      <w:pPr>
        <w:ind w:firstLine="435"/>
        <w:rPr>
          <w:rFonts w:hint="eastAsia" w:ascii="宋体" w:hAnsi="宋体"/>
          <w:color w:val="000000"/>
          <w:sz w:val="24"/>
          <w:szCs w:val="24"/>
        </w:rPr>
      </w:pPr>
      <w:r>
        <w:rPr>
          <w:rFonts w:hint="eastAsia" w:ascii="宋体" w:hAnsi="宋体"/>
          <w:color w:val="000000"/>
          <w:sz w:val="24"/>
          <w:szCs w:val="24"/>
        </w:rPr>
        <w:t>进入公司的每批检验，同一厂商连续供货，每</w:t>
      </w:r>
      <w:r>
        <w:rPr>
          <w:rFonts w:hint="eastAsia" w:ascii="宋体" w:hAnsi="宋体"/>
          <w:color w:val="000000"/>
          <w:sz w:val="24"/>
          <w:szCs w:val="24"/>
          <w:lang w:val="en-US" w:eastAsia="zh-CN"/>
        </w:rPr>
        <w:t>100片</w:t>
      </w:r>
      <w:r>
        <w:rPr>
          <w:rFonts w:hint="eastAsia" w:ascii="宋体" w:hAnsi="宋体"/>
          <w:color w:val="000000"/>
          <w:sz w:val="24"/>
          <w:szCs w:val="24"/>
        </w:rPr>
        <w:t>为一批。</w:t>
      </w:r>
    </w:p>
    <w:p>
      <w:pPr>
        <w:rPr>
          <w:rFonts w:hint="eastAsia" w:ascii="宋体" w:hAnsi="宋体"/>
          <w:color w:val="000000"/>
          <w:sz w:val="24"/>
          <w:szCs w:val="24"/>
        </w:rPr>
      </w:pPr>
      <w:r>
        <w:rPr>
          <w:rFonts w:hint="eastAsia" w:ascii="宋体" w:hAnsi="宋体"/>
          <w:color w:val="000000"/>
          <w:sz w:val="24"/>
          <w:szCs w:val="24"/>
        </w:rPr>
        <w:t>3.3 取样</w:t>
      </w:r>
    </w:p>
    <w:p>
      <w:pPr>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取样规范可参考GB/T 10325-2012 《定形耐火制品验收抽样检验规则》</w:t>
      </w:r>
    </w:p>
    <w:p>
      <w:pPr>
        <w:rPr>
          <w:rFonts w:hint="eastAsia" w:ascii="宋体" w:hAnsi="宋体"/>
          <w:color w:val="000000"/>
          <w:sz w:val="24"/>
          <w:szCs w:val="24"/>
        </w:rPr>
      </w:pPr>
      <w:r>
        <w:rPr>
          <w:rFonts w:hint="eastAsia" w:ascii="宋体" w:hAnsi="宋体"/>
          <w:color w:val="000000"/>
          <w:sz w:val="24"/>
          <w:szCs w:val="24"/>
        </w:rPr>
        <w:t>3.4 检验项目</w:t>
      </w:r>
    </w:p>
    <w:p>
      <w:pPr>
        <w:ind w:left="0" w:leftChars="0" w:firstLine="0" w:firstLineChars="0"/>
        <w:rPr>
          <w:rFonts w:hint="eastAsia" w:ascii="宋体" w:hAnsi="宋体"/>
          <w:color w:val="000000"/>
          <w:sz w:val="24"/>
          <w:szCs w:val="24"/>
          <w:lang w:eastAsia="zh-CN"/>
        </w:rPr>
      </w:pPr>
      <w:r>
        <w:rPr>
          <w:rFonts w:hint="default" w:ascii="宋体" w:hAnsi="宋体"/>
          <w:color w:val="000000"/>
          <w:sz w:val="24"/>
          <w:szCs w:val="24"/>
          <w:lang w:eastAsia="zh-CN"/>
        </w:rPr>
        <w:t xml:space="preserve">  3.4.1</w:t>
      </w:r>
      <w:r>
        <w:rPr>
          <w:rFonts w:hint="eastAsia" w:ascii="宋体" w:hAnsi="宋体"/>
          <w:color w:val="000000"/>
          <w:sz w:val="24"/>
          <w:szCs w:val="24"/>
          <w:lang w:eastAsia="zh-CN"/>
        </w:rPr>
        <w:t>供方交货时</w:t>
      </w:r>
      <w:r>
        <w:rPr>
          <w:rFonts w:hint="eastAsia" w:ascii="宋体" w:hAnsi="宋体"/>
          <w:color w:val="000000"/>
          <w:sz w:val="24"/>
          <w:szCs w:val="24"/>
        </w:rPr>
        <w:t>应进行外</w:t>
      </w:r>
      <w:r>
        <w:rPr>
          <w:rFonts w:hint="eastAsia" w:ascii="宋体" w:hAnsi="宋体"/>
          <w:color w:val="000000"/>
          <w:sz w:val="24"/>
          <w:szCs w:val="24"/>
          <w:lang w:eastAsia="zh-CN"/>
        </w:rPr>
        <w:t>包装</w:t>
      </w:r>
      <w:r>
        <w:rPr>
          <w:rFonts w:hint="eastAsia" w:ascii="宋体" w:hAnsi="宋体"/>
          <w:color w:val="000000"/>
          <w:sz w:val="24"/>
          <w:szCs w:val="24"/>
        </w:rPr>
        <w:t>质量</w:t>
      </w:r>
      <w:r>
        <w:rPr>
          <w:rFonts w:hint="eastAsia" w:ascii="宋体" w:hAnsi="宋体"/>
          <w:color w:val="000000"/>
          <w:sz w:val="24"/>
          <w:szCs w:val="24"/>
          <w:lang w:eastAsia="zh-CN"/>
        </w:rPr>
        <w:t>检查。</w:t>
      </w:r>
    </w:p>
    <w:p>
      <w:pPr>
        <w:ind w:left="0" w:leftChars="0" w:firstLine="0" w:firstLineChars="0"/>
        <w:rPr>
          <w:rFonts w:hint="eastAsia" w:ascii="宋体" w:hAnsi="宋体"/>
          <w:color w:val="000000"/>
          <w:sz w:val="24"/>
          <w:szCs w:val="24"/>
          <w:lang w:eastAsia="zh-CN"/>
        </w:rPr>
      </w:pPr>
      <w:r>
        <w:rPr>
          <w:rFonts w:hint="default" w:ascii="宋体" w:hAnsi="宋体"/>
          <w:color w:val="000000"/>
          <w:sz w:val="24"/>
          <w:szCs w:val="24"/>
          <w:lang w:eastAsia="zh-CN"/>
        </w:rPr>
        <w:t xml:space="preserve">  3.4.2</w:t>
      </w:r>
      <w:r>
        <w:rPr>
          <w:rFonts w:hint="eastAsia" w:ascii="宋体" w:hAnsi="宋体"/>
          <w:color w:val="000000"/>
          <w:sz w:val="24"/>
          <w:szCs w:val="24"/>
          <w:lang w:eastAsia="zh-CN"/>
        </w:rPr>
        <w:t>领取开箱后外包装完好的情况下对内部泡沫陶瓷过滤板外观进行检查，确保无损伤、开裂等。</w:t>
      </w:r>
    </w:p>
    <w:p>
      <w:pPr>
        <w:ind w:firstLine="435"/>
        <w:rPr>
          <w:rFonts w:hint="default" w:ascii="宋体" w:hAnsi="宋体"/>
          <w:color w:val="000000"/>
          <w:sz w:val="24"/>
          <w:szCs w:val="24"/>
          <w:lang w:val="en-US" w:eastAsia="zh-CN"/>
        </w:rPr>
      </w:pPr>
      <w:r>
        <w:rPr>
          <w:rFonts w:hint="eastAsia" w:ascii="宋体" w:hAnsi="宋体"/>
          <w:color w:val="000000"/>
          <w:sz w:val="24"/>
          <w:szCs w:val="24"/>
          <w:lang w:val="en-US" w:eastAsia="zh-CN"/>
        </w:rPr>
        <w:t>相关检测，参考GB/T 10325-2012 《定形耐火制品验收抽样检验规则》和GB/T 10326-2016 《定形耐火制品尺寸</w:t>
      </w:r>
      <w:r>
        <w:rPr>
          <w:rFonts w:hint="default" w:ascii="宋体" w:hAnsi="宋体"/>
          <w:color w:val="000000"/>
          <w:sz w:val="24"/>
          <w:szCs w:val="24"/>
          <w:lang w:eastAsia="zh-CN"/>
        </w:rPr>
        <w:t>、</w:t>
      </w:r>
      <w:r>
        <w:rPr>
          <w:rFonts w:hint="eastAsia" w:ascii="宋体" w:hAnsi="宋体"/>
          <w:color w:val="000000"/>
          <w:sz w:val="24"/>
          <w:szCs w:val="24"/>
          <w:lang w:val="en-US" w:eastAsia="zh-CN"/>
        </w:rPr>
        <w:t>外观及断面的检查方法》。</w:t>
      </w:r>
    </w:p>
    <w:p>
      <w:pPr>
        <w:ind w:firstLine="435"/>
        <w:rPr>
          <w:rFonts w:hint="eastAsia" w:ascii="宋体" w:hAnsi="宋体"/>
          <w:color w:val="000000"/>
          <w:sz w:val="24"/>
          <w:szCs w:val="24"/>
          <w:lang w:eastAsia="zh-CN"/>
        </w:rPr>
      </w:pPr>
      <w:r>
        <w:rPr>
          <w:rFonts w:hint="eastAsia" w:ascii="宋体" w:hAnsi="宋体"/>
          <w:color w:val="000000"/>
          <w:sz w:val="24"/>
          <w:szCs w:val="24"/>
          <w:lang w:eastAsia="zh-CN"/>
        </w:rPr>
        <w:t>外观尺寸由</w:t>
      </w:r>
      <w:r>
        <w:rPr>
          <w:rFonts w:hint="eastAsia" w:ascii="宋体" w:hAnsi="宋体"/>
          <w:color w:val="000000"/>
          <w:sz w:val="24"/>
          <w:szCs w:val="24"/>
          <w:lang w:val="en-US" w:eastAsia="zh-CN"/>
        </w:rPr>
        <w:t>生产使用时</w:t>
      </w:r>
      <w:r>
        <w:rPr>
          <w:rFonts w:hint="eastAsia" w:ascii="宋体" w:hAnsi="宋体"/>
          <w:color w:val="000000"/>
          <w:sz w:val="24"/>
          <w:szCs w:val="24"/>
          <w:lang w:eastAsia="zh-CN"/>
        </w:rPr>
        <w:t>负责检查。</w:t>
      </w:r>
    </w:p>
    <w:p>
      <w:pPr>
        <w:rPr>
          <w:rFonts w:hint="eastAsia" w:ascii="宋体" w:hAnsi="宋体"/>
          <w:color w:val="000000"/>
          <w:sz w:val="24"/>
          <w:szCs w:val="24"/>
        </w:rPr>
      </w:pPr>
      <w:r>
        <w:rPr>
          <w:rFonts w:hint="eastAsia" w:ascii="宋体" w:hAnsi="宋体"/>
          <w:color w:val="000000"/>
          <w:sz w:val="24"/>
          <w:szCs w:val="24"/>
        </w:rPr>
        <w:t>3.5 检验结果判定</w:t>
      </w:r>
    </w:p>
    <w:p>
      <w:pPr>
        <w:ind w:firstLine="435"/>
        <w:rPr>
          <w:rFonts w:hint="eastAsia" w:ascii="宋体" w:hAnsi="宋体"/>
          <w:color w:val="000000"/>
          <w:sz w:val="24"/>
          <w:szCs w:val="24"/>
        </w:rPr>
      </w:pPr>
      <w:r>
        <w:rPr>
          <w:rFonts w:hint="eastAsia" w:ascii="宋体" w:hAnsi="宋体"/>
          <w:color w:val="000000"/>
          <w:sz w:val="24"/>
          <w:szCs w:val="24"/>
        </w:rPr>
        <w:t>若检验项目不合格应</w:t>
      </w:r>
      <w:r>
        <w:rPr>
          <w:rFonts w:hint="default" w:ascii="宋体" w:hAnsi="宋体"/>
          <w:color w:val="000000"/>
          <w:sz w:val="24"/>
          <w:szCs w:val="24"/>
        </w:rPr>
        <w:t>双</w:t>
      </w:r>
      <w:r>
        <w:rPr>
          <w:rFonts w:hint="eastAsia" w:ascii="宋体" w:hAnsi="宋体"/>
          <w:color w:val="000000"/>
          <w:sz w:val="24"/>
          <w:szCs w:val="24"/>
        </w:rPr>
        <w:t>倍取样重复检验，重复检验合格则办理入库手续，否则按不合格处理。</w:t>
      </w:r>
    </w:p>
    <w:p>
      <w:pPr>
        <w:tabs>
          <w:tab w:val="left" w:pos="7965"/>
        </w:tabs>
        <w:spacing w:before="156" w:beforeLines="50" w:after="156" w:afterLines="50"/>
        <w:rPr>
          <w:rFonts w:hint="eastAsia" w:ascii="黑体" w:hAnsi="宋体" w:eastAsia="黑体"/>
          <w:b/>
          <w:bCs/>
          <w:color w:val="000000"/>
          <w:sz w:val="24"/>
          <w:szCs w:val="24"/>
          <w:lang w:val="en-US" w:eastAsia="zh-CN"/>
        </w:rPr>
      </w:pPr>
      <w:r>
        <w:rPr>
          <w:rFonts w:hint="eastAsia" w:ascii="黑体" w:hAnsi="宋体" w:eastAsia="黑体"/>
          <w:b/>
          <w:bCs/>
          <w:color w:val="000000"/>
          <w:sz w:val="24"/>
          <w:szCs w:val="24"/>
          <w:lang w:val="en-US" w:eastAsia="zh-CN"/>
        </w:rPr>
        <w:t>4 其他事项</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4.1  产品不合格无法使用的将以退货处理，此后将不再纳入合格供应商；</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4.2  本协议经双方委托代理人签字并加盖合同专用章后作为产品采购合同的附件，与产品采购合同同时生效。</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4.3  若乙方公司不能中标，则本技术协议自动失效，双方互不承担任何责任,本协议条款不允许有任何涂改，如果涂改的，涂改部分无效。</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4.4  本规格书</w:t>
      </w:r>
      <w:bookmarkStart w:id="0" w:name="_GoBack"/>
      <w:bookmarkEnd w:id="0"/>
      <w:r>
        <w:rPr>
          <w:rFonts w:hint="eastAsia" w:ascii="宋体" w:hAnsi="宋体"/>
          <w:color w:val="000000"/>
          <w:sz w:val="24"/>
          <w:szCs w:val="24"/>
          <w:lang w:val="en-US" w:eastAsia="zh-CN"/>
        </w:rPr>
        <w:t>有效期限为两年。</w:t>
      </w:r>
    </w:p>
    <w:p>
      <w:pPr>
        <w:ind w:left="0" w:leftChars="0" w:firstLine="501" w:firstLineChars="209"/>
        <w:rPr>
          <w:rFonts w:hint="eastAsia"/>
          <w:sz w:val="24"/>
          <w:szCs w:val="24"/>
          <w:lang w:val="en-US" w:eastAsia="zh-CN"/>
        </w:rPr>
      </w:pPr>
    </w:p>
    <w:p>
      <w:pPr>
        <w:keepNext w:val="0"/>
        <w:keepLines w:val="0"/>
        <w:pageBreakBefore w:val="0"/>
        <w:widowControl w:val="0"/>
        <w:tabs>
          <w:tab w:val="left" w:pos="5685"/>
        </w:tabs>
        <w:kinsoku/>
        <w:wordWrap/>
        <w:overflowPunct/>
        <w:topLinePunct w:val="0"/>
        <w:autoSpaceDE/>
        <w:autoSpaceDN/>
        <w:bidi w:val="0"/>
        <w:adjustRightInd/>
        <w:snapToGrid/>
        <w:spacing w:line="360" w:lineRule="auto"/>
        <w:ind w:firstLine="0"/>
        <w:jc w:val="left"/>
        <w:textAlignment w:val="auto"/>
        <w:rPr>
          <w:rFonts w:hint="eastAsia"/>
          <w:sz w:val="24"/>
          <w:szCs w:val="24"/>
        </w:rPr>
      </w:pPr>
      <w:r>
        <w:rPr>
          <w:rFonts w:hint="eastAsia" w:ascii="宋体" w:cs="宋体"/>
          <w:b w:val="0"/>
          <w:bCs w:val="0"/>
          <w:color w:val="000000"/>
          <w:kern w:val="0"/>
          <w:sz w:val="24"/>
          <w:szCs w:val="24"/>
          <w:lang w:val="en-US" w:eastAsia="zh-CN"/>
        </w:rPr>
        <w:t>本协议一式贰份，甲乙双方各一份。</w:t>
      </w:r>
    </w:p>
    <w:tbl>
      <w:tblPr>
        <w:tblStyle w:val="5"/>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5"/>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745" w:type="dxa"/>
            <w:vAlign w:val="center"/>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center"/>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乙方</w:t>
            </w:r>
          </w:p>
        </w:tc>
        <w:tc>
          <w:tcPr>
            <w:tcW w:w="4923" w:type="dxa"/>
            <w:vAlign w:val="center"/>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center"/>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745" w:type="dxa"/>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left"/>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单位名称（章）：</w:t>
            </w:r>
          </w:p>
        </w:tc>
        <w:tc>
          <w:tcPr>
            <w:tcW w:w="4923" w:type="dxa"/>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left"/>
              <w:textAlignment w:val="auto"/>
              <w:rPr>
                <w:rFonts w:hint="eastAsia"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单位名称（章）：</w:t>
            </w:r>
          </w:p>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left"/>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甘肃</w:t>
            </w:r>
            <w:r>
              <w:rPr>
                <w:rFonts w:hint="default" w:ascii="宋体" w:cs="宋体"/>
                <w:b w:val="0"/>
                <w:bCs w:val="0"/>
                <w:color w:val="000000"/>
                <w:kern w:val="0"/>
                <w:sz w:val="24"/>
                <w:szCs w:val="24"/>
                <w:vertAlign w:val="baseline"/>
                <w:lang w:eastAsia="zh-CN"/>
              </w:rPr>
              <w:t>东兴嘉宇新材料</w:t>
            </w:r>
            <w:r>
              <w:rPr>
                <w:rFonts w:hint="eastAsia" w:ascii="宋体" w:cs="宋体"/>
                <w:b w:val="0"/>
                <w:bCs w:val="0"/>
                <w:color w:val="000000"/>
                <w:kern w:val="0"/>
                <w:sz w:val="24"/>
                <w:szCs w:val="24"/>
                <w:vertAlign w:val="baseline"/>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745" w:type="dxa"/>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left"/>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单位主要负责人：</w:t>
            </w:r>
          </w:p>
        </w:tc>
        <w:tc>
          <w:tcPr>
            <w:tcW w:w="4923" w:type="dxa"/>
            <w:vAlign w:val="top"/>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left"/>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单位</w:t>
            </w:r>
            <w:r>
              <w:rPr>
                <w:rFonts w:hint="default" w:ascii="宋体" w:cs="宋体"/>
                <w:b w:val="0"/>
                <w:bCs w:val="0"/>
                <w:color w:val="000000"/>
                <w:kern w:val="0"/>
                <w:sz w:val="24"/>
                <w:szCs w:val="24"/>
                <w:vertAlign w:val="baseline"/>
                <w:lang w:eastAsia="zh-CN"/>
              </w:rPr>
              <w:t>技术</w:t>
            </w:r>
            <w:r>
              <w:rPr>
                <w:rFonts w:hint="eastAsia" w:ascii="宋体" w:cs="宋体"/>
                <w:b w:val="0"/>
                <w:bCs w:val="0"/>
                <w:color w:val="000000"/>
                <w:kern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5" w:type="dxa"/>
            <w:vAlign w:val="center"/>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both"/>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联系电话：</w:t>
            </w:r>
          </w:p>
        </w:tc>
        <w:tc>
          <w:tcPr>
            <w:tcW w:w="4923" w:type="dxa"/>
            <w:vAlign w:val="center"/>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both"/>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联系电话：0937-67122080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45" w:type="dxa"/>
            <w:vAlign w:val="center"/>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both"/>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日期：        年          月        日</w:t>
            </w:r>
          </w:p>
        </w:tc>
        <w:tc>
          <w:tcPr>
            <w:tcW w:w="4923" w:type="dxa"/>
            <w:vAlign w:val="center"/>
          </w:tcPr>
          <w:p>
            <w:pPr>
              <w:keepNext w:val="0"/>
              <w:keepLines w:val="0"/>
              <w:pageBreakBefore w:val="0"/>
              <w:widowControl w:val="0"/>
              <w:tabs>
                <w:tab w:val="left" w:pos="5685"/>
              </w:tabs>
              <w:kinsoku/>
              <w:wordWrap/>
              <w:overflowPunct/>
              <w:topLinePunct w:val="0"/>
              <w:autoSpaceDE/>
              <w:autoSpaceDN/>
              <w:bidi w:val="0"/>
              <w:adjustRightInd/>
              <w:snapToGrid/>
              <w:spacing w:line="360" w:lineRule="auto"/>
              <w:jc w:val="both"/>
              <w:textAlignment w:val="auto"/>
              <w:rPr>
                <w:rFonts w:hint="default" w:ascii="宋体" w:cs="宋体"/>
                <w:b w:val="0"/>
                <w:bCs w:val="0"/>
                <w:color w:val="000000"/>
                <w:kern w:val="0"/>
                <w:sz w:val="24"/>
                <w:szCs w:val="24"/>
                <w:vertAlign w:val="baseline"/>
                <w:lang w:val="en-US" w:eastAsia="zh-CN"/>
              </w:rPr>
            </w:pPr>
            <w:r>
              <w:rPr>
                <w:rFonts w:hint="eastAsia" w:ascii="宋体" w:cs="宋体"/>
                <w:b w:val="0"/>
                <w:bCs w:val="0"/>
                <w:color w:val="000000"/>
                <w:kern w:val="0"/>
                <w:sz w:val="24"/>
                <w:szCs w:val="24"/>
                <w:vertAlign w:val="baseline"/>
                <w:lang w:val="en-US" w:eastAsia="zh-CN"/>
              </w:rPr>
              <w:t>日期：          年          月        日</w:t>
            </w:r>
          </w:p>
        </w:tc>
      </w:tr>
    </w:tbl>
    <w:p>
      <w:pPr>
        <w:ind w:left="0" w:leftChars="0" w:firstLine="501" w:firstLineChars="209"/>
        <w:rPr>
          <w:rFonts w:hint="eastAsia"/>
          <w:sz w:val="24"/>
          <w:szCs w:val="24"/>
        </w:rPr>
      </w:pPr>
    </w:p>
    <w:p>
      <w:pPr>
        <w:ind w:firstLine="435"/>
        <w:rPr>
          <w:rFonts w:hint="eastAsia" w:ascii="宋体" w:hAnsi="宋体"/>
          <w:color w:val="000000"/>
          <w:sz w:val="24"/>
          <w:szCs w:val="24"/>
        </w:rPr>
      </w:pPr>
    </w:p>
    <w:p>
      <w:pPr>
        <w:ind w:firstLine="482" w:firstLineChars="200"/>
        <w:rPr>
          <w:rFonts w:hint="default" w:ascii="黑体" w:hAnsi="宋体" w:eastAsia="黑体"/>
          <w:b/>
          <w:bCs/>
          <w:color w:val="000000"/>
          <w:sz w:val="24"/>
          <w:szCs w:val="24"/>
          <w:lang w:val="en-US" w:eastAsia="zh-CN"/>
        </w:rPr>
      </w:pPr>
    </w:p>
    <w:sectPr>
      <w:headerReference r:id="rId4" w:type="first"/>
      <w:footerReference r:id="rId6" w:type="first"/>
      <w:headerReference r:id="rId3" w:type="default"/>
      <w:footerReference r:id="rId5" w:type="default"/>
      <w:pgSz w:w="11906" w:h="16838"/>
      <w:pgMar w:top="1134" w:right="1417" w:bottom="1134" w:left="141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5839"/>
      </w:tabs>
      <w:jc w:val="left"/>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jU2YmJlMDI1MTQ4MGJmYzEyNmYwMTZlYWEzOTQifQ=="/>
  </w:docVars>
  <w:rsids>
    <w:rsidRoot w:val="005D6DF5"/>
    <w:rsid w:val="00502F53"/>
    <w:rsid w:val="005D6DF5"/>
    <w:rsid w:val="03F10DEC"/>
    <w:rsid w:val="048C0F71"/>
    <w:rsid w:val="05571EA5"/>
    <w:rsid w:val="06A72A6D"/>
    <w:rsid w:val="06E6578F"/>
    <w:rsid w:val="077D0A21"/>
    <w:rsid w:val="0955627D"/>
    <w:rsid w:val="0D132129"/>
    <w:rsid w:val="0D292BEC"/>
    <w:rsid w:val="0F2D6830"/>
    <w:rsid w:val="0F393F10"/>
    <w:rsid w:val="13A86FE2"/>
    <w:rsid w:val="174213DC"/>
    <w:rsid w:val="17F52110"/>
    <w:rsid w:val="1A112392"/>
    <w:rsid w:val="1E3A52C2"/>
    <w:rsid w:val="1FC669B5"/>
    <w:rsid w:val="216F69C6"/>
    <w:rsid w:val="220C16EA"/>
    <w:rsid w:val="22DC1C7F"/>
    <w:rsid w:val="2516241A"/>
    <w:rsid w:val="269F566F"/>
    <w:rsid w:val="2CE054BB"/>
    <w:rsid w:val="2D8A0FC7"/>
    <w:rsid w:val="2E72443B"/>
    <w:rsid w:val="2F524E91"/>
    <w:rsid w:val="30B87438"/>
    <w:rsid w:val="3535243A"/>
    <w:rsid w:val="368B35D8"/>
    <w:rsid w:val="36AF35F4"/>
    <w:rsid w:val="376E276A"/>
    <w:rsid w:val="37FA32CC"/>
    <w:rsid w:val="3A203F82"/>
    <w:rsid w:val="3BD56F8F"/>
    <w:rsid w:val="3D466928"/>
    <w:rsid w:val="3E3C5988"/>
    <w:rsid w:val="3F6D4FF6"/>
    <w:rsid w:val="45DA4FBF"/>
    <w:rsid w:val="4B84404E"/>
    <w:rsid w:val="4DCA4E62"/>
    <w:rsid w:val="4F630375"/>
    <w:rsid w:val="4F9A76F1"/>
    <w:rsid w:val="551235CA"/>
    <w:rsid w:val="5CA647D1"/>
    <w:rsid w:val="5E7F05D2"/>
    <w:rsid w:val="5EE45BB0"/>
    <w:rsid w:val="602473D3"/>
    <w:rsid w:val="61456E8A"/>
    <w:rsid w:val="63C02708"/>
    <w:rsid w:val="63EA489D"/>
    <w:rsid w:val="64C601E9"/>
    <w:rsid w:val="65BF19FA"/>
    <w:rsid w:val="67693E83"/>
    <w:rsid w:val="689F3BC5"/>
    <w:rsid w:val="68DF43B9"/>
    <w:rsid w:val="6B8E7D20"/>
    <w:rsid w:val="6C2E3FA5"/>
    <w:rsid w:val="6FCC04E1"/>
    <w:rsid w:val="76D31BD0"/>
    <w:rsid w:val="7B8C1A6A"/>
    <w:rsid w:val="7BEFEF6F"/>
    <w:rsid w:val="7EE81503"/>
    <w:rsid w:val="7F6C34C4"/>
    <w:rsid w:val="B2EFD592"/>
    <w:rsid w:val="BDEF2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DDF42-657D-4A8C-A8A6-20C218346BD5}">
  <ds:schemaRefs/>
</ds:datastoreItem>
</file>

<file path=docProps/app.xml><?xml version="1.0" encoding="utf-8"?>
<Properties xmlns="http://schemas.openxmlformats.org/officeDocument/2006/extended-properties" xmlns:vt="http://schemas.openxmlformats.org/officeDocument/2006/docPropsVTypes">
  <Company>Microsoft</Company>
  <Pages>3</Pages>
  <Words>1620</Words>
  <Characters>2015</Characters>
  <Lines>1</Lines>
  <Paragraphs>1</Paragraphs>
  <TotalTime>10</TotalTime>
  <ScaleCrop>false</ScaleCrop>
  <LinksUpToDate>false</LinksUpToDate>
  <CharactersWithSpaces>2142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2019-01-27T17:36:00Z</dcterms:created>
  <dc:creator>zhang</dc:creator>
  <cp:lastModifiedBy>王丽花</cp:lastModifiedBy>
  <cp:lastPrinted>2019-12-14T14:43:00Z</cp:lastPrinted>
  <dcterms:modified xsi:type="dcterms:W3CDTF">2023-08-15T02:22:00Z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3F3E2D06DC524D7495F2F50FE03854CC_12</vt:lpwstr>
  </property>
</Properties>
</file>