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530" w:firstLineChars="700"/>
        <w:jc w:val="both"/>
        <w:rPr>
          <w:rFonts w:hint="eastAsia" w:ascii="华文中宋" w:hAnsi="华文中宋" w:eastAsia="华文中宋" w:cs="华文中宋"/>
          <w:b/>
          <w:sz w:val="36"/>
          <w:szCs w:val="36"/>
        </w:rPr>
      </w:pPr>
    </w:p>
    <w:p>
      <w:pPr>
        <w:spacing w:line="360" w:lineRule="auto"/>
        <w:ind w:firstLine="2530" w:firstLineChars="700"/>
        <w:jc w:val="both"/>
        <w:rPr>
          <w:rFonts w:hint="eastAsia" w:ascii="华文中宋" w:hAnsi="华文中宋" w:eastAsia="华文中宋" w:cs="华文中宋"/>
          <w:b/>
          <w:sz w:val="36"/>
          <w:szCs w:val="36"/>
        </w:rPr>
      </w:pP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甘肃酒钢集团宏兴股份公司炼铁厂</w:t>
      </w: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热风炉耐火球采购技术协议</w:t>
      </w:r>
    </w:p>
    <w:p>
      <w:pPr>
        <w:spacing w:line="360" w:lineRule="auto"/>
        <w:ind w:firstLine="1968" w:firstLineChars="700"/>
        <w:jc w:val="both"/>
        <w:rPr>
          <w:rFonts w:hint="eastAsia" w:ascii="仿宋_GB2312" w:hAnsi="仿宋_GB2312" w:eastAsia="仿宋_GB2312" w:cs="仿宋_GB2312"/>
          <w:b/>
          <w:sz w:val="28"/>
          <w:szCs w:val="28"/>
          <w:lang w:val="en-US" w:eastAsia="zh-CN"/>
        </w:rPr>
      </w:pPr>
    </w:p>
    <w:p>
      <w:pPr>
        <w:spacing w:line="360" w:lineRule="auto"/>
        <w:ind w:firstLine="3253" w:firstLineChars="900"/>
        <w:jc w:val="both"/>
        <w:rPr>
          <w:rFonts w:hint="eastAsia" w:ascii="宋体" w:hAnsi="宋体" w:eastAsia="宋体" w:cs="宋体"/>
          <w:b/>
          <w:sz w:val="36"/>
          <w:szCs w:val="36"/>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480" w:lineRule="exact"/>
        <w:ind w:firstLine="1120" w:firstLineChars="400"/>
        <w:jc w:val="both"/>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甲方：</w:t>
      </w:r>
      <w:r>
        <w:rPr>
          <w:rFonts w:hint="eastAsia" w:asciiTheme="minorEastAsia" w:hAnsiTheme="minorEastAsia" w:eastAsiaTheme="minorEastAsia" w:cstheme="minorEastAsia"/>
          <w:b w:val="0"/>
          <w:bCs/>
          <w:color w:val="auto"/>
          <w:sz w:val="28"/>
          <w:szCs w:val="28"/>
          <w:lang w:eastAsia="zh-CN"/>
        </w:rPr>
        <w:t>甘肃酒钢集团宏兴股份公司炼铁厂</w:t>
      </w:r>
    </w:p>
    <w:p>
      <w:pPr>
        <w:spacing w:line="360" w:lineRule="exact"/>
        <w:rPr>
          <w:rFonts w:hint="eastAsia" w:asciiTheme="minorEastAsia" w:hAnsiTheme="minorEastAsia" w:eastAsiaTheme="minorEastAsia" w:cstheme="minorEastAsia"/>
          <w:b w:val="0"/>
          <w:bCs/>
          <w:color w:val="auto"/>
          <w:sz w:val="28"/>
          <w:szCs w:val="28"/>
        </w:rPr>
      </w:pPr>
    </w:p>
    <w:p>
      <w:pPr>
        <w:snapToGrid w:val="0"/>
        <w:ind w:firstLine="1120" w:firstLineChars="40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乙方</w:t>
      </w:r>
      <w:r>
        <w:rPr>
          <w:rFonts w:hint="eastAsia" w:asciiTheme="minorEastAsia" w:hAnsiTheme="minorEastAsia" w:eastAsiaTheme="minorEastAsia" w:cstheme="minorEastAsia"/>
          <w:b w:val="0"/>
          <w:bCs/>
          <w:color w:val="auto"/>
          <w:sz w:val="28"/>
          <w:szCs w:val="28"/>
          <w:lang w:val="en-US" w:eastAsia="zh-CN"/>
        </w:rPr>
        <w:t>：</w:t>
      </w:r>
    </w:p>
    <w:p>
      <w:pPr>
        <w:snapToGrid w:val="0"/>
        <w:ind w:firstLine="1120" w:firstLineChars="400"/>
        <w:rPr>
          <w:rFonts w:hint="eastAsia" w:asciiTheme="minorEastAsia" w:hAnsiTheme="minorEastAsia" w:eastAsiaTheme="minorEastAsia" w:cstheme="minorEastAsia"/>
          <w:b w:val="0"/>
          <w:bCs/>
          <w:color w:val="auto"/>
          <w:sz w:val="28"/>
          <w:szCs w:val="28"/>
          <w:lang w:eastAsia="zh-CN"/>
        </w:rPr>
      </w:pPr>
    </w:p>
    <w:p>
      <w:pPr>
        <w:snapToGrid w:val="0"/>
        <w:ind w:firstLine="840" w:firstLineChars="300"/>
        <w:rPr>
          <w:rFonts w:hint="default"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 xml:space="preserve">        签订地点：甘肃省嘉峪关市</w:t>
      </w:r>
    </w:p>
    <w:p>
      <w:pPr>
        <w:snapToGrid w:val="0"/>
        <w:ind w:firstLine="840" w:firstLineChars="300"/>
        <w:rPr>
          <w:rFonts w:hint="eastAsia" w:asciiTheme="minorEastAsia" w:hAnsiTheme="minorEastAsia" w:eastAsiaTheme="minorEastAsia" w:cstheme="minorEastAsia"/>
          <w:b w:val="0"/>
          <w:bCs/>
          <w:color w:val="auto"/>
          <w:sz w:val="28"/>
          <w:szCs w:val="28"/>
          <w:lang w:val="en-US" w:eastAsia="zh-CN"/>
        </w:rPr>
      </w:pPr>
    </w:p>
    <w:p>
      <w:pPr>
        <w:snapToGrid w:val="0"/>
        <w:ind w:firstLine="1960" w:firstLineChars="70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 xml:space="preserve">签订时间： </w:t>
      </w:r>
      <w:r>
        <w:rPr>
          <w:rFonts w:hint="eastAsia" w:asciiTheme="minorEastAsia" w:hAnsiTheme="minorEastAsia" w:eastAsiaTheme="minorEastAsia" w:cstheme="minorEastAsia"/>
          <w:b w:val="0"/>
          <w:bCs/>
          <w:color w:val="auto"/>
          <w:sz w:val="28"/>
          <w:szCs w:val="28"/>
          <w:lang w:val="en-US" w:eastAsia="zh-CN"/>
        </w:rPr>
        <w:t xml:space="preserve">2025 </w:t>
      </w:r>
      <w:r>
        <w:rPr>
          <w:rFonts w:hint="eastAsia" w:asciiTheme="minorEastAsia" w:hAnsiTheme="minorEastAsia" w:eastAsiaTheme="minorEastAsia" w:cstheme="minorEastAsia"/>
          <w:b w:val="0"/>
          <w:bCs/>
          <w:color w:val="auto"/>
          <w:sz w:val="28"/>
          <w:szCs w:val="28"/>
        </w:rPr>
        <w:t xml:space="preserve">年 </w:t>
      </w:r>
      <w:r>
        <w:rPr>
          <w:rFonts w:hint="eastAsia" w:asciiTheme="minorEastAsia" w:hAnsiTheme="minorEastAsia" w:eastAsiaTheme="minorEastAsia" w:cstheme="minorEastAsia"/>
          <w:b w:val="0"/>
          <w:bCs/>
          <w:color w:val="auto"/>
          <w:sz w:val="28"/>
          <w:szCs w:val="28"/>
          <w:lang w:val="en-US" w:eastAsia="zh-CN"/>
        </w:rPr>
        <w:t xml:space="preserve">  </w:t>
      </w:r>
      <w:r>
        <w:rPr>
          <w:rFonts w:hint="eastAsia" w:asciiTheme="minorEastAsia" w:hAnsiTheme="minorEastAsia" w:eastAsiaTheme="minorEastAsia" w:cstheme="minorEastAsia"/>
          <w:b w:val="0"/>
          <w:bCs/>
          <w:color w:val="auto"/>
          <w:sz w:val="28"/>
          <w:szCs w:val="28"/>
        </w:rPr>
        <w:t>月</w:t>
      </w:r>
      <w:r>
        <w:rPr>
          <w:rFonts w:hint="eastAsia" w:asciiTheme="minorEastAsia" w:hAnsiTheme="minorEastAsia" w:eastAsiaTheme="minorEastAsia" w:cstheme="minorEastAsia"/>
          <w:b w:val="0"/>
          <w:bCs/>
          <w:color w:val="auto"/>
          <w:sz w:val="28"/>
          <w:szCs w:val="28"/>
          <w:lang w:val="en-US" w:eastAsia="zh-CN"/>
        </w:rPr>
        <w:t xml:space="preserve">   </w:t>
      </w:r>
      <w:r>
        <w:rPr>
          <w:rFonts w:hint="eastAsia" w:asciiTheme="minorEastAsia" w:hAnsiTheme="minorEastAsia" w:eastAsiaTheme="minorEastAsia" w:cstheme="minorEastAsia"/>
          <w:b w:val="0"/>
          <w:bCs/>
          <w:color w:val="auto"/>
          <w:sz w:val="28"/>
          <w:szCs w:val="28"/>
        </w:rPr>
        <w:t>日</w:t>
      </w:r>
    </w:p>
    <w:p>
      <w:pPr>
        <w:spacing w:line="360" w:lineRule="auto"/>
        <w:jc w:val="both"/>
        <w:rPr>
          <w:rFonts w:hint="eastAsia" w:ascii="仿宋_GB2312" w:hAnsi="仿宋_GB2312" w:eastAsia="仿宋_GB2312" w:cs="仿宋_GB2312"/>
          <w:b/>
          <w:sz w:val="28"/>
          <w:szCs w:val="28"/>
          <w:lang w:eastAsia="zh-CN"/>
        </w:rPr>
      </w:pPr>
    </w:p>
    <w:p>
      <w:pPr>
        <w:snapToGrid w:val="0"/>
        <w:spacing w:line="360" w:lineRule="auto"/>
        <w:jc w:val="center"/>
        <w:rPr>
          <w:rFonts w:hint="eastAsia" w:ascii="宋体" w:hAnsi="宋体"/>
          <w:b/>
          <w:color w:val="000000"/>
          <w:sz w:val="32"/>
          <w:szCs w:val="32"/>
        </w:rPr>
      </w:pPr>
      <w:r>
        <w:rPr>
          <w:rFonts w:hint="eastAsia" w:ascii="宋体" w:hAnsi="宋体"/>
          <w:b/>
          <w:color w:val="000000"/>
          <w:sz w:val="32"/>
          <w:szCs w:val="32"/>
        </w:rPr>
        <w:t>高炉热风炉年修项目耐火球</w:t>
      </w:r>
    </w:p>
    <w:p>
      <w:pPr>
        <w:snapToGrid w:val="0"/>
        <w:spacing w:line="360" w:lineRule="auto"/>
        <w:jc w:val="center"/>
        <w:rPr>
          <w:rFonts w:hint="eastAsia" w:ascii="宋体" w:hAnsi="宋体"/>
          <w:b/>
          <w:color w:val="000000"/>
          <w:sz w:val="32"/>
          <w:szCs w:val="32"/>
        </w:rPr>
      </w:pPr>
      <w:r>
        <w:rPr>
          <w:rFonts w:hint="eastAsia" w:ascii="宋体" w:hAnsi="宋体"/>
          <w:b/>
          <w:color w:val="000000"/>
          <w:sz w:val="32"/>
          <w:szCs w:val="32"/>
        </w:rPr>
        <w:t>供货技术协议</w:t>
      </w:r>
    </w:p>
    <w:p>
      <w:pPr>
        <w:snapToGrid w:val="0"/>
        <w:spacing w:line="360" w:lineRule="auto"/>
        <w:jc w:val="center"/>
        <w:rPr>
          <w:rFonts w:hint="eastAsia" w:ascii="宋体" w:hAnsi="宋体"/>
          <w:b/>
          <w:color w:val="000000"/>
          <w:sz w:val="32"/>
          <w:szCs w:val="32"/>
        </w:rPr>
      </w:pPr>
    </w:p>
    <w:p>
      <w:pPr>
        <w:snapToGrid w:val="0"/>
        <w:spacing w:line="360" w:lineRule="auto"/>
        <w:ind w:firstLine="480" w:firstLineChars="200"/>
        <w:rPr>
          <w:rFonts w:hint="eastAsia" w:ascii="宋体" w:hAnsi="宋体"/>
          <w:color w:val="0000FF"/>
          <w:sz w:val="24"/>
          <w:u w:val="single"/>
        </w:rPr>
      </w:pPr>
      <w:r>
        <w:rPr>
          <w:rFonts w:hint="eastAsia" w:ascii="宋体" w:hAnsi="宋体"/>
          <w:sz w:val="24"/>
          <w:lang w:eastAsia="zh-CN"/>
        </w:rPr>
        <w:t>甘肃酒钢集团宏兴股份公司炼铁厂</w:t>
      </w:r>
      <w:r>
        <w:rPr>
          <w:rFonts w:hint="eastAsia" w:ascii="宋体" w:hAnsi="宋体"/>
          <w:sz w:val="24"/>
        </w:rPr>
        <w:t>（以下简称甲方）与</w:t>
      </w:r>
      <w:r>
        <w:rPr>
          <w:rFonts w:hint="eastAsia" w:ascii="宋体" w:hAnsi="宋体"/>
          <w:color w:val="0000FF"/>
          <w:sz w:val="24"/>
          <w:u w:val="single"/>
        </w:rPr>
        <w:t xml:space="preserve">                </w:t>
      </w:r>
    </w:p>
    <w:p>
      <w:pPr>
        <w:snapToGrid w:val="0"/>
        <w:spacing w:line="360" w:lineRule="auto"/>
        <w:rPr>
          <w:rFonts w:hint="eastAsia" w:ascii="宋体" w:hAnsi="宋体"/>
          <w:sz w:val="24"/>
        </w:rPr>
      </w:pPr>
      <w:r>
        <w:rPr>
          <w:rFonts w:hint="eastAsia" w:ascii="宋体" w:hAnsi="宋体"/>
          <w:color w:val="0000FF"/>
          <w:sz w:val="24"/>
          <w:u w:val="single"/>
        </w:rPr>
        <w:t xml:space="preserve">                </w:t>
      </w:r>
      <w:r>
        <w:rPr>
          <w:rFonts w:hint="eastAsia" w:ascii="宋体" w:hAnsi="宋体"/>
          <w:sz w:val="24"/>
        </w:rPr>
        <w:t>（以下简称乙方）就酒钢炼铁厂热风炉用耐火球供货技术事宜进行洽谈，经双方协商，达成如下协议：</w:t>
      </w:r>
    </w:p>
    <w:p>
      <w:pPr>
        <w:snapToGrid w:val="0"/>
        <w:spacing w:line="360" w:lineRule="auto"/>
        <w:rPr>
          <w:rFonts w:hint="eastAsia" w:ascii="宋体" w:hAnsi="宋体"/>
          <w:b/>
          <w:sz w:val="24"/>
        </w:rPr>
      </w:pPr>
      <w:r>
        <w:rPr>
          <w:rFonts w:hint="eastAsia" w:ascii="宋体" w:hAnsi="宋体"/>
          <w:b/>
          <w:sz w:val="24"/>
        </w:rPr>
        <w:t>附件一  总则</w:t>
      </w:r>
    </w:p>
    <w:p>
      <w:pPr>
        <w:snapToGrid w:val="0"/>
        <w:spacing w:line="360" w:lineRule="auto"/>
        <w:ind w:firstLine="480" w:firstLineChars="200"/>
        <w:rPr>
          <w:rFonts w:hint="eastAsia" w:ascii="宋体" w:hAnsi="宋体"/>
          <w:sz w:val="24"/>
        </w:rPr>
      </w:pPr>
      <w:r>
        <w:rPr>
          <w:rFonts w:hint="eastAsia" w:ascii="宋体" w:hAnsi="宋体"/>
          <w:sz w:val="24"/>
        </w:rPr>
        <w:t>1.1  本技术协议作为甲方产品订货合同的附件，与订货合同同时生效，具有同等法律效力。合同执行期间双方再协商形成的补充协议和追加条款也具有同等法律效力。</w:t>
      </w:r>
    </w:p>
    <w:p>
      <w:pPr>
        <w:snapToGrid w:val="0"/>
        <w:spacing w:line="360" w:lineRule="auto"/>
        <w:ind w:firstLine="480" w:firstLineChars="200"/>
        <w:rPr>
          <w:rFonts w:hint="eastAsia" w:ascii="宋体" w:hAnsi="宋体"/>
          <w:sz w:val="24"/>
        </w:rPr>
      </w:pPr>
      <w:r>
        <w:rPr>
          <w:rFonts w:hint="eastAsia" w:ascii="宋体" w:hAnsi="宋体"/>
          <w:sz w:val="24"/>
        </w:rPr>
        <w:t>1.2  本技术协议所提出的是最低材料的技术要求，对一切技术细节和有关标准和规范不详细的，乙方应保证提供符合国家或行业有关标准和技术文件的优质产品。</w:t>
      </w:r>
    </w:p>
    <w:p>
      <w:pPr>
        <w:snapToGrid w:val="0"/>
        <w:spacing w:line="360" w:lineRule="auto"/>
        <w:ind w:firstLine="480" w:firstLineChars="200"/>
        <w:rPr>
          <w:rFonts w:hint="eastAsia" w:ascii="宋体" w:hAnsi="宋体"/>
          <w:sz w:val="24"/>
        </w:rPr>
      </w:pPr>
      <w:r>
        <w:rPr>
          <w:rFonts w:hint="eastAsia" w:ascii="宋体" w:hAnsi="宋体"/>
          <w:sz w:val="24"/>
        </w:rPr>
        <w:t>1.3  乙方提供的产品必须具有国内同行业近几年内的先进制造水平，采用先进工艺，合格材料，成熟的技术或专利技术。</w:t>
      </w:r>
    </w:p>
    <w:p>
      <w:pPr>
        <w:snapToGrid w:val="0"/>
        <w:spacing w:line="360" w:lineRule="auto"/>
        <w:ind w:firstLine="480" w:firstLineChars="200"/>
        <w:rPr>
          <w:rFonts w:hint="eastAsia" w:ascii="宋体" w:hAnsi="宋体"/>
          <w:sz w:val="24"/>
        </w:rPr>
      </w:pPr>
      <w:r>
        <w:rPr>
          <w:rFonts w:hint="eastAsia" w:ascii="宋体" w:hAnsi="宋体"/>
          <w:sz w:val="24"/>
        </w:rPr>
        <w:t>1.4  乙方提供的产品必须是全新、规范、先进的高质量可靠产品，能够确保连续稳定的工作。</w:t>
      </w:r>
    </w:p>
    <w:p>
      <w:pPr>
        <w:snapToGrid w:val="0"/>
        <w:spacing w:line="360" w:lineRule="auto"/>
        <w:ind w:firstLine="480" w:firstLineChars="200"/>
        <w:rPr>
          <w:rFonts w:hint="eastAsia" w:ascii="宋体" w:hAnsi="宋体"/>
          <w:sz w:val="24"/>
        </w:rPr>
      </w:pPr>
      <w:r>
        <w:rPr>
          <w:rFonts w:hint="eastAsia" w:ascii="宋体" w:hAnsi="宋体"/>
          <w:sz w:val="24"/>
        </w:rPr>
        <w:t>1.5  乙方提供货物的制造，材料的选择，都应按照国内外通用的现行标准和相应的技术规范执行，而这些标准和技术规范应为合同签字日为止最新公布发问的标准和技术规范。</w:t>
      </w:r>
    </w:p>
    <w:p>
      <w:pPr>
        <w:snapToGrid w:val="0"/>
        <w:spacing w:line="360" w:lineRule="auto"/>
        <w:ind w:firstLine="480" w:firstLineChars="200"/>
        <w:rPr>
          <w:rFonts w:hint="eastAsia" w:ascii="宋体" w:hAnsi="宋体"/>
          <w:sz w:val="24"/>
        </w:rPr>
      </w:pPr>
      <w:r>
        <w:rPr>
          <w:rFonts w:hint="eastAsia" w:ascii="宋体" w:hAnsi="宋体"/>
          <w:sz w:val="24"/>
        </w:rPr>
        <w:t>1.6  乙方须对热风炉系统耐火球使用质量承担全部责任。保证设备设计满足热风炉系统工艺要求。</w:t>
      </w:r>
    </w:p>
    <w:p>
      <w:pPr>
        <w:snapToGrid w:val="0"/>
        <w:spacing w:line="360" w:lineRule="auto"/>
        <w:ind w:firstLine="480" w:firstLineChars="200"/>
        <w:rPr>
          <w:rFonts w:hint="eastAsia" w:ascii="宋体" w:hAnsi="宋体"/>
          <w:sz w:val="24"/>
        </w:rPr>
      </w:pPr>
      <w:r>
        <w:rPr>
          <w:rFonts w:hint="eastAsia" w:ascii="宋体" w:hAnsi="宋体"/>
          <w:sz w:val="24"/>
        </w:rPr>
        <w:t>1.7  乙方在合同货物制造中，发生侵犯专利的行为时其侵权责任与甲方无关。</w:t>
      </w:r>
    </w:p>
    <w:p>
      <w:pPr>
        <w:snapToGrid w:val="0"/>
        <w:spacing w:line="360" w:lineRule="auto"/>
        <w:rPr>
          <w:rFonts w:hint="eastAsia" w:ascii="宋体" w:hAnsi="宋体"/>
          <w:sz w:val="24"/>
        </w:rPr>
      </w:pPr>
      <w:r>
        <w:rPr>
          <w:rFonts w:hint="eastAsia" w:ascii="宋体" w:hAnsi="宋体"/>
          <w:b/>
          <w:sz w:val="24"/>
        </w:rPr>
        <w:t>附件二  工程简介</w:t>
      </w:r>
    </w:p>
    <w:p>
      <w:pPr>
        <w:snapToGrid w:val="0"/>
        <w:spacing w:line="360" w:lineRule="auto"/>
        <w:ind w:firstLine="435"/>
        <w:rPr>
          <w:rFonts w:hint="eastAsia" w:ascii="宋体" w:hAnsi="宋体"/>
          <w:sz w:val="24"/>
        </w:rPr>
      </w:pPr>
      <w:r>
        <w:rPr>
          <w:rFonts w:hint="eastAsia" w:ascii="宋体" w:hAnsi="宋体"/>
          <w:sz w:val="24"/>
        </w:rPr>
        <w:t>高炉配套热风炉</w:t>
      </w:r>
      <w:r>
        <w:rPr>
          <w:rFonts w:hint="eastAsia" w:ascii="宋体" w:hAnsi="宋体"/>
          <w:sz w:val="24"/>
          <w:lang w:eastAsia="zh-CN"/>
        </w:rPr>
        <w:t>维修</w:t>
      </w:r>
      <w:r>
        <w:rPr>
          <w:rFonts w:hint="eastAsia" w:ascii="宋体" w:hAnsi="宋体"/>
          <w:sz w:val="24"/>
        </w:rPr>
        <w:t>耐火</w:t>
      </w:r>
      <w:r>
        <w:rPr>
          <w:rFonts w:hint="eastAsia" w:ascii="宋体" w:hAnsi="宋体"/>
          <w:sz w:val="24"/>
          <w:lang w:eastAsia="zh-CN"/>
        </w:rPr>
        <w:t>材料</w:t>
      </w:r>
      <w:r>
        <w:rPr>
          <w:rFonts w:hint="eastAsia" w:ascii="宋体" w:hAnsi="宋体"/>
          <w:sz w:val="24"/>
        </w:rPr>
        <w:t>供货。</w:t>
      </w:r>
    </w:p>
    <w:p>
      <w:pPr>
        <w:snapToGrid w:val="0"/>
        <w:spacing w:line="360" w:lineRule="auto"/>
        <w:rPr>
          <w:rFonts w:hint="eastAsia" w:ascii="宋体" w:hAnsi="宋体"/>
          <w:b/>
          <w:sz w:val="24"/>
        </w:rPr>
      </w:pPr>
      <w:r>
        <w:rPr>
          <w:rFonts w:hint="eastAsia" w:ascii="宋体" w:hAnsi="宋体"/>
          <w:b/>
          <w:sz w:val="24"/>
        </w:rPr>
        <w:t>附件三  供货范围</w:t>
      </w:r>
    </w:p>
    <w:p>
      <w:pPr>
        <w:snapToGrid w:val="0"/>
        <w:spacing w:line="360" w:lineRule="auto"/>
        <w:ind w:firstLine="435"/>
        <w:rPr>
          <w:rFonts w:hint="eastAsia" w:ascii="宋体" w:hAnsi="宋体"/>
          <w:sz w:val="24"/>
        </w:rPr>
      </w:pPr>
      <w:r>
        <w:rPr>
          <w:rFonts w:hint="eastAsia" w:ascii="宋体" w:hAnsi="宋体"/>
          <w:sz w:val="24"/>
        </w:rPr>
        <w:t>供货范围：</w:t>
      </w:r>
    </w:p>
    <w:p>
      <w:pPr>
        <w:snapToGrid w:val="0"/>
        <w:spacing w:line="360" w:lineRule="auto"/>
        <w:ind w:firstLine="435"/>
        <w:rPr>
          <w:rFonts w:hint="eastAsia" w:ascii="宋体" w:hAnsi="宋体"/>
          <w:sz w:val="24"/>
        </w:rPr>
      </w:pPr>
      <w:r>
        <w:rPr>
          <w:rFonts w:hint="eastAsia" w:ascii="宋体" w:hAnsi="宋体"/>
          <w:sz w:val="24"/>
          <w:lang w:val="en-US" w:eastAsia="zh-CN"/>
        </w:rPr>
        <w:t>1、</w:t>
      </w:r>
      <w:r>
        <w:rPr>
          <w:rFonts w:hint="eastAsia" w:ascii="宋体" w:hAnsi="宋体"/>
          <w:sz w:val="24"/>
        </w:rPr>
        <w:t>耐火球</w:t>
      </w:r>
      <w:r>
        <w:rPr>
          <w:rFonts w:hint="eastAsia" w:ascii="宋体" w:hAnsi="宋体"/>
          <w:sz w:val="24"/>
          <w:lang w:eastAsia="zh-CN"/>
        </w:rPr>
        <w:t>用量</w:t>
      </w:r>
      <w:r>
        <w:rPr>
          <w:rFonts w:hint="eastAsia" w:ascii="宋体" w:hAnsi="宋体"/>
          <w:sz w:val="24"/>
        </w:rPr>
        <w:t>（所有耐火球需机制）。</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5"/>
        <w:gridCol w:w="2430"/>
        <w:gridCol w:w="1080"/>
        <w:gridCol w:w="795"/>
        <w:gridCol w:w="1080"/>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规格型号</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数量（吨）</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jc w:val="center"/>
              <w:rPr>
                <w:rFonts w:hint="eastAsia" w:ascii="宋体" w:hAnsi="宋体" w:eastAsia="宋体" w:cs="宋体"/>
                <w:i w:val="0"/>
                <w:color w:val="000000"/>
                <w:sz w:val="21"/>
                <w:szCs w:val="21"/>
                <w:u w:val="none"/>
              </w:rPr>
            </w:pPr>
            <w:r>
              <w:rPr>
                <w:rFonts w:hint="eastAsia" w:ascii="仿宋_GB2312" w:hAnsi="仿宋_GB2312" w:eastAsia="仿宋_GB2312" w:cs="仿宋_GB2312"/>
                <w:b w:val="0"/>
                <w:bCs w:val="0"/>
                <w:color w:val="auto"/>
                <w:sz w:val="18"/>
                <w:szCs w:val="18"/>
                <w:lang w:val="en-US" w:eastAsia="zh-CN"/>
              </w:rPr>
              <w:t>耐火球\Φ80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lang w:val="en-US"/>
              </w:rPr>
            </w:pPr>
            <w:r>
              <w:rPr>
                <w:rFonts w:hint="eastAsia" w:ascii="宋体" w:hAnsi="宋体" w:cs="宋体"/>
                <w:i w:val="0"/>
                <w:color w:val="000000"/>
                <w:kern w:val="0"/>
                <w:sz w:val="18"/>
                <w:szCs w:val="18"/>
                <w:highlight w:val="none"/>
                <w:u w:val="none"/>
                <w:lang w:val="en-US" w:eastAsia="zh-CN" w:bidi="ar"/>
              </w:rPr>
              <w:t>150</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bl>
    <w:p>
      <w:pPr>
        <w:rPr>
          <w:rFonts w:hint="eastAsia" w:ascii="宋体" w:hAnsi="宋体"/>
        </w:rPr>
      </w:pPr>
    </w:p>
    <w:p>
      <w:pPr>
        <w:snapToGrid w:val="0"/>
        <w:spacing w:line="360" w:lineRule="auto"/>
        <w:rPr>
          <w:rFonts w:hint="eastAsia" w:ascii="宋体" w:hAnsi="宋体"/>
          <w:b/>
          <w:sz w:val="24"/>
        </w:rPr>
      </w:pPr>
      <w:r>
        <w:rPr>
          <w:rFonts w:hint="eastAsia" w:ascii="宋体" w:hAnsi="宋体"/>
          <w:b/>
          <w:sz w:val="24"/>
        </w:rPr>
        <w:t>附件四  理化指标</w:t>
      </w:r>
    </w:p>
    <w:p>
      <w:pPr>
        <w:snapToGrid w:val="0"/>
        <w:spacing w:line="360" w:lineRule="auto"/>
        <w:ind w:firstLine="360" w:firstLineChars="150"/>
        <w:rPr>
          <w:rFonts w:hint="eastAsia" w:ascii="宋体" w:hAnsi="宋体"/>
          <w:sz w:val="24"/>
        </w:rPr>
      </w:pPr>
      <w:r>
        <w:rPr>
          <w:rFonts w:hint="eastAsia" w:ascii="宋体" w:hAnsi="宋体"/>
          <w:sz w:val="24"/>
        </w:rPr>
        <w:t>4.1低蠕变高铝</w:t>
      </w:r>
      <w:r>
        <w:rPr>
          <w:rFonts w:hint="eastAsia" w:ascii="宋体" w:hAnsi="宋体"/>
          <w:sz w:val="24"/>
          <w:lang w:eastAsia="zh-CN"/>
        </w:rPr>
        <w:t>耐火球</w:t>
      </w:r>
      <w:r>
        <w:rPr>
          <w:rFonts w:hint="eastAsia" w:ascii="宋体" w:hAnsi="宋体"/>
          <w:sz w:val="24"/>
        </w:rPr>
        <w:t>理化指标</w:t>
      </w:r>
    </w:p>
    <w:tbl>
      <w:tblPr>
        <w:tblStyle w:val="10"/>
        <w:tblW w:w="0" w:type="auto"/>
        <w:jc w:val="center"/>
        <w:tblLayout w:type="fixed"/>
        <w:tblCellMar>
          <w:top w:w="0" w:type="dxa"/>
          <w:left w:w="108" w:type="dxa"/>
          <w:bottom w:w="0" w:type="dxa"/>
          <w:right w:w="108" w:type="dxa"/>
        </w:tblCellMar>
      </w:tblPr>
      <w:tblGrid>
        <w:gridCol w:w="2300"/>
        <w:gridCol w:w="945"/>
        <w:gridCol w:w="1778"/>
        <w:gridCol w:w="3036"/>
      </w:tblGrid>
      <w:tr>
        <w:tblPrEx>
          <w:tblCellMar>
            <w:top w:w="0" w:type="dxa"/>
            <w:left w:w="108" w:type="dxa"/>
            <w:bottom w:w="0" w:type="dxa"/>
            <w:right w:w="108" w:type="dxa"/>
          </w:tblCellMar>
        </w:tblPrEx>
        <w:trPr>
          <w:trHeight w:val="841" w:hRule="atLeast"/>
          <w:jc w:val="center"/>
        </w:trPr>
        <w:tc>
          <w:tcPr>
            <w:tcW w:w="5023" w:type="dxa"/>
            <w:gridSpan w:val="3"/>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类别</w:t>
            </w:r>
          </w:p>
        </w:tc>
        <w:tc>
          <w:tcPr>
            <w:tcW w:w="3036"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Φ80低蠕变</w:t>
            </w:r>
          </w:p>
          <w:p>
            <w:pPr>
              <w:jc w:val="center"/>
              <w:rPr>
                <w:rFonts w:ascii="宋体" w:hAnsi="宋体" w:cs="宋体"/>
                <w:kern w:val="0"/>
                <w:szCs w:val="21"/>
              </w:rPr>
            </w:pPr>
            <w:r>
              <w:rPr>
                <w:rFonts w:hint="eastAsia" w:ascii="宋体" w:hAnsi="宋体" w:cs="宋体"/>
                <w:kern w:val="0"/>
                <w:szCs w:val="21"/>
              </w:rPr>
              <w:t>高铝质耐火球</w:t>
            </w:r>
          </w:p>
        </w:tc>
      </w:tr>
      <w:tr>
        <w:tblPrEx>
          <w:tblCellMar>
            <w:top w:w="0" w:type="dxa"/>
            <w:left w:w="108" w:type="dxa"/>
            <w:bottom w:w="0" w:type="dxa"/>
            <w:right w:w="108" w:type="dxa"/>
          </w:tblCellMar>
        </w:tblPrEx>
        <w:trPr>
          <w:trHeight w:val="334" w:hRule="atLeast"/>
          <w:jc w:val="center"/>
        </w:trPr>
        <w:tc>
          <w:tcPr>
            <w:tcW w:w="2300"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耐火度</w:t>
            </w:r>
          </w:p>
        </w:tc>
        <w:tc>
          <w:tcPr>
            <w:tcW w:w="2723" w:type="dxa"/>
            <w:gridSpan w:val="2"/>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3036"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≥1790</w:t>
            </w:r>
          </w:p>
        </w:tc>
      </w:tr>
      <w:tr>
        <w:tblPrEx>
          <w:tblCellMar>
            <w:top w:w="0" w:type="dxa"/>
            <w:left w:w="108" w:type="dxa"/>
            <w:bottom w:w="0" w:type="dxa"/>
            <w:right w:w="108" w:type="dxa"/>
          </w:tblCellMar>
        </w:tblPrEx>
        <w:trPr>
          <w:trHeight w:val="553" w:hRule="atLeast"/>
          <w:jc w:val="center"/>
        </w:trPr>
        <w:tc>
          <w:tcPr>
            <w:tcW w:w="2300"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荷重软化温度</w:t>
            </w:r>
          </w:p>
        </w:tc>
        <w:tc>
          <w:tcPr>
            <w:tcW w:w="2723" w:type="dxa"/>
            <w:gridSpan w:val="2"/>
            <w:tcBorders>
              <w:top w:val="single" w:color="auto" w:sz="8" w:space="0"/>
              <w:left w:val="nil"/>
              <w:bottom w:val="single" w:color="auto" w:sz="8" w:space="0"/>
              <w:right w:val="single" w:color="000000"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3036"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w:t>
            </w:r>
            <w:r>
              <w:rPr>
                <w:rFonts w:hint="eastAsia" w:ascii="宋体" w:hAnsi="宋体" w:cs="宋体"/>
                <w:kern w:val="0"/>
                <w:szCs w:val="21"/>
                <w:lang w:val="en-US" w:eastAsia="zh-CN"/>
              </w:rPr>
              <w:t>5</w:t>
            </w:r>
            <w:r>
              <w:rPr>
                <w:rFonts w:hint="eastAsia" w:ascii="宋体" w:hAnsi="宋体" w:cs="宋体"/>
                <w:kern w:val="0"/>
                <w:szCs w:val="21"/>
              </w:rPr>
              <w:t>0</w:t>
            </w:r>
          </w:p>
        </w:tc>
      </w:tr>
      <w:tr>
        <w:tblPrEx>
          <w:tblCellMar>
            <w:top w:w="0" w:type="dxa"/>
            <w:left w:w="108" w:type="dxa"/>
            <w:bottom w:w="0" w:type="dxa"/>
            <w:right w:w="108" w:type="dxa"/>
          </w:tblCellMar>
        </w:tblPrEx>
        <w:trPr>
          <w:trHeight w:val="334" w:hRule="atLeast"/>
          <w:jc w:val="center"/>
        </w:trPr>
        <w:tc>
          <w:tcPr>
            <w:tcW w:w="2300"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显气孔率</w:t>
            </w:r>
          </w:p>
        </w:tc>
        <w:tc>
          <w:tcPr>
            <w:tcW w:w="2723" w:type="dxa"/>
            <w:gridSpan w:val="2"/>
            <w:tcBorders>
              <w:top w:val="single" w:color="auto" w:sz="8" w:space="0"/>
              <w:left w:val="nil"/>
              <w:bottom w:val="single" w:color="auto" w:sz="8" w:space="0"/>
              <w:right w:val="single" w:color="000000" w:sz="8" w:space="0"/>
            </w:tcBorders>
            <w:noWrap w:val="0"/>
            <w:vAlign w:val="center"/>
          </w:tcPr>
          <w:p>
            <w:pPr>
              <w:widowControl/>
              <w:jc w:val="center"/>
              <w:rPr>
                <w:kern w:val="0"/>
                <w:szCs w:val="21"/>
              </w:rPr>
            </w:pPr>
            <w:r>
              <w:rPr>
                <w:kern w:val="0"/>
                <w:szCs w:val="21"/>
              </w:rPr>
              <w:t>%</w:t>
            </w:r>
          </w:p>
        </w:tc>
        <w:tc>
          <w:tcPr>
            <w:tcW w:w="3036"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w:t>
            </w:r>
            <w:r>
              <w:rPr>
                <w:rFonts w:hint="eastAsia" w:ascii="宋体" w:hAnsi="宋体" w:cs="宋体"/>
                <w:kern w:val="0"/>
                <w:szCs w:val="21"/>
                <w:lang w:val="en-US" w:eastAsia="zh-CN"/>
              </w:rPr>
              <w:t>22</w:t>
            </w:r>
          </w:p>
        </w:tc>
      </w:tr>
      <w:tr>
        <w:tblPrEx>
          <w:tblCellMar>
            <w:top w:w="0" w:type="dxa"/>
            <w:left w:w="108" w:type="dxa"/>
            <w:bottom w:w="0" w:type="dxa"/>
            <w:right w:w="108" w:type="dxa"/>
          </w:tblCellMar>
        </w:tblPrEx>
        <w:trPr>
          <w:trHeight w:val="334" w:hRule="atLeast"/>
          <w:jc w:val="center"/>
        </w:trPr>
        <w:tc>
          <w:tcPr>
            <w:tcW w:w="2300"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体密</w:t>
            </w:r>
          </w:p>
        </w:tc>
        <w:tc>
          <w:tcPr>
            <w:tcW w:w="2723" w:type="dxa"/>
            <w:gridSpan w:val="2"/>
            <w:tcBorders>
              <w:top w:val="single" w:color="auto" w:sz="8" w:space="0"/>
              <w:left w:val="nil"/>
              <w:bottom w:val="single" w:color="auto" w:sz="8" w:space="0"/>
              <w:right w:val="single" w:color="000000" w:sz="8" w:space="0"/>
            </w:tcBorders>
            <w:noWrap w:val="0"/>
            <w:vAlign w:val="center"/>
          </w:tcPr>
          <w:p>
            <w:pPr>
              <w:widowControl/>
              <w:jc w:val="center"/>
              <w:rPr>
                <w:kern w:val="0"/>
                <w:szCs w:val="21"/>
              </w:rPr>
            </w:pPr>
            <w:r>
              <w:rPr>
                <w:kern w:val="0"/>
                <w:szCs w:val="21"/>
              </w:rPr>
              <w:t>t/m</w:t>
            </w:r>
            <w:r>
              <w:rPr>
                <w:rFonts w:hint="eastAsia" w:ascii="宋体" w:hAnsi="宋体"/>
                <w:kern w:val="0"/>
                <w:szCs w:val="21"/>
              </w:rPr>
              <w:t>³</w:t>
            </w:r>
          </w:p>
        </w:tc>
        <w:tc>
          <w:tcPr>
            <w:tcW w:w="3036"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2.</w:t>
            </w:r>
            <w:r>
              <w:rPr>
                <w:rFonts w:hint="eastAsia"/>
                <w:kern w:val="0"/>
                <w:szCs w:val="21"/>
                <w:lang w:val="en-US" w:eastAsia="zh-CN"/>
              </w:rPr>
              <w:t>6</w:t>
            </w:r>
            <w:r>
              <w:rPr>
                <w:kern w:val="0"/>
                <w:szCs w:val="21"/>
              </w:rPr>
              <w:t>~</w:t>
            </w:r>
            <w:r>
              <w:rPr>
                <w:rFonts w:hint="eastAsia" w:ascii="宋体" w:hAnsi="宋体" w:cs="宋体"/>
                <w:kern w:val="0"/>
                <w:szCs w:val="21"/>
              </w:rPr>
              <w:t>2.</w:t>
            </w:r>
            <w:r>
              <w:rPr>
                <w:rFonts w:hint="eastAsia" w:ascii="宋体" w:hAnsi="宋体" w:cs="宋体"/>
                <w:kern w:val="0"/>
                <w:szCs w:val="21"/>
                <w:lang w:val="en-US" w:eastAsia="zh-CN"/>
              </w:rPr>
              <w:t>7</w:t>
            </w:r>
          </w:p>
        </w:tc>
      </w:tr>
      <w:tr>
        <w:tblPrEx>
          <w:tblCellMar>
            <w:top w:w="0" w:type="dxa"/>
            <w:left w:w="108" w:type="dxa"/>
            <w:bottom w:w="0" w:type="dxa"/>
            <w:right w:w="108" w:type="dxa"/>
          </w:tblCellMar>
        </w:tblPrEx>
        <w:trPr>
          <w:trHeight w:val="583" w:hRule="atLeast"/>
          <w:jc w:val="center"/>
        </w:trPr>
        <w:tc>
          <w:tcPr>
            <w:tcW w:w="2300"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常温耐压</w:t>
            </w:r>
          </w:p>
        </w:tc>
        <w:tc>
          <w:tcPr>
            <w:tcW w:w="2723" w:type="dxa"/>
            <w:gridSpan w:val="2"/>
            <w:tcBorders>
              <w:top w:val="single" w:color="auto" w:sz="8" w:space="0"/>
              <w:left w:val="nil"/>
              <w:bottom w:val="single" w:color="auto" w:sz="8" w:space="0"/>
              <w:right w:val="single" w:color="000000" w:sz="8" w:space="0"/>
            </w:tcBorders>
            <w:noWrap w:val="0"/>
            <w:vAlign w:val="center"/>
          </w:tcPr>
          <w:p>
            <w:pPr>
              <w:widowControl/>
              <w:jc w:val="center"/>
              <w:rPr>
                <w:rFonts w:hint="eastAsia"/>
                <w:kern w:val="0"/>
                <w:szCs w:val="21"/>
              </w:rPr>
            </w:pPr>
            <w:r>
              <w:rPr>
                <w:kern w:val="0"/>
                <w:szCs w:val="21"/>
              </w:rPr>
              <w:t>KN/</w:t>
            </w:r>
            <w:r>
              <w:rPr>
                <w:rFonts w:hint="eastAsia" w:ascii="宋体" w:hAnsi="宋体"/>
                <w:kern w:val="0"/>
                <w:szCs w:val="21"/>
              </w:rPr>
              <w:t>球、</w:t>
            </w:r>
            <w:r>
              <w:rPr>
                <w:kern w:val="0"/>
                <w:szCs w:val="21"/>
              </w:rPr>
              <w:t>KN</w:t>
            </w:r>
            <w:r>
              <w:rPr>
                <w:rFonts w:hint="eastAsia"/>
                <w:kern w:val="0"/>
                <w:szCs w:val="21"/>
              </w:rPr>
              <w:t xml:space="preserve"> </w:t>
            </w:r>
          </w:p>
        </w:tc>
        <w:tc>
          <w:tcPr>
            <w:tcW w:w="3036"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w:t>
            </w:r>
            <w:r>
              <w:rPr>
                <w:rFonts w:hint="eastAsia" w:ascii="宋体" w:hAnsi="宋体" w:cs="宋体"/>
                <w:kern w:val="0"/>
                <w:szCs w:val="21"/>
                <w:lang w:val="en-US" w:eastAsia="zh-CN"/>
              </w:rPr>
              <w:t>18000</w:t>
            </w:r>
          </w:p>
        </w:tc>
      </w:tr>
      <w:tr>
        <w:tblPrEx>
          <w:tblCellMar>
            <w:top w:w="0" w:type="dxa"/>
            <w:left w:w="108" w:type="dxa"/>
            <w:bottom w:w="0" w:type="dxa"/>
            <w:right w:w="108" w:type="dxa"/>
          </w:tblCellMar>
        </w:tblPrEx>
        <w:trPr>
          <w:trHeight w:val="558" w:hRule="atLeast"/>
          <w:jc w:val="center"/>
        </w:trPr>
        <w:tc>
          <w:tcPr>
            <w:tcW w:w="2300"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蠕变率</w:t>
            </w:r>
            <w:r>
              <w:rPr>
                <w:kern w:val="0"/>
                <w:szCs w:val="21"/>
              </w:rPr>
              <w:t>%</w:t>
            </w:r>
          </w:p>
        </w:tc>
        <w:tc>
          <w:tcPr>
            <w:tcW w:w="2723" w:type="dxa"/>
            <w:gridSpan w:val="2"/>
            <w:tcBorders>
              <w:top w:val="single" w:color="auto" w:sz="8" w:space="0"/>
              <w:left w:val="nil"/>
              <w:bottom w:val="single" w:color="auto" w:sz="8" w:space="0"/>
              <w:right w:val="single" w:color="000000" w:sz="8" w:space="0"/>
            </w:tcBorders>
            <w:noWrap w:val="0"/>
            <w:vAlign w:val="center"/>
          </w:tcPr>
          <w:p>
            <w:pPr>
              <w:widowControl/>
              <w:jc w:val="center"/>
              <w:rPr>
                <w:rFonts w:hint="eastAsia" w:ascii="宋体" w:hAnsi="宋体"/>
                <w:kern w:val="0"/>
                <w:szCs w:val="21"/>
              </w:rPr>
            </w:pPr>
            <w:r>
              <w:rPr>
                <w:kern w:val="0"/>
                <w:szCs w:val="21"/>
              </w:rPr>
              <w:t>0.2Mpa</w:t>
            </w:r>
            <w:r>
              <w:rPr>
                <w:rFonts w:hint="eastAsia" w:ascii="宋体" w:hAnsi="宋体"/>
                <w:kern w:val="0"/>
                <w:szCs w:val="21"/>
              </w:rPr>
              <w:t>*5h*</w:t>
            </w:r>
          </w:p>
          <w:p>
            <w:pPr>
              <w:widowControl/>
              <w:jc w:val="center"/>
              <w:rPr>
                <w:kern w:val="0"/>
                <w:szCs w:val="21"/>
              </w:rPr>
            </w:pPr>
            <w:r>
              <w:rPr>
                <w:rFonts w:hint="eastAsia" w:ascii="宋体" w:hAnsi="宋体"/>
                <w:kern w:val="0"/>
                <w:szCs w:val="21"/>
              </w:rPr>
              <w:t>1400℃</w:t>
            </w:r>
          </w:p>
        </w:tc>
        <w:tc>
          <w:tcPr>
            <w:tcW w:w="3036"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w:t>
            </w:r>
            <w:r>
              <w:rPr>
                <w:rFonts w:hint="eastAsia" w:ascii="宋体" w:hAnsi="宋体" w:cs="宋体"/>
                <w:kern w:val="0"/>
                <w:szCs w:val="21"/>
                <w:lang w:val="en-US" w:eastAsia="zh-CN"/>
              </w:rPr>
              <w:t>3</w:t>
            </w:r>
          </w:p>
        </w:tc>
      </w:tr>
      <w:tr>
        <w:tblPrEx>
          <w:tblCellMar>
            <w:top w:w="0" w:type="dxa"/>
            <w:left w:w="108" w:type="dxa"/>
            <w:bottom w:w="0" w:type="dxa"/>
            <w:right w:w="108" w:type="dxa"/>
          </w:tblCellMar>
        </w:tblPrEx>
        <w:trPr>
          <w:trHeight w:val="334" w:hRule="atLeast"/>
          <w:jc w:val="center"/>
        </w:trPr>
        <w:tc>
          <w:tcPr>
            <w:tcW w:w="230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重烧线变化率</w:t>
            </w:r>
          </w:p>
        </w:tc>
        <w:tc>
          <w:tcPr>
            <w:tcW w:w="945" w:type="dxa"/>
            <w:vMerge w:val="restart"/>
            <w:tcBorders>
              <w:top w:val="nil"/>
              <w:left w:val="single" w:color="auto" w:sz="8" w:space="0"/>
              <w:bottom w:val="single" w:color="000000" w:sz="8" w:space="0"/>
              <w:right w:val="single" w:color="auto" w:sz="8" w:space="0"/>
            </w:tcBorders>
            <w:noWrap w:val="0"/>
            <w:vAlign w:val="center"/>
          </w:tcPr>
          <w:p>
            <w:pPr>
              <w:widowControl/>
              <w:jc w:val="center"/>
              <w:rPr>
                <w:kern w:val="0"/>
                <w:szCs w:val="21"/>
              </w:rPr>
            </w:pPr>
            <w:r>
              <w:rPr>
                <w:kern w:val="0"/>
                <w:szCs w:val="21"/>
              </w:rPr>
              <w:t>%</w:t>
            </w:r>
          </w:p>
        </w:tc>
        <w:tc>
          <w:tcPr>
            <w:tcW w:w="1778"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℃*h</w:t>
            </w:r>
          </w:p>
        </w:tc>
        <w:tc>
          <w:tcPr>
            <w:tcW w:w="303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Cs w:val="21"/>
              </w:rPr>
            </w:pPr>
            <w:r>
              <w:rPr>
                <w:kern w:val="0"/>
                <w:szCs w:val="21"/>
              </w:rPr>
              <w:t>1450*2</w:t>
            </w:r>
          </w:p>
        </w:tc>
      </w:tr>
      <w:tr>
        <w:tblPrEx>
          <w:tblCellMar>
            <w:top w:w="0" w:type="dxa"/>
            <w:left w:w="108" w:type="dxa"/>
            <w:bottom w:w="0" w:type="dxa"/>
            <w:right w:w="108" w:type="dxa"/>
          </w:tblCellMar>
        </w:tblPrEx>
        <w:trPr>
          <w:trHeight w:val="334" w:hRule="atLeast"/>
          <w:jc w:val="center"/>
        </w:trPr>
        <w:tc>
          <w:tcPr>
            <w:tcW w:w="23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Cs w:val="21"/>
              </w:rPr>
            </w:pPr>
          </w:p>
        </w:tc>
        <w:tc>
          <w:tcPr>
            <w:tcW w:w="945" w:type="dxa"/>
            <w:vMerge w:val="continue"/>
            <w:tcBorders>
              <w:top w:val="nil"/>
              <w:left w:val="single" w:color="auto" w:sz="8" w:space="0"/>
              <w:bottom w:val="single" w:color="000000" w:sz="8" w:space="0"/>
              <w:right w:val="single" w:color="auto" w:sz="8" w:space="0"/>
            </w:tcBorders>
            <w:noWrap w:val="0"/>
            <w:vAlign w:val="center"/>
          </w:tcPr>
          <w:p>
            <w:pPr>
              <w:widowControl/>
              <w:jc w:val="left"/>
              <w:rPr>
                <w:kern w:val="0"/>
                <w:szCs w:val="21"/>
              </w:rPr>
            </w:pPr>
          </w:p>
        </w:tc>
        <w:tc>
          <w:tcPr>
            <w:tcW w:w="1778" w:type="dxa"/>
            <w:tcBorders>
              <w:top w:val="nil"/>
              <w:left w:val="nil"/>
              <w:bottom w:val="single" w:color="auto" w:sz="8" w:space="0"/>
              <w:right w:val="single" w:color="auto" w:sz="8" w:space="0"/>
            </w:tcBorders>
            <w:noWrap w:val="0"/>
            <w:vAlign w:val="center"/>
          </w:tcPr>
          <w:p>
            <w:pPr>
              <w:widowControl/>
              <w:jc w:val="center"/>
              <w:rPr>
                <w:kern w:val="0"/>
                <w:szCs w:val="21"/>
              </w:rPr>
            </w:pPr>
            <w:r>
              <w:rPr>
                <w:kern w:val="0"/>
                <w:szCs w:val="21"/>
              </w:rPr>
              <w:t>%</w:t>
            </w:r>
          </w:p>
        </w:tc>
        <w:tc>
          <w:tcPr>
            <w:tcW w:w="303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Cs w:val="21"/>
              </w:rPr>
            </w:pPr>
          </w:p>
        </w:tc>
      </w:tr>
      <w:tr>
        <w:tblPrEx>
          <w:tblCellMar>
            <w:top w:w="0" w:type="dxa"/>
            <w:left w:w="108" w:type="dxa"/>
            <w:bottom w:w="0" w:type="dxa"/>
            <w:right w:w="108" w:type="dxa"/>
          </w:tblCellMar>
        </w:tblPrEx>
        <w:trPr>
          <w:trHeight w:val="334" w:hRule="atLeast"/>
          <w:jc w:val="center"/>
        </w:trPr>
        <w:tc>
          <w:tcPr>
            <w:tcW w:w="230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主要化学成份</w:t>
            </w:r>
          </w:p>
        </w:tc>
        <w:tc>
          <w:tcPr>
            <w:tcW w:w="945" w:type="dxa"/>
            <w:vMerge w:val="restart"/>
            <w:tcBorders>
              <w:top w:val="nil"/>
              <w:left w:val="single" w:color="auto" w:sz="8" w:space="0"/>
              <w:bottom w:val="single" w:color="000000" w:sz="8" w:space="0"/>
              <w:right w:val="single" w:color="auto" w:sz="8" w:space="0"/>
            </w:tcBorders>
            <w:noWrap w:val="0"/>
            <w:vAlign w:val="center"/>
          </w:tcPr>
          <w:p>
            <w:pPr>
              <w:widowControl/>
              <w:jc w:val="center"/>
              <w:rPr>
                <w:kern w:val="0"/>
                <w:szCs w:val="21"/>
              </w:rPr>
            </w:pPr>
            <w:r>
              <w:rPr>
                <w:kern w:val="0"/>
                <w:szCs w:val="21"/>
              </w:rPr>
              <w:t>%</w:t>
            </w:r>
          </w:p>
        </w:tc>
        <w:tc>
          <w:tcPr>
            <w:tcW w:w="1778" w:type="dxa"/>
            <w:tcBorders>
              <w:top w:val="nil"/>
              <w:left w:val="nil"/>
              <w:bottom w:val="single" w:color="auto" w:sz="8" w:space="0"/>
              <w:right w:val="single" w:color="auto" w:sz="8" w:space="0"/>
            </w:tcBorders>
            <w:noWrap w:val="0"/>
            <w:vAlign w:val="top"/>
          </w:tcPr>
          <w:p>
            <w:pPr>
              <w:widowControl/>
              <w:jc w:val="left"/>
              <w:rPr>
                <w:kern w:val="0"/>
                <w:szCs w:val="21"/>
              </w:rPr>
            </w:pPr>
            <w:r>
              <w:rPr>
                <w:kern w:val="0"/>
                <w:szCs w:val="21"/>
              </w:rPr>
              <w:t>Al</w:t>
            </w:r>
            <w:r>
              <w:rPr>
                <w:kern w:val="0"/>
                <w:szCs w:val="21"/>
                <w:vertAlign w:val="subscript"/>
              </w:rPr>
              <w:t>2</w:t>
            </w:r>
            <w:r>
              <w:rPr>
                <w:kern w:val="0"/>
                <w:szCs w:val="21"/>
              </w:rPr>
              <w:t>O</w:t>
            </w:r>
            <w:r>
              <w:rPr>
                <w:kern w:val="0"/>
                <w:szCs w:val="21"/>
                <w:vertAlign w:val="subscript"/>
              </w:rPr>
              <w:t>3</w:t>
            </w:r>
          </w:p>
        </w:tc>
        <w:tc>
          <w:tcPr>
            <w:tcW w:w="303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65</w:t>
            </w:r>
            <w:r>
              <w:rPr>
                <w:kern w:val="0"/>
                <w:szCs w:val="21"/>
              </w:rPr>
              <w:t>~</w:t>
            </w:r>
            <w:r>
              <w:rPr>
                <w:rFonts w:hint="eastAsia" w:ascii="宋体" w:hAnsi="宋体" w:cs="宋体"/>
                <w:kern w:val="0"/>
                <w:szCs w:val="21"/>
                <w:lang w:val="en-US" w:eastAsia="zh-CN"/>
              </w:rPr>
              <w:t>70</w:t>
            </w:r>
          </w:p>
        </w:tc>
      </w:tr>
      <w:tr>
        <w:tblPrEx>
          <w:tblCellMar>
            <w:top w:w="0" w:type="dxa"/>
            <w:left w:w="108" w:type="dxa"/>
            <w:bottom w:w="0" w:type="dxa"/>
            <w:right w:w="108" w:type="dxa"/>
          </w:tblCellMar>
        </w:tblPrEx>
        <w:trPr>
          <w:trHeight w:val="372" w:hRule="atLeast"/>
          <w:jc w:val="center"/>
        </w:trPr>
        <w:tc>
          <w:tcPr>
            <w:tcW w:w="23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Cs w:val="21"/>
              </w:rPr>
            </w:pPr>
          </w:p>
        </w:tc>
        <w:tc>
          <w:tcPr>
            <w:tcW w:w="945" w:type="dxa"/>
            <w:vMerge w:val="continue"/>
            <w:tcBorders>
              <w:top w:val="nil"/>
              <w:left w:val="single" w:color="auto" w:sz="8" w:space="0"/>
              <w:bottom w:val="single" w:color="000000" w:sz="8" w:space="0"/>
              <w:right w:val="single" w:color="auto" w:sz="8" w:space="0"/>
            </w:tcBorders>
            <w:noWrap w:val="0"/>
            <w:vAlign w:val="center"/>
          </w:tcPr>
          <w:p>
            <w:pPr>
              <w:widowControl/>
              <w:jc w:val="left"/>
              <w:rPr>
                <w:kern w:val="0"/>
                <w:szCs w:val="21"/>
              </w:rPr>
            </w:pPr>
          </w:p>
        </w:tc>
        <w:tc>
          <w:tcPr>
            <w:tcW w:w="1778" w:type="dxa"/>
            <w:tcBorders>
              <w:top w:val="nil"/>
              <w:left w:val="nil"/>
              <w:bottom w:val="single" w:color="auto" w:sz="8" w:space="0"/>
              <w:right w:val="single" w:color="auto" w:sz="8" w:space="0"/>
            </w:tcBorders>
            <w:noWrap w:val="0"/>
            <w:vAlign w:val="center"/>
          </w:tcPr>
          <w:p>
            <w:pPr>
              <w:widowControl/>
              <w:jc w:val="center"/>
              <w:rPr>
                <w:kern w:val="0"/>
                <w:szCs w:val="21"/>
              </w:rPr>
            </w:pPr>
            <w:r>
              <w:rPr>
                <w:kern w:val="0"/>
                <w:szCs w:val="21"/>
              </w:rPr>
              <w:t>Fe</w:t>
            </w:r>
            <w:r>
              <w:rPr>
                <w:kern w:val="0"/>
                <w:szCs w:val="21"/>
                <w:vertAlign w:val="subscript"/>
              </w:rPr>
              <w:t>2</w:t>
            </w:r>
            <w:r>
              <w:rPr>
                <w:kern w:val="0"/>
                <w:szCs w:val="21"/>
              </w:rPr>
              <w:t>O</w:t>
            </w:r>
            <w:r>
              <w:rPr>
                <w:kern w:val="0"/>
                <w:szCs w:val="21"/>
                <w:vertAlign w:val="subscript"/>
              </w:rPr>
              <w:t>3</w:t>
            </w:r>
          </w:p>
        </w:tc>
        <w:tc>
          <w:tcPr>
            <w:tcW w:w="303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w:t>
            </w:r>
          </w:p>
        </w:tc>
      </w:tr>
    </w:tbl>
    <w:p>
      <w:pPr>
        <w:snapToGrid w:val="0"/>
        <w:spacing w:line="360" w:lineRule="auto"/>
        <w:rPr>
          <w:rFonts w:hint="eastAsia" w:ascii="宋体" w:hAnsi="宋体"/>
          <w:sz w:val="24"/>
        </w:rPr>
      </w:pPr>
      <w:r>
        <w:rPr>
          <w:rFonts w:hint="eastAsia" w:ascii="宋体" w:hAnsi="宋体"/>
          <w:sz w:val="24"/>
        </w:rPr>
        <w:t>4.</w:t>
      </w:r>
      <w:r>
        <w:rPr>
          <w:rFonts w:hint="eastAsia" w:ascii="宋体" w:hAnsi="宋体"/>
          <w:sz w:val="24"/>
          <w:lang w:val="en-US" w:eastAsia="zh-CN"/>
        </w:rPr>
        <w:t>4</w:t>
      </w:r>
      <w:r>
        <w:rPr>
          <w:rFonts w:hint="eastAsia" w:ascii="宋体" w:hAnsi="宋体"/>
          <w:sz w:val="24"/>
        </w:rPr>
        <w:t>验收要求</w:t>
      </w:r>
    </w:p>
    <w:p>
      <w:pPr>
        <w:snapToGrid w:val="0"/>
        <w:spacing w:line="360" w:lineRule="auto"/>
        <w:ind w:firstLine="480" w:firstLineChars="200"/>
        <w:rPr>
          <w:rFonts w:hint="eastAsia" w:ascii="宋体" w:hAnsi="宋体"/>
          <w:sz w:val="24"/>
          <w:lang w:eastAsia="zh-CN"/>
        </w:rPr>
      </w:pPr>
      <w:r>
        <w:rPr>
          <w:rFonts w:hint="eastAsia" w:ascii="宋体" w:hAnsi="宋体"/>
          <w:sz w:val="24"/>
          <w:lang w:val="en-US" w:eastAsia="zh-CN"/>
        </w:rPr>
        <w:t>4.4.1</w:t>
      </w:r>
      <w:r>
        <w:rPr>
          <w:rFonts w:hint="eastAsia" w:ascii="宋体" w:hAnsi="宋体"/>
          <w:sz w:val="24"/>
        </w:rPr>
        <w:t>耐火球必须为机制，</w:t>
      </w:r>
      <w:r>
        <w:rPr>
          <w:rFonts w:hint="eastAsia" w:ascii="宋体" w:hAnsi="宋体"/>
          <w:sz w:val="24"/>
          <w:lang w:eastAsia="zh-CN"/>
        </w:rPr>
        <w:t>甲方对</w:t>
      </w:r>
      <w:r>
        <w:rPr>
          <w:rFonts w:hint="eastAsia" w:ascii="宋体" w:hAnsi="宋体"/>
          <w:sz w:val="24"/>
        </w:rPr>
        <w:t>耐火球的理化指标、强度进行</w:t>
      </w:r>
      <w:r>
        <w:rPr>
          <w:rFonts w:hint="eastAsia" w:ascii="宋体" w:hAnsi="宋体"/>
          <w:sz w:val="24"/>
          <w:lang w:eastAsia="zh-CN"/>
        </w:rPr>
        <w:t>出厂前</w:t>
      </w:r>
      <w:r>
        <w:rPr>
          <w:rFonts w:hint="eastAsia" w:ascii="宋体" w:hAnsi="宋体"/>
          <w:sz w:val="24"/>
        </w:rPr>
        <w:t>抽检</w:t>
      </w:r>
      <w:r>
        <w:rPr>
          <w:rFonts w:hint="eastAsia" w:ascii="宋体" w:hAnsi="宋体"/>
          <w:sz w:val="24"/>
          <w:lang w:eastAsia="zh-CN"/>
        </w:rPr>
        <w:t>。</w:t>
      </w:r>
    </w:p>
    <w:p>
      <w:pPr>
        <w:snapToGrid w:val="0"/>
        <w:spacing w:line="360" w:lineRule="auto"/>
        <w:ind w:firstLine="480" w:firstLineChars="200"/>
        <w:rPr>
          <w:rFonts w:hint="eastAsia" w:ascii="宋体" w:hAnsi="宋体"/>
          <w:sz w:val="24"/>
        </w:rPr>
      </w:pPr>
      <w:r>
        <w:rPr>
          <w:rFonts w:hint="eastAsia" w:ascii="宋体" w:hAnsi="宋体"/>
          <w:sz w:val="24"/>
          <w:lang w:val="en-US" w:eastAsia="zh-CN"/>
        </w:rPr>
        <w:t>4.4.2耐火材料出厂前必须进行抽样</w:t>
      </w:r>
      <w:r>
        <w:rPr>
          <w:rFonts w:hint="eastAsia" w:ascii="宋体" w:hAnsi="宋体"/>
          <w:sz w:val="24"/>
        </w:rPr>
        <w:t>，乙方须委托由国家认可的第三方进行化检验，并出具化检验报告，由此产生的化经验等其它费用由乙方承担，对于不合格产品甲方有权拒绝支付货款。</w:t>
      </w:r>
    </w:p>
    <w:p>
      <w:pPr>
        <w:snapToGrid w:val="0"/>
        <w:spacing w:line="360" w:lineRule="auto"/>
        <w:rPr>
          <w:rFonts w:hint="eastAsia" w:ascii="宋体" w:hAnsi="宋体"/>
          <w:b/>
          <w:sz w:val="24"/>
        </w:rPr>
      </w:pPr>
      <w:r>
        <w:rPr>
          <w:rFonts w:hint="eastAsia" w:ascii="宋体" w:hAnsi="宋体"/>
          <w:b/>
          <w:sz w:val="24"/>
        </w:rPr>
        <w:t>附件五  图纸资料交接</w:t>
      </w:r>
    </w:p>
    <w:p>
      <w:pPr>
        <w:snapToGrid w:val="0"/>
        <w:spacing w:line="360" w:lineRule="auto"/>
        <w:rPr>
          <w:rFonts w:hint="eastAsia" w:ascii="宋体" w:hAnsi="宋体"/>
          <w:sz w:val="24"/>
        </w:rPr>
      </w:pPr>
      <w:r>
        <w:rPr>
          <w:rFonts w:hint="eastAsia" w:ascii="宋体" w:hAnsi="宋体"/>
          <w:sz w:val="24"/>
        </w:rPr>
        <w:t xml:space="preserve">    5.1  第三方化检验报告书。</w:t>
      </w:r>
    </w:p>
    <w:p>
      <w:pPr>
        <w:snapToGrid w:val="0"/>
        <w:spacing w:line="360" w:lineRule="auto"/>
        <w:rPr>
          <w:rFonts w:hint="eastAsia" w:ascii="宋体" w:hAnsi="宋体"/>
          <w:sz w:val="24"/>
        </w:rPr>
      </w:pPr>
      <w:r>
        <w:rPr>
          <w:rFonts w:hint="eastAsia" w:ascii="宋体" w:hAnsi="宋体"/>
          <w:sz w:val="24"/>
        </w:rPr>
        <w:t xml:space="preserve">    5.2  产品质量保证书。</w:t>
      </w:r>
    </w:p>
    <w:p>
      <w:pPr>
        <w:snapToGrid w:val="0"/>
        <w:spacing w:line="360" w:lineRule="auto"/>
        <w:rPr>
          <w:rFonts w:hint="eastAsia" w:ascii="宋体" w:hAnsi="宋体"/>
          <w:sz w:val="24"/>
        </w:rPr>
      </w:pPr>
      <w:r>
        <w:rPr>
          <w:rFonts w:hint="eastAsia" w:ascii="宋体" w:hAnsi="宋体"/>
          <w:sz w:val="24"/>
        </w:rPr>
        <w:t xml:space="preserve">    5.3  合格证。</w:t>
      </w:r>
    </w:p>
    <w:p>
      <w:pPr>
        <w:snapToGrid w:val="0"/>
        <w:spacing w:line="360" w:lineRule="auto"/>
        <w:rPr>
          <w:rFonts w:hint="eastAsia" w:ascii="宋体" w:hAnsi="宋体"/>
          <w:sz w:val="24"/>
        </w:rPr>
      </w:pPr>
      <w:r>
        <w:rPr>
          <w:rFonts w:hint="eastAsia" w:ascii="宋体" w:hAnsi="宋体"/>
          <w:sz w:val="24"/>
        </w:rPr>
        <w:t xml:space="preserve">    5.4  产品使用说明书。</w:t>
      </w:r>
    </w:p>
    <w:p>
      <w:pPr>
        <w:snapToGrid w:val="0"/>
        <w:spacing w:line="360" w:lineRule="auto"/>
        <w:rPr>
          <w:rFonts w:hint="eastAsia" w:ascii="宋体" w:hAnsi="宋体"/>
          <w:b/>
          <w:sz w:val="24"/>
        </w:rPr>
      </w:pPr>
      <w:r>
        <w:rPr>
          <w:rFonts w:hint="eastAsia" w:ascii="宋体" w:hAnsi="宋体"/>
          <w:b/>
          <w:sz w:val="24"/>
        </w:rPr>
        <w:t>附件六  产品加工与储存、运输</w:t>
      </w:r>
    </w:p>
    <w:p>
      <w:pPr>
        <w:snapToGrid w:val="0"/>
        <w:spacing w:line="360" w:lineRule="auto"/>
        <w:rPr>
          <w:rFonts w:hint="eastAsia" w:ascii="宋体" w:hAnsi="宋体"/>
          <w:sz w:val="24"/>
        </w:rPr>
      </w:pPr>
      <w:r>
        <w:rPr>
          <w:rFonts w:hint="eastAsia" w:ascii="宋体" w:hAnsi="宋体"/>
          <w:sz w:val="24"/>
        </w:rPr>
        <w:t xml:space="preserve">    6.1  产品加工期间，甲方有权派人在现场进行检查、监督制造过程，乙方须无条件予以合作。</w:t>
      </w:r>
    </w:p>
    <w:p>
      <w:pPr>
        <w:snapToGrid w:val="0"/>
        <w:spacing w:line="360" w:lineRule="auto"/>
        <w:ind w:firstLine="480"/>
        <w:rPr>
          <w:rFonts w:hint="eastAsia" w:ascii="宋体" w:hAnsi="宋体"/>
          <w:sz w:val="24"/>
        </w:rPr>
      </w:pPr>
      <w:r>
        <w:rPr>
          <w:rFonts w:hint="eastAsia" w:ascii="宋体" w:hAnsi="宋体"/>
          <w:sz w:val="24"/>
        </w:rPr>
        <w:t>6.2  产品生产期间，原料混有杂物一律不得用于产品生产；一经被甲方发现，本批次产品按废品处理。</w:t>
      </w:r>
    </w:p>
    <w:p>
      <w:pPr>
        <w:snapToGrid w:val="0"/>
        <w:spacing w:line="360" w:lineRule="auto"/>
        <w:ind w:firstLine="480"/>
        <w:rPr>
          <w:rFonts w:hint="eastAsia" w:ascii="宋体" w:hAnsi="宋体"/>
          <w:sz w:val="24"/>
        </w:rPr>
      </w:pPr>
      <w:r>
        <w:rPr>
          <w:rFonts w:hint="eastAsia" w:ascii="宋体" w:hAnsi="宋体"/>
          <w:sz w:val="24"/>
        </w:rPr>
        <w:t>6.3  产品加工完毕，乙方须按照产品保存要求做好防雨、防碰撞、防摔工作，严禁露天储存与运输。</w:t>
      </w:r>
    </w:p>
    <w:p>
      <w:pPr>
        <w:snapToGrid w:val="0"/>
        <w:spacing w:line="360" w:lineRule="auto"/>
        <w:ind w:firstLine="480"/>
        <w:rPr>
          <w:rFonts w:hint="eastAsia" w:ascii="宋体" w:hAnsi="宋体"/>
          <w:sz w:val="24"/>
        </w:rPr>
      </w:pPr>
      <w:r>
        <w:rPr>
          <w:rFonts w:hint="eastAsia" w:ascii="宋体" w:hAnsi="宋体"/>
          <w:sz w:val="24"/>
        </w:rPr>
        <w:t>6.4  所有产品须按要求进行包装。请投标厂家在标书中说明包装要求及其并提供行业标准（包装袋强度必须保证运输，吊运没有破损或断带）。</w:t>
      </w:r>
    </w:p>
    <w:p>
      <w:pPr>
        <w:snapToGrid w:val="0"/>
        <w:spacing w:line="360" w:lineRule="auto"/>
        <w:rPr>
          <w:rFonts w:hint="eastAsia" w:ascii="宋体" w:hAnsi="宋体"/>
          <w:b/>
          <w:sz w:val="24"/>
        </w:rPr>
      </w:pPr>
      <w:r>
        <w:rPr>
          <w:rFonts w:hint="eastAsia" w:ascii="宋体" w:hAnsi="宋体"/>
          <w:b/>
          <w:sz w:val="24"/>
        </w:rPr>
        <w:t>附件七  交货</w:t>
      </w:r>
    </w:p>
    <w:p>
      <w:pPr>
        <w:snapToGrid w:val="0"/>
        <w:spacing w:line="360" w:lineRule="auto"/>
        <w:ind w:firstLine="480"/>
        <w:rPr>
          <w:rFonts w:hint="eastAsia" w:ascii="宋体" w:hAnsi="宋体"/>
          <w:sz w:val="24"/>
        </w:rPr>
      </w:pPr>
      <w:r>
        <w:rPr>
          <w:rFonts w:hint="eastAsia" w:ascii="宋体" w:hAnsi="宋体"/>
          <w:sz w:val="24"/>
        </w:rPr>
        <w:t>7.1  交货日期：</w:t>
      </w:r>
      <w:r>
        <w:rPr>
          <w:rFonts w:hint="eastAsia" w:ascii="宋体" w:hAnsi="宋体"/>
          <w:sz w:val="24"/>
          <w:lang w:val="en-US" w:eastAsia="zh-CN"/>
        </w:rPr>
        <w:t>2025年  月  日(准确时间以甲方通知为准)；</w:t>
      </w:r>
      <w:r>
        <w:rPr>
          <w:rFonts w:hint="eastAsia" w:ascii="宋体" w:hAnsi="宋体"/>
          <w:sz w:val="24"/>
        </w:rPr>
        <w:t>乙方将货物运至酒钢施工现场（甘肃省嘉峪关市酒钢厂区）。</w:t>
      </w:r>
    </w:p>
    <w:p>
      <w:pPr>
        <w:snapToGrid w:val="0"/>
        <w:spacing w:line="360" w:lineRule="auto"/>
        <w:ind w:firstLine="480"/>
        <w:rPr>
          <w:rFonts w:hint="eastAsia" w:ascii="宋体" w:hAnsi="宋体"/>
          <w:sz w:val="24"/>
        </w:rPr>
      </w:pPr>
      <w:r>
        <w:rPr>
          <w:rFonts w:hint="eastAsia" w:ascii="宋体" w:hAnsi="宋体"/>
          <w:sz w:val="24"/>
        </w:rPr>
        <w:t>7.2  产品交货</w:t>
      </w:r>
      <w:r>
        <w:rPr>
          <w:rFonts w:hint="eastAsia" w:ascii="宋体" w:hAnsi="宋体"/>
          <w:sz w:val="24"/>
          <w:lang w:eastAsia="zh-CN"/>
        </w:rPr>
        <w:t>规格及数量</w:t>
      </w:r>
      <w:r>
        <w:rPr>
          <w:rFonts w:hint="eastAsia" w:ascii="宋体" w:hAnsi="宋体"/>
          <w:sz w:val="24"/>
        </w:rPr>
        <w:t>以协议合同标定的数量为准。</w:t>
      </w:r>
    </w:p>
    <w:p>
      <w:pPr>
        <w:snapToGrid w:val="0"/>
        <w:spacing w:line="360" w:lineRule="auto"/>
        <w:ind w:firstLine="480"/>
        <w:rPr>
          <w:rFonts w:hint="eastAsia" w:ascii="宋体" w:hAnsi="宋体"/>
          <w:sz w:val="24"/>
        </w:rPr>
      </w:pPr>
      <w:r>
        <w:rPr>
          <w:rFonts w:hint="eastAsia" w:ascii="宋体" w:hAnsi="宋体"/>
          <w:sz w:val="24"/>
        </w:rPr>
        <w:t>7.3  产品交货到货后，乙方需派专人到现场与甲方人员共同清点到货数量并做好记录。</w:t>
      </w:r>
    </w:p>
    <w:p>
      <w:pPr>
        <w:snapToGrid w:val="0"/>
        <w:spacing w:line="360" w:lineRule="auto"/>
        <w:rPr>
          <w:rFonts w:hint="eastAsia" w:ascii="宋体" w:hAnsi="宋体"/>
          <w:b/>
          <w:sz w:val="24"/>
        </w:rPr>
      </w:pPr>
      <w:r>
        <w:rPr>
          <w:rFonts w:hint="eastAsia" w:ascii="宋体" w:hAnsi="宋体"/>
          <w:b/>
          <w:sz w:val="24"/>
        </w:rPr>
        <w:t>附件八  售后服务</w:t>
      </w:r>
    </w:p>
    <w:p>
      <w:pPr>
        <w:snapToGrid w:val="0"/>
        <w:spacing w:line="360" w:lineRule="auto"/>
        <w:ind w:firstLine="480"/>
        <w:rPr>
          <w:rFonts w:hint="eastAsia" w:ascii="宋体" w:hAnsi="宋体"/>
          <w:sz w:val="24"/>
        </w:rPr>
      </w:pPr>
      <w:r>
        <w:rPr>
          <w:rFonts w:hint="eastAsia" w:ascii="宋体" w:hAnsi="宋体"/>
          <w:sz w:val="24"/>
        </w:rPr>
        <w:t>乙方根据甲方的服务需求在48小时内提供所需服务，服务时必须满足甲方要求。</w:t>
      </w:r>
    </w:p>
    <w:p>
      <w:pPr>
        <w:snapToGrid w:val="0"/>
        <w:spacing w:line="360" w:lineRule="auto"/>
        <w:rPr>
          <w:rFonts w:hint="eastAsia" w:ascii="宋体" w:hAnsi="宋体"/>
          <w:b/>
          <w:sz w:val="24"/>
        </w:rPr>
      </w:pPr>
      <w:r>
        <w:rPr>
          <w:rFonts w:hint="eastAsia" w:ascii="宋体" w:hAnsi="宋体"/>
          <w:b/>
          <w:sz w:val="24"/>
        </w:rPr>
        <w:t>附件九  考核指标</w:t>
      </w:r>
    </w:p>
    <w:p>
      <w:pPr>
        <w:snapToGrid w:val="0"/>
        <w:spacing w:line="360" w:lineRule="auto"/>
        <w:ind w:firstLine="480" w:firstLineChars="200"/>
        <w:rPr>
          <w:rFonts w:hint="eastAsia" w:ascii="宋体" w:hAnsi="宋体"/>
          <w:sz w:val="24"/>
        </w:rPr>
      </w:pPr>
      <w:r>
        <w:rPr>
          <w:rFonts w:hint="eastAsia" w:ascii="宋体" w:hAnsi="宋体"/>
          <w:sz w:val="24"/>
        </w:rPr>
        <w:t>9.1  GB/T 2997 致密定形耐火制品体积密度、显气孔率和真气孔率试验方法，</w:t>
      </w:r>
      <w:r>
        <w:rPr>
          <w:rFonts w:hint="eastAsia" w:ascii="宋体" w:hAnsi="宋体"/>
          <w:b w:val="0"/>
          <w:bCs/>
          <w:sz w:val="24"/>
        </w:rPr>
        <w:t>检验</w:t>
      </w:r>
      <w:r>
        <w:rPr>
          <w:rFonts w:hint="eastAsia" w:ascii="宋体" w:hAnsi="宋体"/>
          <w:sz w:val="24"/>
        </w:rPr>
        <w:t>不合格按进货总金额的20%对乙方进行</w:t>
      </w:r>
      <w:r>
        <w:rPr>
          <w:rFonts w:hint="eastAsia" w:ascii="宋体" w:hAnsi="宋体"/>
          <w:sz w:val="24"/>
          <w:lang w:val="en-US" w:eastAsia="zh-CN"/>
        </w:rPr>
        <w:t>违约扣款</w:t>
      </w:r>
      <w:r>
        <w:rPr>
          <w:rFonts w:hint="eastAsia" w:ascii="宋体" w:hAnsi="宋体"/>
          <w:sz w:val="24"/>
        </w:rPr>
        <w:t>。</w:t>
      </w:r>
    </w:p>
    <w:p>
      <w:pPr>
        <w:snapToGrid w:val="0"/>
        <w:spacing w:line="360" w:lineRule="auto"/>
        <w:ind w:firstLine="480" w:firstLineChars="200"/>
        <w:rPr>
          <w:rFonts w:hint="eastAsia" w:ascii="宋体" w:hAnsi="宋体"/>
          <w:sz w:val="24"/>
        </w:rPr>
      </w:pPr>
      <w:r>
        <w:rPr>
          <w:rFonts w:hint="eastAsia" w:ascii="宋体" w:hAnsi="宋体"/>
          <w:sz w:val="24"/>
        </w:rPr>
        <w:t>9.2 GB/T 5072 耐火材料常温耐压强度试验方法，检验不合格按进货总金额的20%对乙方</w:t>
      </w:r>
      <w:r>
        <w:rPr>
          <w:rFonts w:hint="eastAsia" w:ascii="宋体" w:hAnsi="宋体"/>
          <w:sz w:val="24"/>
          <w:lang w:val="en-US" w:eastAsia="zh-CN"/>
        </w:rPr>
        <w:t>违约扣款</w:t>
      </w:r>
      <w:r>
        <w:rPr>
          <w:rFonts w:hint="eastAsia" w:ascii="宋体" w:hAnsi="宋体"/>
          <w:sz w:val="24"/>
        </w:rPr>
        <w:t>。</w:t>
      </w:r>
    </w:p>
    <w:p>
      <w:pPr>
        <w:snapToGrid w:val="0"/>
        <w:spacing w:line="360" w:lineRule="auto"/>
        <w:ind w:firstLine="480" w:firstLineChars="200"/>
        <w:rPr>
          <w:rFonts w:hint="eastAsia" w:ascii="宋体" w:hAnsi="宋体"/>
          <w:sz w:val="24"/>
        </w:rPr>
      </w:pPr>
      <w:r>
        <w:rPr>
          <w:rFonts w:hint="eastAsia" w:ascii="宋体" w:hAnsi="宋体"/>
          <w:sz w:val="24"/>
        </w:rPr>
        <w:t>9.3 GB/T 5073 耐火材料压蠕变试验方法，检验不合格按进货总金额的20%对乙方进行</w:t>
      </w:r>
      <w:r>
        <w:rPr>
          <w:rFonts w:hint="eastAsia" w:ascii="宋体" w:hAnsi="宋体"/>
          <w:sz w:val="24"/>
          <w:lang w:val="en-US" w:eastAsia="zh-CN"/>
        </w:rPr>
        <w:t>违约扣款</w:t>
      </w:r>
      <w:r>
        <w:rPr>
          <w:rFonts w:hint="eastAsia" w:ascii="宋体" w:hAnsi="宋体"/>
          <w:sz w:val="24"/>
        </w:rPr>
        <w:t>。</w:t>
      </w:r>
    </w:p>
    <w:p>
      <w:pPr>
        <w:snapToGrid w:val="0"/>
        <w:spacing w:line="360" w:lineRule="auto"/>
        <w:ind w:firstLine="480" w:firstLineChars="200"/>
        <w:rPr>
          <w:rFonts w:hint="eastAsia" w:ascii="宋体" w:hAnsi="宋体"/>
          <w:sz w:val="24"/>
        </w:rPr>
      </w:pPr>
      <w:r>
        <w:rPr>
          <w:rFonts w:hint="eastAsia" w:ascii="宋体" w:hAnsi="宋体"/>
          <w:sz w:val="24"/>
        </w:rPr>
        <w:t>9.4 GB/T 6900 铝硅系耐火材料化学分析方法，检验不合格按进货总金额的20%对乙方进行</w:t>
      </w:r>
      <w:r>
        <w:rPr>
          <w:rFonts w:hint="eastAsia" w:ascii="宋体" w:hAnsi="宋体"/>
          <w:sz w:val="24"/>
          <w:lang w:val="en-US" w:eastAsia="zh-CN"/>
        </w:rPr>
        <w:t>违约扣款</w:t>
      </w:r>
      <w:r>
        <w:rPr>
          <w:rFonts w:hint="eastAsia" w:ascii="宋体" w:hAnsi="宋体"/>
          <w:sz w:val="24"/>
        </w:rPr>
        <w:t>。</w:t>
      </w:r>
    </w:p>
    <w:p>
      <w:pPr>
        <w:snapToGrid w:val="0"/>
        <w:spacing w:line="360" w:lineRule="auto"/>
        <w:ind w:firstLine="480" w:firstLineChars="200"/>
        <w:rPr>
          <w:rFonts w:hint="eastAsia" w:ascii="宋体" w:hAnsi="宋体"/>
          <w:sz w:val="24"/>
        </w:rPr>
      </w:pPr>
      <w:r>
        <w:rPr>
          <w:rFonts w:hint="eastAsia" w:ascii="宋体" w:hAnsi="宋体"/>
          <w:sz w:val="24"/>
        </w:rPr>
        <w:t>9.5 GB/T 16546 定形耐火制品包装、标志、运输和储存，检验不合格按进货总金额的10%对乙方进行</w:t>
      </w:r>
      <w:r>
        <w:rPr>
          <w:rFonts w:hint="eastAsia" w:ascii="宋体" w:hAnsi="宋体"/>
          <w:sz w:val="24"/>
          <w:lang w:val="en-US" w:eastAsia="zh-CN"/>
        </w:rPr>
        <w:t>违约扣款</w:t>
      </w:r>
      <w:r>
        <w:rPr>
          <w:rFonts w:hint="eastAsia" w:ascii="宋体" w:hAnsi="宋体"/>
          <w:sz w:val="24"/>
        </w:rPr>
        <w:t>。</w:t>
      </w:r>
    </w:p>
    <w:p>
      <w:pPr>
        <w:snapToGrid w:val="0"/>
        <w:spacing w:line="360" w:lineRule="auto"/>
        <w:ind w:firstLine="480" w:firstLineChars="200"/>
        <w:rPr>
          <w:rFonts w:hint="eastAsia" w:ascii="宋体" w:hAnsi="宋体"/>
          <w:sz w:val="24"/>
        </w:rPr>
      </w:pPr>
      <w:r>
        <w:rPr>
          <w:rFonts w:hint="eastAsia" w:ascii="宋体" w:hAnsi="宋体"/>
          <w:sz w:val="24"/>
        </w:rPr>
        <w:t>9.6 YB/T 370   耐火制品荷重软化温度试验方法（非示差-升温法），检验不合格按进货总金额的20%对乙方进行</w:t>
      </w:r>
      <w:r>
        <w:rPr>
          <w:rFonts w:hint="eastAsia" w:ascii="宋体" w:hAnsi="宋体"/>
          <w:sz w:val="24"/>
          <w:lang w:val="en-US" w:eastAsia="zh-CN"/>
        </w:rPr>
        <w:t>违约扣款</w:t>
      </w:r>
      <w:r>
        <w:rPr>
          <w:rFonts w:hint="eastAsia" w:ascii="宋体" w:hAnsi="宋体"/>
          <w:sz w:val="24"/>
        </w:rPr>
        <w:t>。</w:t>
      </w:r>
    </w:p>
    <w:p>
      <w:pPr>
        <w:snapToGrid w:val="0"/>
        <w:spacing w:line="360" w:lineRule="auto"/>
        <w:ind w:firstLine="480" w:firstLineChars="200"/>
        <w:rPr>
          <w:rFonts w:hint="eastAsia" w:ascii="宋体" w:hAnsi="宋体"/>
          <w:sz w:val="24"/>
        </w:rPr>
      </w:pPr>
      <w:r>
        <w:rPr>
          <w:rFonts w:hint="eastAsia" w:ascii="宋体" w:hAnsi="宋体"/>
          <w:sz w:val="24"/>
        </w:rPr>
        <w:t>9.7  YB/T 376.3 耐火制品抗热震性试验方法第三部分：水急冷-裂纹判定法检验，不合格按进货总金额的20%对乙方进行</w:t>
      </w:r>
      <w:r>
        <w:rPr>
          <w:rFonts w:hint="eastAsia" w:ascii="宋体" w:hAnsi="宋体"/>
          <w:sz w:val="24"/>
          <w:lang w:val="en-US" w:eastAsia="zh-CN"/>
        </w:rPr>
        <w:t>违约扣款</w:t>
      </w:r>
      <w:bookmarkStart w:id="0" w:name="_GoBack"/>
      <w:bookmarkEnd w:id="0"/>
      <w:r>
        <w:rPr>
          <w:rFonts w:hint="eastAsia" w:ascii="宋体" w:hAnsi="宋体"/>
          <w:sz w:val="24"/>
        </w:rPr>
        <w:t>。</w:t>
      </w:r>
    </w:p>
    <w:p>
      <w:pPr>
        <w:snapToGrid w:val="0"/>
        <w:spacing w:line="360" w:lineRule="auto"/>
        <w:rPr>
          <w:rFonts w:hint="eastAsia" w:ascii="宋体" w:hAnsi="宋体"/>
          <w:b/>
          <w:sz w:val="24"/>
        </w:rPr>
      </w:pPr>
      <w:r>
        <w:rPr>
          <w:rFonts w:hint="eastAsia" w:ascii="宋体" w:hAnsi="宋体"/>
          <w:b/>
          <w:sz w:val="24"/>
        </w:rPr>
        <w:t>附件十  其他</w:t>
      </w:r>
    </w:p>
    <w:p>
      <w:pPr>
        <w:spacing w:line="360" w:lineRule="auto"/>
        <w:ind w:firstLine="480" w:firstLineChars="200"/>
        <w:rPr>
          <w:rFonts w:hint="eastAsia" w:ascii="宋体" w:hAnsi="宋体"/>
          <w:sz w:val="24"/>
        </w:rPr>
      </w:pPr>
      <w:r>
        <w:rPr>
          <w:rFonts w:hint="eastAsia" w:ascii="宋体" w:hAnsi="宋体"/>
          <w:sz w:val="24"/>
        </w:rPr>
        <w:t>10.1  本协议作为商业合同的一部分，与商务合同具有同等法律效力，经双方代表签字后与商务合同同时生效。</w:t>
      </w:r>
    </w:p>
    <w:p>
      <w:pPr>
        <w:spacing w:line="360" w:lineRule="auto"/>
        <w:ind w:firstLine="480" w:firstLineChars="200"/>
        <w:rPr>
          <w:rFonts w:hint="eastAsia" w:ascii="宋体" w:hAnsi="宋体"/>
          <w:sz w:val="24"/>
        </w:rPr>
      </w:pPr>
      <w:r>
        <w:rPr>
          <w:rFonts w:hint="eastAsia" w:ascii="宋体" w:hAnsi="宋体"/>
          <w:sz w:val="24"/>
        </w:rPr>
        <w:t>10.2  除国家认可检验机构出具的检验报告外，乙方应</w:t>
      </w:r>
      <w:r>
        <w:rPr>
          <w:rFonts w:hint="eastAsia" w:ascii="宋体" w:hAnsi="宋体"/>
          <w:sz w:val="24"/>
          <w:lang w:eastAsia="zh-CN"/>
        </w:rPr>
        <w:t>以</w:t>
      </w:r>
      <w:r>
        <w:rPr>
          <w:rFonts w:hint="eastAsia" w:ascii="宋体" w:hAnsi="宋体"/>
          <w:sz w:val="24"/>
        </w:rPr>
        <w:t>产品批次向甲方提供自检检验报告一份。</w:t>
      </w:r>
    </w:p>
    <w:p>
      <w:pPr>
        <w:spacing w:line="360" w:lineRule="auto"/>
        <w:ind w:firstLine="480"/>
        <w:rPr>
          <w:rFonts w:hint="eastAsia" w:ascii="宋体" w:hAnsi="宋体"/>
          <w:sz w:val="24"/>
        </w:rPr>
      </w:pPr>
      <w:r>
        <w:rPr>
          <w:rFonts w:hint="eastAsia" w:ascii="宋体" w:hAnsi="宋体"/>
          <w:sz w:val="24"/>
        </w:rPr>
        <w:t>10.3  本协议一式贰份，甲乙双方分别保存。</w:t>
      </w:r>
    </w:p>
    <w:p>
      <w:pPr>
        <w:spacing w:line="360" w:lineRule="auto"/>
        <w:ind w:firstLine="480"/>
        <w:rPr>
          <w:rFonts w:hint="eastAsia" w:ascii="宋体" w:hAnsi="宋体"/>
          <w:sz w:val="24"/>
        </w:rPr>
      </w:pPr>
      <w:r>
        <w:rPr>
          <w:rFonts w:hint="eastAsia" w:ascii="宋体" w:hAnsi="宋体"/>
          <w:sz w:val="24"/>
        </w:rPr>
        <w:t>10.4  本协议未尽事宜，双方友好解决。若有异议，及时沟通解决。</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甲方：</w:t>
      </w:r>
      <w:r>
        <w:rPr>
          <w:rFonts w:hint="eastAsia" w:ascii="宋体" w:hAnsi="宋体"/>
          <w:sz w:val="24"/>
          <w:lang w:eastAsia="zh-CN"/>
        </w:rPr>
        <w:t>甘肃酒钢集团宏兴股份公司炼铁厂</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乙方： </w:t>
      </w:r>
    </w:p>
    <w:p>
      <w:pPr>
        <w:spacing w:line="360" w:lineRule="auto"/>
        <w:rPr>
          <w:rFonts w:hint="eastAsia" w:ascii="宋体" w:hAnsi="宋体"/>
          <w:sz w:val="24"/>
        </w:rPr>
      </w:pPr>
      <w:r>
        <w:rPr>
          <w:rFonts w:hint="eastAsia" w:ascii="宋体" w:hAnsi="宋体"/>
          <w:sz w:val="24"/>
        </w:rPr>
        <w:t xml:space="preserve">代表:                                      </w:t>
      </w:r>
      <w:r>
        <w:rPr>
          <w:rFonts w:hint="eastAsia" w:ascii="宋体" w:hAnsi="宋体"/>
          <w:sz w:val="24"/>
          <w:lang w:val="en-US" w:eastAsia="zh-CN"/>
        </w:rPr>
        <w:t xml:space="preserve">  </w:t>
      </w:r>
      <w:r>
        <w:rPr>
          <w:rFonts w:hint="eastAsia" w:ascii="宋体" w:hAnsi="宋体"/>
          <w:sz w:val="24"/>
        </w:rPr>
        <w:t>代表：</w:t>
      </w:r>
    </w:p>
    <w:p>
      <w:pPr>
        <w:spacing w:line="360" w:lineRule="auto"/>
        <w:rPr>
          <w:rFonts w:hint="eastAsia" w:ascii="宋体" w:hAnsi="宋体"/>
          <w:sz w:val="24"/>
        </w:rPr>
      </w:pPr>
    </w:p>
    <w:p>
      <w:pPr>
        <w:spacing w:line="360" w:lineRule="auto"/>
        <w:ind w:firstLine="960" w:firstLineChars="400"/>
        <w:rPr>
          <w:rFonts w:hint="eastAsia" w:ascii="宋体" w:hAnsi="宋体" w:eastAsia="宋体"/>
          <w:sz w:val="24"/>
          <w:lang w:eastAsia="zh-CN"/>
        </w:rPr>
      </w:pPr>
      <w:r>
        <w:rPr>
          <w:rFonts w:hint="eastAsia" w:ascii="宋体" w:hAnsi="宋体"/>
          <w:sz w:val="24"/>
        </w:rPr>
        <w:t>年   月   日                              年    月    日</w:t>
      </w:r>
    </w:p>
    <w:p>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p>
    <w:sectPr>
      <w:headerReference r:id="rId3" w:type="first"/>
      <w:footerReference r:id="rId6" w:type="first"/>
      <w:footerReference r:id="rId4" w:type="default"/>
      <w:footerReference r:id="rId5" w:type="even"/>
      <w:pgSz w:w="11906" w:h="16838"/>
      <w:pgMar w:top="1134" w:right="1416" w:bottom="1134" w:left="1531" w:header="851" w:footer="992" w:gutter="0"/>
      <w:pgNumType w:fmt="decimal"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86"/>
    <w:family w:val="auto"/>
    <w:pitch w:val="default"/>
    <w:sig w:usb0="00000000" w:usb1="00000000" w:usb2="00000016" w:usb3="00000000" w:csb0="00040001" w:csb1="00000000"/>
  </w:font>
  <w:font w:name="fontmui">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Fonts w:hint="eastAsia"/>
      </w:rPr>
      <w:t>０</w:t>
    </w:r>
    <w:r>
      <w:rPr>
        <w:rStyle w:val="12"/>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gyYWQwM2EzMDFlYTJmMGIwMzJmMTBkZTYyMDA1ODMifQ=="/>
  </w:docVars>
  <w:rsids>
    <w:rsidRoot w:val="009E2D50"/>
    <w:rsid w:val="00010A1E"/>
    <w:rsid w:val="00045CD0"/>
    <w:rsid w:val="00060B14"/>
    <w:rsid w:val="000870F9"/>
    <w:rsid w:val="000979D0"/>
    <w:rsid w:val="00111AE7"/>
    <w:rsid w:val="00160DED"/>
    <w:rsid w:val="00163B7C"/>
    <w:rsid w:val="00167062"/>
    <w:rsid w:val="00186605"/>
    <w:rsid w:val="001A4549"/>
    <w:rsid w:val="001B4AE3"/>
    <w:rsid w:val="001C499F"/>
    <w:rsid w:val="001D3C86"/>
    <w:rsid w:val="001F276E"/>
    <w:rsid w:val="001F5ABD"/>
    <w:rsid w:val="002143E3"/>
    <w:rsid w:val="002467D3"/>
    <w:rsid w:val="002803D2"/>
    <w:rsid w:val="00282179"/>
    <w:rsid w:val="00292DE9"/>
    <w:rsid w:val="002A47F0"/>
    <w:rsid w:val="002C57AA"/>
    <w:rsid w:val="002D4EA3"/>
    <w:rsid w:val="00365619"/>
    <w:rsid w:val="003975B3"/>
    <w:rsid w:val="003C2B12"/>
    <w:rsid w:val="003E04EC"/>
    <w:rsid w:val="00414A1D"/>
    <w:rsid w:val="00430473"/>
    <w:rsid w:val="00483D2A"/>
    <w:rsid w:val="004864FA"/>
    <w:rsid w:val="00491BBE"/>
    <w:rsid w:val="0049536E"/>
    <w:rsid w:val="004B43A3"/>
    <w:rsid w:val="005011C8"/>
    <w:rsid w:val="00502876"/>
    <w:rsid w:val="00520486"/>
    <w:rsid w:val="00546275"/>
    <w:rsid w:val="00575FA8"/>
    <w:rsid w:val="00576909"/>
    <w:rsid w:val="00583058"/>
    <w:rsid w:val="00637745"/>
    <w:rsid w:val="00643A7C"/>
    <w:rsid w:val="0065032F"/>
    <w:rsid w:val="006544E3"/>
    <w:rsid w:val="0066213D"/>
    <w:rsid w:val="00664041"/>
    <w:rsid w:val="006A40BF"/>
    <w:rsid w:val="006A49D1"/>
    <w:rsid w:val="006B16B7"/>
    <w:rsid w:val="006B255F"/>
    <w:rsid w:val="006C481C"/>
    <w:rsid w:val="006D228F"/>
    <w:rsid w:val="00711279"/>
    <w:rsid w:val="007556FB"/>
    <w:rsid w:val="00755C2E"/>
    <w:rsid w:val="0077771D"/>
    <w:rsid w:val="007C4EEB"/>
    <w:rsid w:val="007E57DA"/>
    <w:rsid w:val="00814052"/>
    <w:rsid w:val="00816376"/>
    <w:rsid w:val="00843AF3"/>
    <w:rsid w:val="00895A9A"/>
    <w:rsid w:val="008D3343"/>
    <w:rsid w:val="00930390"/>
    <w:rsid w:val="00995B3B"/>
    <w:rsid w:val="009B50D5"/>
    <w:rsid w:val="009E2D50"/>
    <w:rsid w:val="00A10CBC"/>
    <w:rsid w:val="00A50C12"/>
    <w:rsid w:val="00A62052"/>
    <w:rsid w:val="00A70C79"/>
    <w:rsid w:val="00A80FAD"/>
    <w:rsid w:val="00A95CB6"/>
    <w:rsid w:val="00AA01AB"/>
    <w:rsid w:val="00AE2DA1"/>
    <w:rsid w:val="00AE5FE7"/>
    <w:rsid w:val="00AE75BF"/>
    <w:rsid w:val="00AF685B"/>
    <w:rsid w:val="00B0599A"/>
    <w:rsid w:val="00BB171E"/>
    <w:rsid w:val="00BC3A8F"/>
    <w:rsid w:val="00BD72FE"/>
    <w:rsid w:val="00BE0C32"/>
    <w:rsid w:val="00BE60EA"/>
    <w:rsid w:val="00BF5EA6"/>
    <w:rsid w:val="00C25E7A"/>
    <w:rsid w:val="00C3006F"/>
    <w:rsid w:val="00C77CF8"/>
    <w:rsid w:val="00C8506E"/>
    <w:rsid w:val="00C85B91"/>
    <w:rsid w:val="00CA2FB0"/>
    <w:rsid w:val="00CE4ABD"/>
    <w:rsid w:val="00CE7AA7"/>
    <w:rsid w:val="00CF7A42"/>
    <w:rsid w:val="00D22D61"/>
    <w:rsid w:val="00D26083"/>
    <w:rsid w:val="00D553D2"/>
    <w:rsid w:val="00D577D6"/>
    <w:rsid w:val="00D85ACF"/>
    <w:rsid w:val="00D86767"/>
    <w:rsid w:val="00DF4DB1"/>
    <w:rsid w:val="00DF7FF9"/>
    <w:rsid w:val="00E016E9"/>
    <w:rsid w:val="00E10EED"/>
    <w:rsid w:val="00E4511D"/>
    <w:rsid w:val="00ED2E85"/>
    <w:rsid w:val="00EE2DE6"/>
    <w:rsid w:val="00FC37EA"/>
    <w:rsid w:val="02371E5D"/>
    <w:rsid w:val="02C40969"/>
    <w:rsid w:val="054A6B02"/>
    <w:rsid w:val="069B184D"/>
    <w:rsid w:val="06F03211"/>
    <w:rsid w:val="088F43C8"/>
    <w:rsid w:val="09F71582"/>
    <w:rsid w:val="0C9261F4"/>
    <w:rsid w:val="0CF73000"/>
    <w:rsid w:val="0FD74AB9"/>
    <w:rsid w:val="0FE24CD2"/>
    <w:rsid w:val="1013057D"/>
    <w:rsid w:val="111D24AC"/>
    <w:rsid w:val="1187413B"/>
    <w:rsid w:val="11A15785"/>
    <w:rsid w:val="120407D6"/>
    <w:rsid w:val="12353FB8"/>
    <w:rsid w:val="12B332E8"/>
    <w:rsid w:val="12BF2272"/>
    <w:rsid w:val="138F3C4D"/>
    <w:rsid w:val="13F64750"/>
    <w:rsid w:val="14415D2F"/>
    <w:rsid w:val="15727576"/>
    <w:rsid w:val="15FB33C4"/>
    <w:rsid w:val="18EC0675"/>
    <w:rsid w:val="1C034035"/>
    <w:rsid w:val="1D1D4338"/>
    <w:rsid w:val="1D51325D"/>
    <w:rsid w:val="1DE821F7"/>
    <w:rsid w:val="1E76369C"/>
    <w:rsid w:val="1F6A154C"/>
    <w:rsid w:val="211B36E1"/>
    <w:rsid w:val="24AF72D6"/>
    <w:rsid w:val="26484D3C"/>
    <w:rsid w:val="28A26638"/>
    <w:rsid w:val="294B5680"/>
    <w:rsid w:val="29602A12"/>
    <w:rsid w:val="2994017D"/>
    <w:rsid w:val="2AC4599C"/>
    <w:rsid w:val="2B0B7AD3"/>
    <w:rsid w:val="2B694D93"/>
    <w:rsid w:val="2B745ED5"/>
    <w:rsid w:val="2CCE366E"/>
    <w:rsid w:val="2DB25627"/>
    <w:rsid w:val="2DCD6F57"/>
    <w:rsid w:val="2E315C3F"/>
    <w:rsid w:val="2F340E9D"/>
    <w:rsid w:val="2F560F3B"/>
    <w:rsid w:val="30E125DC"/>
    <w:rsid w:val="31D113A3"/>
    <w:rsid w:val="32390AD6"/>
    <w:rsid w:val="334E2DFA"/>
    <w:rsid w:val="34720FBA"/>
    <w:rsid w:val="3473094A"/>
    <w:rsid w:val="352D4E09"/>
    <w:rsid w:val="372F3EC7"/>
    <w:rsid w:val="396A73A8"/>
    <w:rsid w:val="39AF3668"/>
    <w:rsid w:val="3A381C32"/>
    <w:rsid w:val="3C2123AD"/>
    <w:rsid w:val="3DCC57DC"/>
    <w:rsid w:val="3DF35DB6"/>
    <w:rsid w:val="3ED5266C"/>
    <w:rsid w:val="3F3E2931"/>
    <w:rsid w:val="3FBD57B8"/>
    <w:rsid w:val="4036521B"/>
    <w:rsid w:val="409B28BF"/>
    <w:rsid w:val="419202C7"/>
    <w:rsid w:val="426E22F3"/>
    <w:rsid w:val="42AB52F4"/>
    <w:rsid w:val="42E773F6"/>
    <w:rsid w:val="44127F83"/>
    <w:rsid w:val="44BC20D7"/>
    <w:rsid w:val="45A548DB"/>
    <w:rsid w:val="45AA29B7"/>
    <w:rsid w:val="45BB074E"/>
    <w:rsid w:val="46FC6425"/>
    <w:rsid w:val="478E535A"/>
    <w:rsid w:val="47EC34A9"/>
    <w:rsid w:val="49437344"/>
    <w:rsid w:val="49F05AF1"/>
    <w:rsid w:val="4B3147EB"/>
    <w:rsid w:val="4B7168D8"/>
    <w:rsid w:val="4CDA730F"/>
    <w:rsid w:val="4DB60C00"/>
    <w:rsid w:val="4F1F482A"/>
    <w:rsid w:val="4F6A28E6"/>
    <w:rsid w:val="502A300F"/>
    <w:rsid w:val="50924ADE"/>
    <w:rsid w:val="50A225A7"/>
    <w:rsid w:val="51F930E0"/>
    <w:rsid w:val="524C3A26"/>
    <w:rsid w:val="56C01378"/>
    <w:rsid w:val="56DE143A"/>
    <w:rsid w:val="57212874"/>
    <w:rsid w:val="5BCB2A5F"/>
    <w:rsid w:val="5CD55049"/>
    <w:rsid w:val="5D277B49"/>
    <w:rsid w:val="5DF85EEB"/>
    <w:rsid w:val="5E7E78FC"/>
    <w:rsid w:val="5EBF57AD"/>
    <w:rsid w:val="60327E41"/>
    <w:rsid w:val="61CA03AF"/>
    <w:rsid w:val="633C04BB"/>
    <w:rsid w:val="64673A56"/>
    <w:rsid w:val="6522417C"/>
    <w:rsid w:val="656F2390"/>
    <w:rsid w:val="667440E4"/>
    <w:rsid w:val="67BD0CA1"/>
    <w:rsid w:val="67EF2384"/>
    <w:rsid w:val="687463C3"/>
    <w:rsid w:val="6A320F18"/>
    <w:rsid w:val="6BD07171"/>
    <w:rsid w:val="6D202397"/>
    <w:rsid w:val="6DB53BAF"/>
    <w:rsid w:val="6E6D7B96"/>
    <w:rsid w:val="6E9566B2"/>
    <w:rsid w:val="6EBF744F"/>
    <w:rsid w:val="6FF20151"/>
    <w:rsid w:val="7023735E"/>
    <w:rsid w:val="72A32944"/>
    <w:rsid w:val="7441385C"/>
    <w:rsid w:val="744B7C54"/>
    <w:rsid w:val="778A0071"/>
    <w:rsid w:val="77BD43F5"/>
    <w:rsid w:val="798847C2"/>
    <w:rsid w:val="79A34221"/>
    <w:rsid w:val="79FA7AE0"/>
    <w:rsid w:val="7A642DC0"/>
    <w:rsid w:val="7A9970F5"/>
    <w:rsid w:val="7B03513A"/>
    <w:rsid w:val="7B645CD4"/>
    <w:rsid w:val="7B687EED"/>
    <w:rsid w:val="7D7E1E12"/>
    <w:rsid w:val="7E364807"/>
    <w:rsid w:val="7E962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nhideWhenUsed="0" w:uiPriority="99"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snapToGrid w:val="0"/>
      <w:spacing w:beforeLines="0" w:afterLines="0" w:line="300" w:lineRule="auto"/>
      <w:ind w:firstLine="556"/>
    </w:pPr>
    <w:rPr>
      <w:rFonts w:hint="eastAsia" w:ascii="仿宋_GB2312" w:eastAsia="仿宋_GB2312"/>
      <w:kern w:val="0"/>
      <w:sz w:val="21"/>
    </w:rPr>
  </w:style>
  <w:style w:type="paragraph" w:styleId="3">
    <w:name w:val="caption"/>
    <w:basedOn w:val="1"/>
    <w:next w:val="1"/>
    <w:qFormat/>
    <w:locked/>
    <w:uiPriority w:val="99"/>
    <w:rPr>
      <w:rFonts w:ascii="Arial" w:hAnsi="Arial" w:eastAsia="黑体"/>
      <w:sz w:val="20"/>
      <w:szCs w:val="20"/>
    </w:rPr>
  </w:style>
  <w:style w:type="paragraph" w:styleId="4">
    <w:name w:val="Body Text"/>
    <w:basedOn w:val="1"/>
    <w:link w:val="17"/>
    <w:qFormat/>
    <w:uiPriority w:val="0"/>
    <w:pPr>
      <w:spacing w:after="120"/>
    </w:p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kern w:val="0"/>
      <w:sz w:val="18"/>
      <w:szCs w:val="20"/>
    </w:rPr>
  </w:style>
  <w:style w:type="paragraph" w:styleId="8">
    <w:name w:val="header"/>
    <w:basedOn w:val="1"/>
    <w:link w:val="16"/>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9">
    <w:name w:val="Body Text First Indent"/>
    <w:basedOn w:val="4"/>
    <w:qFormat/>
    <w:uiPriority w:val="0"/>
    <w:pPr>
      <w:ind w:firstLine="420" w:firstLineChars="100"/>
    </w:pPr>
  </w:style>
  <w:style w:type="character" w:styleId="12">
    <w:name w:val="page number"/>
    <w:basedOn w:val="11"/>
    <w:qFormat/>
    <w:uiPriority w:val="99"/>
  </w:style>
  <w:style w:type="character" w:styleId="13">
    <w:name w:val="FollowedHyperlink"/>
    <w:basedOn w:val="11"/>
    <w:qFormat/>
    <w:uiPriority w:val="0"/>
    <w:rPr>
      <w:rFonts w:ascii="Arial" w:hAnsi="Arial" w:eastAsia="Arial" w:cs="Arial"/>
      <w:color w:val="333333"/>
      <w:sz w:val="21"/>
      <w:szCs w:val="21"/>
      <w:u w:val="none"/>
    </w:rPr>
  </w:style>
  <w:style w:type="character" w:styleId="14">
    <w:name w:val="Hyperlink"/>
    <w:basedOn w:val="11"/>
    <w:qFormat/>
    <w:uiPriority w:val="0"/>
    <w:rPr>
      <w:rFonts w:hint="default" w:ascii="fontmui" w:hAnsi="fontmui" w:eastAsia="fontmui" w:cs="fontmui"/>
      <w:color w:val="333333"/>
      <w:sz w:val="21"/>
      <w:szCs w:val="21"/>
      <w:u w:val="none"/>
    </w:rPr>
  </w:style>
  <w:style w:type="character" w:customStyle="1" w:styleId="15">
    <w:name w:val="页脚 字符"/>
    <w:link w:val="7"/>
    <w:semiHidden/>
    <w:qFormat/>
    <w:locked/>
    <w:uiPriority w:val="99"/>
    <w:rPr>
      <w:sz w:val="18"/>
    </w:rPr>
  </w:style>
  <w:style w:type="character" w:customStyle="1" w:styleId="16">
    <w:name w:val="页眉 字符"/>
    <w:link w:val="8"/>
    <w:semiHidden/>
    <w:qFormat/>
    <w:locked/>
    <w:uiPriority w:val="99"/>
    <w:rPr>
      <w:sz w:val="18"/>
    </w:rPr>
  </w:style>
  <w:style w:type="character" w:customStyle="1" w:styleId="17">
    <w:name w:val="正文文本 字符"/>
    <w:basedOn w:val="11"/>
    <w:link w:val="4"/>
    <w:qFormat/>
    <w:uiPriority w:val="0"/>
    <w:rPr>
      <w:kern w:val="2"/>
      <w:sz w:val="21"/>
      <w:szCs w:val="24"/>
    </w:rPr>
  </w:style>
  <w:style w:type="character" w:customStyle="1" w:styleId="18">
    <w:name w:val="before"/>
    <w:basedOn w:val="11"/>
    <w:qFormat/>
    <w:uiPriority w:val="0"/>
    <w:rPr>
      <w:bdr w:val="single" w:color="auto" w:sz="48" w:space="0"/>
    </w:rPr>
  </w:style>
  <w:style w:type="character" w:customStyle="1" w:styleId="19">
    <w:name w:val="before1"/>
    <w:basedOn w:val="11"/>
    <w:qFormat/>
    <w:uiPriority w:val="0"/>
  </w:style>
  <w:style w:type="character" w:customStyle="1" w:styleId="20">
    <w:name w:val="credit"/>
    <w:basedOn w:val="11"/>
    <w:qFormat/>
    <w:uiPriority w:val="0"/>
    <w:rPr>
      <w:sz w:val="18"/>
      <w:szCs w:val="18"/>
    </w:rPr>
  </w:style>
  <w:style w:type="character" w:customStyle="1" w:styleId="21">
    <w:name w:val="hover40"/>
    <w:basedOn w:val="11"/>
    <w:qFormat/>
    <w:uiPriority w:val="0"/>
    <w:rPr>
      <w:color w:val="DF4127"/>
    </w:rPr>
  </w:style>
  <w:style w:type="character" w:customStyle="1" w:styleId="22">
    <w:name w:val="hover41"/>
    <w:basedOn w:val="11"/>
    <w:qFormat/>
    <w:uiPriority w:val="0"/>
    <w:rPr>
      <w:shd w:val="clear" w:fill="CC2C11"/>
    </w:rPr>
  </w:style>
  <w:style w:type="character" w:customStyle="1" w:styleId="23">
    <w:name w:val="hover42"/>
    <w:basedOn w:val="11"/>
    <w:qFormat/>
    <w:uiPriority w:val="0"/>
    <w:rPr>
      <w:color w:val="DF4127"/>
      <w:u w:val="none"/>
    </w:rPr>
  </w:style>
  <w:style w:type="character" w:customStyle="1" w:styleId="24">
    <w:name w:val="hover43"/>
    <w:basedOn w:val="11"/>
    <w:qFormat/>
    <w:uiPriority w:val="0"/>
    <w:rPr>
      <w:color w:val="1A85D7"/>
    </w:rPr>
  </w:style>
  <w:style w:type="character" w:customStyle="1" w:styleId="25">
    <w:name w:val="hover44"/>
    <w:basedOn w:val="11"/>
    <w:qFormat/>
    <w:uiPriority w:val="0"/>
    <w:rPr>
      <w:color w:val="DF4127"/>
    </w:rPr>
  </w:style>
  <w:style w:type="character" w:customStyle="1" w:styleId="26">
    <w:name w:val="hover45"/>
    <w:basedOn w:val="11"/>
    <w:qFormat/>
    <w:uiPriority w:val="0"/>
  </w:style>
  <w:style w:type="character" w:customStyle="1" w:styleId="27">
    <w:name w:val="after"/>
    <w:basedOn w:val="11"/>
    <w:qFormat/>
    <w:uiPriority w:val="0"/>
    <w:rPr>
      <w:bdr w:val="dashed" w:color="auto" w:sz="48" w:space="0"/>
    </w:rPr>
  </w:style>
  <w:style w:type="character" w:customStyle="1" w:styleId="28">
    <w:name w:val="after1"/>
    <w:basedOn w:val="11"/>
    <w:qFormat/>
    <w:uiPriority w:val="0"/>
    <w:rPr>
      <w:shd w:val="clear" w:fill="DF4127"/>
    </w:rPr>
  </w:style>
  <w:style w:type="character" w:customStyle="1" w:styleId="29">
    <w:name w:val="first-child"/>
    <w:basedOn w:val="11"/>
    <w:qFormat/>
    <w:uiPriority w:val="0"/>
    <w:rPr>
      <w:shd w:val="clear" w:fill="DF4127"/>
    </w:rPr>
  </w:style>
  <w:style w:type="character" w:customStyle="1" w:styleId="30">
    <w:name w:val="first-child1"/>
    <w:basedOn w:val="11"/>
    <w:qFormat/>
    <w:uiPriority w:val="0"/>
  </w:style>
  <w:style w:type="character" w:customStyle="1" w:styleId="31">
    <w:name w:val="active2"/>
    <w:basedOn w:val="11"/>
    <w:qFormat/>
    <w:uiPriority w:val="0"/>
    <w:rPr>
      <w:color w:val="DF4127"/>
    </w:rPr>
  </w:style>
  <w:style w:type="character" w:customStyle="1" w:styleId="32">
    <w:name w:val="before2"/>
    <w:basedOn w:val="11"/>
    <w:qFormat/>
    <w:uiPriority w:val="0"/>
  </w:style>
  <w:style w:type="character" w:customStyle="1" w:styleId="33">
    <w:name w:val="hover"/>
    <w:basedOn w:val="11"/>
    <w:qFormat/>
    <w:uiPriority w:val="0"/>
    <w:rPr>
      <w:color w:val="DF4127"/>
      <w:u w:val="none"/>
    </w:rPr>
  </w:style>
  <w:style w:type="character" w:customStyle="1" w:styleId="34">
    <w:name w:val="hover1"/>
    <w:basedOn w:val="11"/>
    <w:qFormat/>
    <w:uiPriority w:val="0"/>
    <w:rPr>
      <w:shd w:val="clear" w:fill="CC2C11"/>
    </w:rPr>
  </w:style>
  <w:style w:type="character" w:customStyle="1" w:styleId="35">
    <w:name w:val="hover2"/>
    <w:basedOn w:val="11"/>
    <w:qFormat/>
    <w:uiPriority w:val="0"/>
    <w:rPr>
      <w:color w:val="DF4127"/>
    </w:rPr>
  </w:style>
  <w:style w:type="character" w:customStyle="1" w:styleId="36">
    <w:name w:val="hover3"/>
    <w:basedOn w:val="11"/>
    <w:qFormat/>
    <w:uiPriority w:val="0"/>
    <w:rPr>
      <w:color w:val="DF4127"/>
    </w:rPr>
  </w:style>
  <w:style w:type="character" w:customStyle="1" w:styleId="37">
    <w:name w:val="hover4"/>
    <w:basedOn w:val="11"/>
    <w:qFormat/>
    <w:uiPriority w:val="0"/>
    <w:rPr>
      <w:color w:val="1A85D7"/>
    </w:rPr>
  </w:style>
  <w:style w:type="character" w:customStyle="1" w:styleId="38">
    <w:name w:val="hover5"/>
    <w:basedOn w:val="11"/>
    <w:qFormat/>
    <w:uiPriority w:val="0"/>
  </w:style>
  <w:style w:type="character" w:customStyle="1" w:styleId="39">
    <w:name w:val="hover46"/>
    <w:basedOn w:val="11"/>
    <w:qFormat/>
    <w:uiPriority w:val="0"/>
  </w:style>
  <w:style w:type="character" w:customStyle="1" w:styleId="40">
    <w:name w:val="font11"/>
    <w:basedOn w:val="11"/>
    <w:qFormat/>
    <w:uiPriority w:val="0"/>
    <w:rPr>
      <w:rFonts w:hint="eastAsia" w:ascii="宋体" w:hAnsi="宋体" w:eastAsia="宋体" w:cs="宋体"/>
      <w:color w:val="000000"/>
      <w:sz w:val="24"/>
      <w:szCs w:val="24"/>
      <w:u w:val="none"/>
      <w:vertAlign w:val="subscript"/>
    </w:rPr>
  </w:style>
  <w:style w:type="character" w:customStyle="1" w:styleId="41">
    <w:name w:val="font21"/>
    <w:basedOn w:val="11"/>
    <w:qFormat/>
    <w:uiPriority w:val="0"/>
    <w:rPr>
      <w:rFonts w:hint="eastAsia" w:ascii="宋体" w:hAnsi="宋体" w:eastAsia="宋体" w:cs="宋体"/>
      <w:color w:val="000000"/>
      <w:sz w:val="24"/>
      <w:szCs w:val="24"/>
      <w:u w:val="none"/>
    </w:rPr>
  </w:style>
  <w:style w:type="character" w:customStyle="1" w:styleId="42">
    <w:name w:val="font01"/>
    <w:basedOn w:val="11"/>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1748</Words>
  <Characters>1949</Characters>
  <Lines>17</Lines>
  <Paragraphs>4</Paragraphs>
  <TotalTime>0</TotalTime>
  <ScaleCrop>false</ScaleCrop>
  <LinksUpToDate>false</LinksUpToDate>
  <CharactersWithSpaces>2205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2018-01-26T02:59:00Z</dcterms:created>
  <dc:creator>微软用户</dc:creator>
  <cp:lastModifiedBy>田保平</cp:lastModifiedBy>
  <cp:lastPrinted>2019-05-24T12:14:00Z</cp:lastPrinted>
  <dcterms:modified xsi:type="dcterms:W3CDTF">2025-02-27T00:53:37Z</dcterms:modified>
  <dc:title>协  议  会  签  单</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10501A4805264059A1780EF37720E994</vt:lpwstr>
  </property>
</Properties>
</file>