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left="735" w:leftChars="350"/>
        <w:rPr>
          <w:rFonts w:hint="eastAsia" w:ascii="宋体"/>
          <w:b/>
          <w:sz w:val="44"/>
          <w:szCs w:val="44"/>
        </w:rPr>
      </w:pPr>
    </w:p>
    <w:p>
      <w:pPr>
        <w:autoSpaceDE w:val="0"/>
        <w:autoSpaceDN w:val="0"/>
        <w:spacing w:line="360" w:lineRule="auto"/>
        <w:ind w:left="735" w:leftChars="350"/>
        <w:rPr>
          <w:rFonts w:ascii="宋体"/>
          <w:b/>
          <w:sz w:val="44"/>
          <w:szCs w:val="44"/>
        </w:rPr>
      </w:pPr>
    </w:p>
    <w:p>
      <w:pPr>
        <w:snapToGrid w:val="0"/>
        <w:spacing w:before="100" w:beforeAutospacing="1" w:after="100" w:afterAutospacing="1" w:line="360" w:lineRule="auto"/>
        <w:ind w:right="2" w:rightChars="1"/>
        <w:jc w:val="center"/>
        <w:rPr>
          <w:rFonts w:hint="eastAsia" w:ascii="华文中宋" w:hAnsi="华文中宋" w:eastAsia="华文中宋" w:cs="华文中宋"/>
          <w:b w:val="0"/>
          <w:bCs/>
          <w:sz w:val="44"/>
          <w:szCs w:val="44"/>
          <w:lang w:eastAsia="zh-CN"/>
        </w:rPr>
      </w:pPr>
      <w:r>
        <w:rPr>
          <w:rFonts w:hint="eastAsia" w:ascii="华文中宋" w:hAnsi="华文中宋" w:eastAsia="华文中宋" w:cs="华文中宋"/>
          <w:b w:val="0"/>
          <w:bCs/>
          <w:sz w:val="44"/>
          <w:szCs w:val="44"/>
        </w:rPr>
        <w:t>甘肃</w:t>
      </w:r>
      <w:r>
        <w:rPr>
          <w:rFonts w:hint="eastAsia" w:ascii="华文中宋" w:hAnsi="华文中宋" w:eastAsia="华文中宋" w:cs="华文中宋"/>
          <w:b w:val="0"/>
          <w:bCs/>
          <w:sz w:val="44"/>
          <w:szCs w:val="44"/>
          <w:lang w:eastAsia="zh-CN"/>
        </w:rPr>
        <w:t>东兴铝业</w:t>
      </w:r>
      <w:r>
        <w:rPr>
          <w:rFonts w:hint="eastAsia" w:ascii="华文中宋" w:hAnsi="华文中宋" w:eastAsia="华文中宋" w:cs="华文中宋"/>
          <w:b w:val="0"/>
          <w:bCs/>
          <w:sz w:val="44"/>
          <w:szCs w:val="44"/>
        </w:rPr>
        <w:t>有限公司</w:t>
      </w:r>
      <w:r>
        <w:rPr>
          <w:rFonts w:hint="eastAsia" w:ascii="华文中宋" w:hAnsi="华文中宋" w:eastAsia="华文中宋" w:cs="华文中宋"/>
          <w:b w:val="0"/>
          <w:bCs/>
          <w:sz w:val="44"/>
          <w:szCs w:val="44"/>
          <w:lang w:eastAsia="zh-CN"/>
        </w:rPr>
        <w:t>嘉峪关分公司</w:t>
      </w:r>
    </w:p>
    <w:p>
      <w:pPr>
        <w:snapToGrid w:val="0"/>
        <w:spacing w:line="360" w:lineRule="auto"/>
        <w:ind w:right="2" w:rightChars="1"/>
        <w:jc w:val="center"/>
        <w:rPr>
          <w:rFonts w:ascii="宋体"/>
          <w:b/>
          <w:sz w:val="36"/>
          <w:szCs w:val="36"/>
        </w:rPr>
      </w:pPr>
    </w:p>
    <w:p>
      <w:pPr>
        <w:snapToGrid w:val="0"/>
        <w:spacing w:line="360" w:lineRule="auto"/>
        <w:ind w:right="2" w:rightChars="1"/>
        <w:jc w:val="center"/>
        <w:rPr>
          <w:rFonts w:ascii="宋体"/>
          <w:b/>
          <w:sz w:val="36"/>
          <w:szCs w:val="36"/>
        </w:rPr>
      </w:pPr>
    </w:p>
    <w:p>
      <w:pPr>
        <w:spacing w:line="360" w:lineRule="auto"/>
        <w:jc w:val="center"/>
        <w:rPr>
          <w:rFonts w:hint="eastAsia" w:ascii="宋体" w:hAnsi="宋体"/>
          <w:b/>
          <w:sz w:val="36"/>
          <w:szCs w:val="36"/>
        </w:rPr>
      </w:pPr>
      <w:r>
        <w:rPr>
          <w:rFonts w:hint="eastAsia" w:ascii="宋体" w:hAnsi="宋体"/>
          <w:b/>
          <w:sz w:val="36"/>
          <w:szCs w:val="36"/>
        </w:rPr>
        <w:t>动力</w:t>
      </w:r>
      <w:r>
        <w:rPr>
          <w:rFonts w:hint="eastAsia" w:ascii="宋体" w:hAnsi="宋体"/>
          <w:b/>
          <w:sz w:val="36"/>
          <w:szCs w:val="36"/>
          <w:lang w:eastAsia="zh-CN"/>
        </w:rPr>
        <w:t>二</w:t>
      </w:r>
      <w:r>
        <w:rPr>
          <w:rFonts w:hint="eastAsia" w:ascii="宋体" w:hAnsi="宋体"/>
          <w:b/>
          <w:sz w:val="36"/>
          <w:szCs w:val="36"/>
        </w:rPr>
        <w:t>作业区</w:t>
      </w:r>
      <w:r>
        <w:rPr>
          <w:rFonts w:hint="eastAsia" w:ascii="宋体" w:hAnsi="宋体"/>
          <w:b/>
          <w:sz w:val="36"/>
          <w:szCs w:val="36"/>
          <w:lang w:eastAsia="zh-CN"/>
        </w:rPr>
        <w:t>全流量无过载消防</w:t>
      </w:r>
      <w:r>
        <w:rPr>
          <w:rFonts w:hint="eastAsia" w:ascii="宋体" w:hAnsi="宋体"/>
          <w:b/>
          <w:sz w:val="36"/>
          <w:szCs w:val="36"/>
        </w:rPr>
        <w:t>泵</w:t>
      </w:r>
    </w:p>
    <w:p>
      <w:pPr>
        <w:spacing w:line="360" w:lineRule="auto"/>
        <w:jc w:val="center"/>
        <w:rPr>
          <w:rFonts w:ascii="宋体" w:hAnsi="宋体"/>
          <w:b/>
          <w:sz w:val="36"/>
          <w:szCs w:val="36"/>
        </w:rPr>
      </w:pPr>
      <w:r>
        <w:rPr>
          <w:rFonts w:hint="eastAsia" w:ascii="宋体" w:hAnsi="宋体"/>
          <w:b/>
          <w:sz w:val="36"/>
          <w:szCs w:val="36"/>
        </w:rPr>
        <w:t>供货技术规格书</w:t>
      </w:r>
    </w:p>
    <w:p>
      <w:pPr>
        <w:autoSpaceDE w:val="0"/>
        <w:autoSpaceDN w:val="0"/>
        <w:spacing w:line="360" w:lineRule="auto"/>
        <w:jc w:val="center"/>
        <w:outlineLvl w:val="0"/>
        <w:rPr>
          <w:rFonts w:ascii="宋体" w:cs="宋体"/>
          <w:b/>
          <w:bCs/>
          <w:sz w:val="36"/>
          <w:szCs w:val="36"/>
          <w:lang w:val="zh-CN"/>
        </w:rPr>
      </w:pPr>
    </w:p>
    <w:p/>
    <w:p/>
    <w:p/>
    <w:p/>
    <w:p/>
    <w:p/>
    <w:p/>
    <w:p/>
    <w:p/>
    <w:p/>
    <w:p/>
    <w:p/>
    <w:p/>
    <w:p/>
    <w:p/>
    <w:p/>
    <w:p/>
    <w:p/>
    <w:p>
      <w:pPr>
        <w:ind w:firstLine="2249" w:firstLineChars="700"/>
        <w:jc w:val="both"/>
        <w:outlineLvl w:val="0"/>
        <w:rPr>
          <w:rFonts w:hint="eastAsia" w:ascii="宋体" w:eastAsia="仿宋_GB2312"/>
          <w:sz w:val="32"/>
          <w:szCs w:val="32"/>
          <w:lang w:eastAsia="zh-CN"/>
        </w:rPr>
      </w:pPr>
      <w:r>
        <w:rPr>
          <w:rFonts w:hint="eastAsia" w:ascii="宋体" w:hAnsi="宋体"/>
          <w:b/>
          <w:sz w:val="32"/>
          <w:szCs w:val="32"/>
        </w:rPr>
        <w:t>甲方：</w:t>
      </w:r>
      <w:r>
        <w:rPr>
          <w:rFonts w:hint="eastAsia" w:ascii="仿宋_GB2312" w:hAnsi="仿宋_GB2312" w:eastAsia="仿宋_GB2312" w:cs="Times New Roman"/>
          <w:b/>
          <w:snapToGrid w:val="0"/>
          <w:color w:val="auto"/>
          <w:kern w:val="28"/>
          <w:sz w:val="36"/>
          <w:szCs w:val="36"/>
          <w:lang w:eastAsia="zh-CN"/>
        </w:rPr>
        <w:t>东兴铝业</w:t>
      </w:r>
      <w:r>
        <w:rPr>
          <w:rFonts w:hint="eastAsia" w:ascii="仿宋_GB2312" w:hAnsi="仿宋_GB2312" w:eastAsia="仿宋_GB2312" w:cs="Times New Roman"/>
          <w:b/>
          <w:snapToGrid w:val="0"/>
          <w:color w:val="auto"/>
          <w:kern w:val="28"/>
          <w:sz w:val="36"/>
          <w:szCs w:val="36"/>
        </w:rPr>
        <w:t>有限公司</w:t>
      </w:r>
      <w:r>
        <w:rPr>
          <w:rFonts w:hint="eastAsia" w:ascii="仿宋_GB2312" w:hAnsi="仿宋_GB2312" w:eastAsia="仿宋_GB2312" w:cs="Times New Roman"/>
          <w:b/>
          <w:snapToGrid w:val="0"/>
          <w:color w:val="auto"/>
          <w:kern w:val="28"/>
          <w:sz w:val="36"/>
          <w:szCs w:val="36"/>
          <w:lang w:eastAsia="zh-CN"/>
        </w:rPr>
        <w:t>嘉峪关分公司</w:t>
      </w:r>
    </w:p>
    <w:p>
      <w:pPr>
        <w:snapToGrid w:val="0"/>
        <w:spacing w:before="100" w:beforeAutospacing="1" w:after="100" w:afterAutospacing="1" w:line="360" w:lineRule="auto"/>
        <w:ind w:right="-447" w:firstLine="2249" w:firstLineChars="700"/>
        <w:jc w:val="both"/>
        <w:outlineLvl w:val="0"/>
        <w:rPr>
          <w:rFonts w:ascii="宋体"/>
          <w:b/>
          <w:sz w:val="36"/>
          <w:szCs w:val="36"/>
        </w:rPr>
      </w:pPr>
      <w:r>
        <w:rPr>
          <w:rFonts w:hint="eastAsia" w:ascii="宋体" w:hAnsi="宋体"/>
          <w:b/>
          <w:sz w:val="32"/>
          <w:szCs w:val="32"/>
        </w:rPr>
        <w:t>乙方：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snapToGrid w:val="0"/>
          <w:color w:val="000000"/>
          <w:kern w:val="0"/>
          <w:sz w:val="32"/>
          <w:szCs w:val="32"/>
          <w:u w:val="none"/>
          <w:lang w:eastAsia="en-US"/>
        </w:rPr>
      </w:pPr>
      <w:r>
        <w:rPr>
          <w:rFonts w:hint="eastAsia" w:ascii="仿宋_GB2312" w:hAnsi="仿宋_GB2312" w:eastAsia="仿宋_GB2312" w:cs="仿宋_GB2312"/>
          <w:sz w:val="28"/>
          <w:szCs w:val="28"/>
          <w:u w:val="single"/>
        </w:rPr>
        <w:t>甘肃东兴铝业有限公司嘉峪关分公司</w:t>
      </w:r>
      <w:r>
        <w:rPr>
          <w:rFonts w:hint="eastAsia" w:ascii="仿宋_GB2312" w:hAnsi="仿宋_GB2312" w:eastAsia="仿宋_GB2312" w:cs="仿宋_GB2312"/>
          <w:sz w:val="28"/>
          <w:szCs w:val="28"/>
        </w:rPr>
        <w:t>（以下简称甲方）与</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(以下简称乙方）</w:t>
      </w:r>
      <w:r>
        <w:rPr>
          <w:rFonts w:hint="eastAsia" w:ascii="仿宋_GB2312" w:hAnsi="仿宋_GB2312" w:eastAsia="仿宋_GB2312" w:cs="仿宋_GB2312"/>
          <w:b w:val="0"/>
          <w:bCs w:val="0"/>
          <w:snapToGrid w:val="0"/>
          <w:color w:val="000000"/>
          <w:kern w:val="0"/>
          <w:sz w:val="32"/>
          <w:szCs w:val="32"/>
          <w:u w:val="none"/>
          <w:lang w:eastAsia="en-US"/>
        </w:rPr>
        <w:t>就甲方</w:t>
      </w:r>
      <w:r>
        <w:rPr>
          <w:rFonts w:hint="eastAsia" w:ascii="仿宋_GB2312" w:hAnsi="仿宋_GB2312" w:eastAsia="仿宋_GB2312" w:cs="仿宋_GB2312"/>
          <w:b w:val="0"/>
          <w:bCs w:val="0"/>
          <w:snapToGrid w:val="0"/>
          <w:color w:val="000000"/>
          <w:kern w:val="0"/>
          <w:sz w:val="32"/>
          <w:szCs w:val="32"/>
          <w:u w:val="single"/>
          <w:lang w:val="en-US" w:eastAsia="zh-CN"/>
        </w:rPr>
        <w:t>全流量无过载消防泵</w:t>
      </w:r>
      <w:r>
        <w:rPr>
          <w:rFonts w:hint="eastAsia" w:ascii="仿宋_GB2312" w:hAnsi="仿宋_GB2312" w:eastAsia="仿宋_GB2312" w:cs="仿宋_GB2312"/>
          <w:b w:val="0"/>
          <w:bCs w:val="0"/>
          <w:snapToGrid w:val="0"/>
          <w:color w:val="000000"/>
          <w:kern w:val="0"/>
          <w:sz w:val="32"/>
          <w:szCs w:val="32"/>
          <w:u w:val="none"/>
          <w:lang w:eastAsia="en-US"/>
        </w:rPr>
        <w:t>采购经双方协商，达成如下技术协议：</w:t>
      </w:r>
    </w:p>
    <w:p>
      <w:pPr>
        <w:spacing w:line="360" w:lineRule="auto"/>
        <w:outlineLvl w:val="0"/>
        <w:rPr>
          <w:rFonts w:hint="eastAsia" w:ascii="仿宋_GB2312" w:hAnsi="仿宋_GB2312" w:eastAsia="仿宋_GB2312" w:cs="仿宋_GB2312"/>
          <w:b/>
          <w:sz w:val="32"/>
          <w:szCs w:val="32"/>
          <w:u w:val="none"/>
        </w:rPr>
      </w:pPr>
      <w:r>
        <w:rPr>
          <w:rFonts w:hint="eastAsia" w:ascii="仿宋_GB2312" w:hAnsi="仿宋_GB2312" w:eastAsia="仿宋_GB2312" w:cs="仿宋_GB2312"/>
          <w:b/>
          <w:sz w:val="32"/>
          <w:szCs w:val="32"/>
          <w:u w:val="none"/>
        </w:rPr>
        <w:t>一</w:t>
      </w:r>
      <w:r>
        <w:rPr>
          <w:rFonts w:hint="eastAsia" w:ascii="仿宋_GB2312" w:hAnsi="仿宋_GB2312" w:eastAsia="仿宋_GB2312" w:cs="仿宋_GB2312"/>
          <w:b/>
          <w:sz w:val="32"/>
          <w:szCs w:val="32"/>
          <w:u w:val="none"/>
          <w:lang w:eastAsia="zh-CN"/>
        </w:rPr>
        <w:t>、</w:t>
      </w:r>
      <w:r>
        <w:rPr>
          <w:rFonts w:hint="eastAsia" w:ascii="仿宋_GB2312" w:hAnsi="仿宋_GB2312" w:eastAsia="仿宋_GB2312" w:cs="仿宋_GB2312"/>
          <w:b/>
          <w:sz w:val="32"/>
          <w:szCs w:val="32"/>
          <w:u w:val="none"/>
        </w:rPr>
        <w:t>总则</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snapToGrid w:val="0"/>
          <w:color w:val="000000"/>
          <w:kern w:val="0"/>
          <w:sz w:val="32"/>
          <w:szCs w:val="32"/>
          <w:lang w:eastAsia="en-US"/>
        </w:rPr>
      </w:pPr>
      <w:r>
        <w:rPr>
          <w:rFonts w:hint="eastAsia" w:ascii="仿宋_GB2312" w:hAnsi="仿宋_GB2312" w:eastAsia="仿宋_GB2312" w:cs="仿宋_GB2312"/>
          <w:snapToGrid w:val="0"/>
          <w:color w:val="000000"/>
          <w:kern w:val="0"/>
          <w:sz w:val="32"/>
          <w:szCs w:val="32"/>
          <w:lang w:eastAsia="en-US"/>
        </w:rPr>
        <w:t>本技术协议作为甲方设备订货合同的附件，与订货合同同时生效，具有同等法律效力。合同执行期间双方再协商形成的补充协议和追加条款也具有同等法律效力。</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snapToGrid w:val="0"/>
          <w:color w:val="000000"/>
          <w:kern w:val="0"/>
          <w:sz w:val="32"/>
          <w:szCs w:val="32"/>
          <w:lang w:eastAsia="en-US"/>
        </w:rPr>
      </w:pPr>
      <w:r>
        <w:rPr>
          <w:rFonts w:hint="eastAsia" w:ascii="仿宋_GB2312" w:hAnsi="仿宋_GB2312" w:eastAsia="仿宋_GB2312" w:cs="仿宋_GB2312"/>
          <w:snapToGrid w:val="0"/>
          <w:color w:val="000000"/>
          <w:kern w:val="0"/>
          <w:sz w:val="32"/>
          <w:szCs w:val="32"/>
          <w:lang w:val="en-US" w:eastAsia="zh-CN"/>
        </w:rPr>
        <w:t xml:space="preserve">1.1 </w:t>
      </w:r>
      <w:r>
        <w:rPr>
          <w:rFonts w:hint="eastAsia" w:ascii="仿宋_GB2312" w:hAnsi="仿宋_GB2312" w:eastAsia="仿宋_GB2312" w:cs="仿宋_GB2312"/>
          <w:snapToGrid w:val="0"/>
          <w:color w:val="000000"/>
          <w:kern w:val="0"/>
          <w:sz w:val="32"/>
          <w:szCs w:val="32"/>
          <w:lang w:eastAsia="en-US"/>
        </w:rPr>
        <w:t>本技术协议所提出的是最低标准的技术要求，并未对一切技术细节做出规定，也未充分引述有关标准和规范的条文，乙方应保证提供符合有关标准和技术文件的优质产品。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snapToGrid w:val="0"/>
          <w:color w:val="000000"/>
          <w:kern w:val="0"/>
          <w:sz w:val="32"/>
          <w:szCs w:val="32"/>
          <w:lang w:eastAsia="en-US"/>
        </w:rPr>
      </w:pPr>
      <w:r>
        <w:rPr>
          <w:rFonts w:hint="eastAsia" w:ascii="仿宋_GB2312" w:hAnsi="仿宋_GB2312" w:eastAsia="仿宋_GB2312" w:cs="仿宋_GB2312"/>
          <w:snapToGrid w:val="0"/>
          <w:color w:val="000000"/>
          <w:kern w:val="0"/>
          <w:sz w:val="32"/>
          <w:szCs w:val="32"/>
          <w:lang w:val="en-US" w:eastAsia="zh-CN"/>
        </w:rPr>
        <w:t xml:space="preserve">1.2 </w:t>
      </w:r>
      <w:r>
        <w:rPr>
          <w:rFonts w:hint="eastAsia" w:ascii="仿宋_GB2312" w:hAnsi="仿宋_GB2312" w:eastAsia="仿宋_GB2312" w:cs="仿宋_GB2312"/>
          <w:snapToGrid w:val="0"/>
          <w:color w:val="000000"/>
          <w:kern w:val="0"/>
          <w:sz w:val="32"/>
          <w:szCs w:val="32"/>
          <w:lang w:eastAsia="en-US"/>
        </w:rPr>
        <w:t>乙方提供的设备必须具有国内同行业近几年内的先进制造水平，采用先进工艺，合格材料，成熟的技术或专利技术。</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snapToGrid w:val="0"/>
          <w:color w:val="000000"/>
          <w:kern w:val="0"/>
          <w:sz w:val="32"/>
          <w:szCs w:val="32"/>
          <w:lang w:eastAsia="en-US"/>
        </w:rPr>
      </w:pPr>
      <w:r>
        <w:rPr>
          <w:rFonts w:hint="eastAsia" w:ascii="仿宋_GB2312" w:hAnsi="仿宋_GB2312" w:eastAsia="仿宋_GB2312" w:cs="仿宋_GB2312"/>
          <w:snapToGrid w:val="0"/>
          <w:color w:val="000000"/>
          <w:kern w:val="0"/>
          <w:sz w:val="32"/>
          <w:szCs w:val="32"/>
          <w:lang w:val="en-US" w:eastAsia="zh-CN"/>
        </w:rPr>
        <w:t xml:space="preserve">1.3 </w:t>
      </w:r>
      <w:r>
        <w:rPr>
          <w:rFonts w:hint="eastAsia" w:ascii="仿宋_GB2312" w:hAnsi="仿宋_GB2312" w:eastAsia="仿宋_GB2312" w:cs="仿宋_GB2312"/>
          <w:snapToGrid w:val="0"/>
          <w:color w:val="000000"/>
          <w:kern w:val="0"/>
          <w:sz w:val="32"/>
          <w:szCs w:val="32"/>
          <w:lang w:eastAsia="en-US"/>
        </w:rPr>
        <w:t>乙方提供的设备必须是全新、规范、先进的高质量可靠产品，能够确保连续稳定的工作。</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snapToGrid w:val="0"/>
          <w:color w:val="000000"/>
          <w:kern w:val="0"/>
          <w:sz w:val="32"/>
          <w:szCs w:val="32"/>
          <w:lang w:eastAsia="en-US"/>
        </w:rPr>
      </w:pPr>
      <w:r>
        <w:rPr>
          <w:rFonts w:hint="eastAsia" w:ascii="仿宋_GB2312" w:hAnsi="仿宋_GB2312" w:eastAsia="仿宋_GB2312" w:cs="仿宋_GB2312"/>
          <w:snapToGrid w:val="0"/>
          <w:color w:val="000000"/>
          <w:kern w:val="0"/>
          <w:sz w:val="32"/>
          <w:szCs w:val="32"/>
          <w:lang w:val="en-US" w:eastAsia="zh-CN"/>
        </w:rPr>
        <w:t xml:space="preserve">1.4 </w:t>
      </w:r>
      <w:r>
        <w:rPr>
          <w:rFonts w:hint="eastAsia" w:ascii="仿宋_GB2312" w:hAnsi="仿宋_GB2312" w:eastAsia="仿宋_GB2312" w:cs="仿宋_GB2312"/>
          <w:snapToGrid w:val="0"/>
          <w:color w:val="000000"/>
          <w:kern w:val="0"/>
          <w:sz w:val="32"/>
          <w:szCs w:val="32"/>
          <w:lang w:eastAsia="en-US"/>
        </w:rPr>
        <w:t>乙方提供货物的制造，材料的选择，都应按照国内外通用的现行标准和相应的技术规范执行，而这些标准和技术规范应为合同签字日为止最新公布发问的标准和技术规范。</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snapToGrid w:val="0"/>
          <w:color w:val="000000"/>
          <w:kern w:val="0"/>
          <w:sz w:val="32"/>
          <w:szCs w:val="32"/>
          <w:lang w:eastAsia="en-US"/>
        </w:rPr>
      </w:pPr>
      <w:r>
        <w:rPr>
          <w:rFonts w:hint="eastAsia" w:ascii="仿宋_GB2312" w:hAnsi="仿宋_GB2312" w:eastAsia="仿宋_GB2312" w:cs="仿宋_GB2312"/>
          <w:snapToGrid w:val="0"/>
          <w:color w:val="000000"/>
          <w:kern w:val="0"/>
          <w:sz w:val="32"/>
          <w:szCs w:val="32"/>
          <w:lang w:val="en-US" w:eastAsia="zh-CN"/>
        </w:rPr>
        <w:t xml:space="preserve">1.5 </w:t>
      </w:r>
      <w:r>
        <w:rPr>
          <w:rFonts w:hint="eastAsia" w:ascii="仿宋_GB2312" w:hAnsi="仿宋_GB2312" w:eastAsia="仿宋_GB2312" w:cs="仿宋_GB2312"/>
          <w:snapToGrid w:val="0"/>
          <w:color w:val="000000"/>
          <w:kern w:val="0"/>
          <w:sz w:val="32"/>
          <w:szCs w:val="32"/>
          <w:lang w:eastAsia="en-US"/>
        </w:rPr>
        <w:t>乙方须对设备设计的完整性、合理性和设计质量承担全部责任。保证设备满足系统工艺要求。</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left"/>
        <w:textAlignment w:val="baseline"/>
        <w:rPr>
          <w:rFonts w:hint="eastAsia" w:ascii="仿宋_GB2312" w:hAnsi="仿宋_GB2312" w:eastAsia="仿宋_GB2312" w:cs="仿宋_GB2312"/>
          <w:snapToGrid w:val="0"/>
          <w:color w:val="000000"/>
          <w:kern w:val="0"/>
          <w:sz w:val="32"/>
          <w:szCs w:val="32"/>
          <w:lang w:eastAsia="en-US"/>
        </w:rPr>
      </w:pPr>
      <w:r>
        <w:rPr>
          <w:rFonts w:hint="eastAsia" w:ascii="仿宋_GB2312" w:hAnsi="仿宋_GB2312" w:eastAsia="仿宋_GB2312" w:cs="仿宋_GB2312"/>
          <w:snapToGrid w:val="0"/>
          <w:color w:val="000000"/>
          <w:kern w:val="0"/>
          <w:sz w:val="32"/>
          <w:szCs w:val="32"/>
          <w:lang w:val="en-US" w:eastAsia="zh-CN"/>
        </w:rPr>
        <w:t xml:space="preserve">1.6 </w:t>
      </w:r>
      <w:r>
        <w:rPr>
          <w:rFonts w:hint="eastAsia" w:ascii="仿宋_GB2312" w:hAnsi="仿宋_GB2312" w:eastAsia="仿宋_GB2312" w:cs="仿宋_GB2312"/>
          <w:snapToGrid w:val="0"/>
          <w:color w:val="000000"/>
          <w:kern w:val="0"/>
          <w:sz w:val="32"/>
          <w:szCs w:val="32"/>
          <w:lang w:eastAsia="en-US"/>
        </w:rPr>
        <w:t>乙方在合同货物制造中，发生侵犯专利的行为时其侵权责任与甲方无关。</w:t>
      </w:r>
    </w:p>
    <w:p>
      <w:pPr>
        <w:keepNext w:val="0"/>
        <w:keepLines w:val="0"/>
        <w:pageBreakBefore w:val="0"/>
        <w:wordWrap/>
        <w:overflowPunct/>
        <w:topLinePunct w:val="0"/>
        <w:bidi w:val="0"/>
        <w:spacing w:line="560" w:lineRule="exact"/>
        <w:outlineLvl w:val="0"/>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lang w:eastAsia="zh-CN"/>
        </w:rPr>
        <w:t>二、</w:t>
      </w:r>
      <w:r>
        <w:rPr>
          <w:rFonts w:hint="eastAsia" w:ascii="仿宋_GB2312" w:hAnsi="仿宋_GB2312" w:eastAsia="仿宋_GB2312" w:cs="仿宋_GB2312"/>
          <w:b/>
          <w:bCs w:val="0"/>
          <w:sz w:val="32"/>
          <w:szCs w:val="32"/>
        </w:rPr>
        <w:t>制造要求</w:t>
      </w:r>
    </w:p>
    <w:p>
      <w:pPr>
        <w:spacing w:line="360" w:lineRule="auto"/>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设备主要性能参数及设备描述：</w:t>
      </w:r>
    </w:p>
    <w:p>
      <w:pPr>
        <w:keepNext w:val="0"/>
        <w:keepLines w:val="0"/>
        <w:pageBreakBefore w:val="0"/>
        <w:wordWrap/>
        <w:overflowPunct/>
        <w:topLinePunct w:val="0"/>
        <w:bidi w:val="0"/>
        <w:spacing w:line="560" w:lineRule="exact"/>
        <w:rPr>
          <w:rFonts w:hint="eastAsia" w:ascii="宋体" w:hAnsi="宋体" w:eastAsiaTheme="minorEastAsia"/>
          <w:b/>
          <w:kern w:val="2"/>
          <w:sz w:val="21"/>
          <w:szCs w:val="21"/>
          <w:lang w:val="en-US" w:eastAsia="zh-CN"/>
        </w:rPr>
      </w:pPr>
      <w:r>
        <w:rPr>
          <w:rFonts w:hint="eastAsia" w:ascii="仿宋_GB2312" w:hAnsi="仿宋_GB2312" w:eastAsia="仿宋_GB2312" w:cs="仿宋_GB2312"/>
          <w:b/>
          <w:bCs w:val="0"/>
          <w:i w:val="0"/>
          <w:color w:val="000000"/>
          <w:kern w:val="0"/>
          <w:sz w:val="32"/>
          <w:szCs w:val="32"/>
          <w:u w:val="none"/>
          <w:lang w:val="en-US" w:eastAsia="zh-CN" w:bidi="ar"/>
        </w:rPr>
        <w:t>全流量无过载消防泵</w:t>
      </w:r>
    </w:p>
    <w:tbl>
      <w:tblPr>
        <w:tblStyle w:val="4"/>
        <w:tblW w:w="8283"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941"/>
        <w:gridCol w:w="534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941" w:type="dxa"/>
            <w:noWrap w:val="0"/>
            <w:vAlign w:val="center"/>
          </w:tcPr>
          <w:p>
            <w:pPr>
              <w:spacing w:line="300" w:lineRule="exact"/>
              <w:jc w:val="center"/>
              <w:rPr>
                <w:rFonts w:hint="eastAsia" w:ascii="宋体" w:hAnsi="宋体" w:eastAsia="宋体" w:cs="宋体"/>
                <w:b/>
                <w:bCs/>
                <w:kern w:val="2"/>
                <w:sz w:val="20"/>
                <w:szCs w:val="20"/>
              </w:rPr>
            </w:pPr>
            <w:r>
              <w:rPr>
                <w:rFonts w:hint="eastAsia" w:ascii="宋体" w:hAnsi="宋体" w:eastAsia="宋体" w:cs="宋体"/>
                <w:b/>
                <w:bCs/>
                <w:kern w:val="2"/>
                <w:sz w:val="20"/>
                <w:szCs w:val="20"/>
              </w:rPr>
              <w:t>技术指标</w:t>
            </w:r>
          </w:p>
        </w:tc>
        <w:tc>
          <w:tcPr>
            <w:tcW w:w="5342" w:type="dxa"/>
            <w:noWrap w:val="0"/>
            <w:vAlign w:val="bottom"/>
          </w:tcPr>
          <w:p>
            <w:pPr>
              <w:spacing w:line="400" w:lineRule="exact"/>
              <w:jc w:val="center"/>
              <w:rPr>
                <w:rFonts w:hint="eastAsia" w:ascii="宋体" w:hAnsi="宋体" w:eastAsia="宋体" w:cs="宋体"/>
                <w:b/>
                <w:bCs/>
                <w:kern w:val="2"/>
                <w:sz w:val="20"/>
                <w:szCs w:val="20"/>
              </w:rPr>
            </w:pPr>
            <w:r>
              <w:rPr>
                <w:rFonts w:hint="eastAsia" w:ascii="宋体" w:hAnsi="宋体" w:eastAsia="宋体" w:cs="宋体"/>
                <w:b/>
                <w:bCs/>
                <w:kern w:val="2"/>
                <w:sz w:val="20"/>
                <w:szCs w:val="20"/>
              </w:rPr>
              <w:t>参数</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lang w:eastAsia="zh-CN"/>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名称</w:t>
            </w:r>
          </w:p>
        </w:tc>
        <w:tc>
          <w:tcPr>
            <w:tcW w:w="5342" w:type="dxa"/>
            <w:noWrap w:val="0"/>
            <w:vAlign w:val="center"/>
          </w:tcPr>
          <w:p>
            <w:pPr>
              <w:jc w:val="both"/>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全流量无过载消防泵</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lang w:val="en-US" w:eastAsia="zh-CN"/>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额定转速</w:t>
            </w:r>
          </w:p>
        </w:tc>
        <w:tc>
          <w:tcPr>
            <w:tcW w:w="5342" w:type="dxa"/>
            <w:noWrap w:val="0"/>
            <w:vAlign w:val="center"/>
          </w:tcPr>
          <w:p>
            <w:pPr>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1480r/min</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lang w:eastAsia="zh-CN"/>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额定电流</w:t>
            </w:r>
          </w:p>
        </w:tc>
        <w:tc>
          <w:tcPr>
            <w:tcW w:w="5342" w:type="dxa"/>
            <w:noWrap w:val="0"/>
            <w:vAlign w:val="center"/>
          </w:tcPr>
          <w:p>
            <w:pPr>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134A</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额定电压</w:t>
            </w:r>
          </w:p>
        </w:tc>
        <w:tc>
          <w:tcPr>
            <w:tcW w:w="5342" w:type="dxa"/>
            <w:noWrap w:val="0"/>
            <w:vAlign w:val="center"/>
          </w:tcPr>
          <w:p>
            <w:pPr>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380V</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lang w:eastAsia="zh-CN"/>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功率</w:t>
            </w:r>
          </w:p>
        </w:tc>
        <w:tc>
          <w:tcPr>
            <w:tcW w:w="5342" w:type="dxa"/>
            <w:noWrap w:val="0"/>
            <w:vAlign w:val="center"/>
          </w:tcPr>
          <w:p>
            <w:pPr>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75kw</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lang w:val="en-US" w:eastAsia="zh-CN"/>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扬程</w:t>
            </w:r>
          </w:p>
        </w:tc>
        <w:tc>
          <w:tcPr>
            <w:tcW w:w="5342" w:type="dxa"/>
            <w:noWrap w:val="0"/>
            <w:vAlign w:val="center"/>
          </w:tcPr>
          <w:p>
            <w:pPr>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60m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lang w:val="en-US" w:eastAsia="zh-CN"/>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流量</w:t>
            </w:r>
          </w:p>
        </w:tc>
        <w:tc>
          <w:tcPr>
            <w:tcW w:w="5342" w:type="dxa"/>
            <w:noWrap w:val="0"/>
            <w:vAlign w:val="center"/>
          </w:tcPr>
          <w:p>
            <w:pPr>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80L/s</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电机效率</w:t>
            </w:r>
          </w:p>
        </w:tc>
        <w:tc>
          <w:tcPr>
            <w:tcW w:w="5342" w:type="dxa"/>
            <w:noWrap w:val="0"/>
            <w:vAlign w:val="center"/>
          </w:tcPr>
          <w:p>
            <w:pPr>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94.7</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功率因数</w:t>
            </w:r>
          </w:p>
        </w:tc>
        <w:tc>
          <w:tcPr>
            <w:tcW w:w="5342" w:type="dxa"/>
            <w:noWrap w:val="0"/>
            <w:vAlign w:val="center"/>
          </w:tcPr>
          <w:p>
            <w:pPr>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0.9</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重量</w:t>
            </w:r>
          </w:p>
        </w:tc>
        <w:tc>
          <w:tcPr>
            <w:tcW w:w="5342" w:type="dxa"/>
            <w:noWrap w:val="0"/>
            <w:vAlign w:val="center"/>
          </w:tcPr>
          <w:p>
            <w:pPr>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790Kg</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lang w:val="en-US" w:eastAsia="zh-CN"/>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电机型号及能效等级</w:t>
            </w:r>
          </w:p>
        </w:tc>
        <w:tc>
          <w:tcPr>
            <w:tcW w:w="5342" w:type="dxa"/>
            <w:noWrap w:val="0"/>
            <w:vAlign w:val="center"/>
          </w:tcPr>
          <w:p>
            <w:pPr>
              <w:jc w:val="both"/>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YE5-280S-2一级能效</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63" w:hRule="atLeast"/>
          <w:jc w:val="center"/>
        </w:trPr>
        <w:tc>
          <w:tcPr>
            <w:tcW w:w="2941" w:type="dxa"/>
            <w:noWrap w:val="0"/>
            <w:vAlign w:val="center"/>
          </w:tcPr>
          <w:p>
            <w:pPr>
              <w:jc w:val="both"/>
              <w:rPr>
                <w:rFonts w:hint="eastAsia" w:ascii="宋体" w:hAnsi="宋体" w:eastAsia="宋体" w:cs="宋体"/>
                <w:kern w:val="2"/>
                <w:sz w:val="20"/>
                <w:szCs w:val="20"/>
              </w:rPr>
            </w:pPr>
            <w:r>
              <w:rPr>
                <w:rFonts w:hint="eastAsia" w:ascii="宋体" w:hAnsi="宋体" w:eastAsia="宋体" w:cs="宋体"/>
                <w:kern w:val="2"/>
                <w:sz w:val="20"/>
                <w:szCs w:val="20"/>
              </w:rPr>
              <w:t>◆</w:t>
            </w:r>
            <w:r>
              <w:rPr>
                <w:rFonts w:hint="eastAsia" w:ascii="宋体" w:hAnsi="宋体" w:eastAsia="宋体" w:cs="宋体"/>
                <w:kern w:val="2"/>
                <w:sz w:val="20"/>
                <w:szCs w:val="20"/>
                <w:lang w:eastAsia="zh-CN"/>
              </w:rPr>
              <w:t>使用场所</w:t>
            </w:r>
          </w:p>
        </w:tc>
        <w:tc>
          <w:tcPr>
            <w:tcW w:w="5342" w:type="dxa"/>
            <w:noWrap w:val="0"/>
            <w:vAlign w:val="center"/>
          </w:tcPr>
          <w:p>
            <w:pPr>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动力二作业区全厂加压泵房消防泵</w:t>
            </w: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outlineLvl w:val="0"/>
        <w:rPr>
          <w:rFonts w:hint="eastAsia" w:ascii="仿宋_GB2312" w:hAnsi="仿宋_GB2312" w:eastAsia="仿宋_GB2312" w:cs="仿宋_GB2312"/>
          <w:b/>
          <w:spacing w:val="-4"/>
          <w:kern w:val="28"/>
          <w:sz w:val="32"/>
          <w:szCs w:val="32"/>
        </w:rPr>
      </w:pPr>
      <w:r>
        <w:rPr>
          <w:rFonts w:hint="eastAsia" w:ascii="仿宋_GB2312" w:hAnsi="仿宋_GB2312" w:eastAsia="仿宋_GB2312" w:cs="仿宋_GB2312"/>
          <w:b/>
          <w:spacing w:val="-4"/>
          <w:kern w:val="28"/>
          <w:sz w:val="32"/>
          <w:szCs w:val="32"/>
        </w:rPr>
        <w:t>三</w:t>
      </w:r>
      <w:r>
        <w:rPr>
          <w:rFonts w:hint="eastAsia" w:ascii="仿宋_GB2312" w:hAnsi="仿宋_GB2312" w:eastAsia="仿宋_GB2312" w:cs="仿宋_GB2312"/>
          <w:b/>
          <w:spacing w:val="-4"/>
          <w:kern w:val="28"/>
          <w:sz w:val="32"/>
          <w:szCs w:val="32"/>
          <w:lang w:eastAsia="zh-CN"/>
        </w:rPr>
        <w:t>、</w:t>
      </w:r>
      <w:r>
        <w:rPr>
          <w:rFonts w:hint="eastAsia" w:ascii="仿宋_GB2312" w:hAnsi="仿宋_GB2312" w:eastAsia="仿宋_GB2312" w:cs="仿宋_GB2312"/>
          <w:b/>
          <w:spacing w:val="-4"/>
          <w:kern w:val="28"/>
          <w:sz w:val="32"/>
          <w:szCs w:val="32"/>
        </w:rPr>
        <w:t>供货范围</w:t>
      </w:r>
    </w:p>
    <w:tbl>
      <w:tblPr>
        <w:tblStyle w:val="4"/>
        <w:tblW w:w="8280" w:type="dxa"/>
        <w:tblInd w:w="497" w:type="dxa"/>
        <w:tblLayout w:type="fixed"/>
        <w:tblCellMar>
          <w:top w:w="0" w:type="dxa"/>
          <w:left w:w="108" w:type="dxa"/>
          <w:bottom w:w="0" w:type="dxa"/>
          <w:right w:w="108" w:type="dxa"/>
        </w:tblCellMar>
      </w:tblPr>
      <w:tblGrid>
        <w:gridCol w:w="765"/>
        <w:gridCol w:w="2039"/>
        <w:gridCol w:w="2296"/>
        <w:gridCol w:w="795"/>
        <w:gridCol w:w="960"/>
        <w:gridCol w:w="675"/>
        <w:gridCol w:w="750"/>
      </w:tblGrid>
      <w:tr>
        <w:tblPrEx>
          <w:tblCellMar>
            <w:top w:w="0" w:type="dxa"/>
            <w:left w:w="108" w:type="dxa"/>
            <w:bottom w:w="0" w:type="dxa"/>
            <w:right w:w="108" w:type="dxa"/>
          </w:tblCellMar>
        </w:tblPrEx>
        <w:trPr>
          <w:trHeight w:val="285" w:hRule="atLeast"/>
        </w:trPr>
        <w:tc>
          <w:tcPr>
            <w:tcW w:w="765" w:type="dxa"/>
            <w:vMerge w:val="restar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0"/>
                <w:szCs w:val="20"/>
              </w:rPr>
            </w:pPr>
            <w:r>
              <w:rPr>
                <w:rFonts w:hint="eastAsia" w:ascii="宋体" w:hAnsi="宋体" w:eastAsia="宋体" w:cs="宋体"/>
                <w:b/>
                <w:bCs/>
                <w:sz w:val="20"/>
                <w:szCs w:val="20"/>
              </w:rPr>
              <w:t>序号</w:t>
            </w:r>
          </w:p>
        </w:tc>
        <w:tc>
          <w:tcPr>
            <w:tcW w:w="2039" w:type="dxa"/>
            <w:vMerge w:val="restar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0"/>
                <w:szCs w:val="20"/>
                <w:lang w:eastAsia="zh-CN"/>
              </w:rPr>
            </w:pPr>
            <w:r>
              <w:rPr>
                <w:rFonts w:hint="eastAsia" w:ascii="宋体" w:hAnsi="宋体" w:eastAsia="宋体" w:cs="宋体"/>
                <w:b/>
                <w:bCs/>
                <w:sz w:val="20"/>
                <w:szCs w:val="20"/>
                <w:lang w:eastAsia="zh-CN"/>
              </w:rPr>
              <w:t>物料编码</w:t>
            </w:r>
          </w:p>
        </w:tc>
        <w:tc>
          <w:tcPr>
            <w:tcW w:w="2296" w:type="dxa"/>
            <w:vMerge w:val="restar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0"/>
                <w:szCs w:val="20"/>
                <w:lang w:eastAsia="zh-CN"/>
              </w:rPr>
            </w:pPr>
            <w:r>
              <w:rPr>
                <w:rFonts w:hint="eastAsia" w:ascii="宋体" w:hAnsi="宋体" w:eastAsia="宋体" w:cs="宋体"/>
                <w:b/>
                <w:bCs/>
                <w:sz w:val="20"/>
                <w:szCs w:val="20"/>
                <w:lang w:eastAsia="zh-CN"/>
              </w:rPr>
              <w:t>物料描述</w:t>
            </w:r>
          </w:p>
        </w:tc>
        <w:tc>
          <w:tcPr>
            <w:tcW w:w="795" w:type="dxa"/>
            <w:vMerge w:val="restar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0"/>
                <w:szCs w:val="20"/>
              </w:rPr>
            </w:pPr>
            <w:r>
              <w:rPr>
                <w:rFonts w:hint="eastAsia" w:ascii="宋体" w:hAnsi="宋体" w:eastAsia="宋体" w:cs="宋体"/>
                <w:b/>
                <w:bCs/>
                <w:sz w:val="20"/>
                <w:szCs w:val="20"/>
              </w:rPr>
              <w:t>数量</w:t>
            </w:r>
          </w:p>
        </w:tc>
        <w:tc>
          <w:tcPr>
            <w:tcW w:w="960" w:type="dxa"/>
            <w:vMerge w:val="restar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0"/>
                <w:szCs w:val="20"/>
                <w:lang w:eastAsia="zh-CN"/>
              </w:rPr>
            </w:pPr>
            <w:r>
              <w:rPr>
                <w:rFonts w:hint="eastAsia" w:ascii="宋体" w:hAnsi="宋体" w:eastAsia="宋体" w:cs="宋体"/>
                <w:b/>
                <w:bCs/>
                <w:sz w:val="20"/>
                <w:szCs w:val="20"/>
                <w:lang w:eastAsia="zh-CN"/>
              </w:rPr>
              <w:t>单位</w:t>
            </w:r>
          </w:p>
        </w:tc>
        <w:tc>
          <w:tcPr>
            <w:tcW w:w="1425" w:type="dxa"/>
            <w:gridSpan w:val="2"/>
            <w:tcBorders>
              <w:top w:val="single" w:color="auto" w:sz="4" w:space="0"/>
              <w:left w:val="nil"/>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0"/>
                <w:szCs w:val="20"/>
              </w:rPr>
            </w:pPr>
            <w:r>
              <w:rPr>
                <w:rFonts w:hint="eastAsia" w:ascii="宋体" w:hAnsi="宋体" w:eastAsia="宋体" w:cs="宋体"/>
                <w:b/>
                <w:bCs/>
                <w:sz w:val="20"/>
                <w:szCs w:val="20"/>
              </w:rPr>
              <w:t>总质量（kg）</w:t>
            </w:r>
          </w:p>
        </w:tc>
      </w:tr>
      <w:tr>
        <w:tblPrEx>
          <w:tblCellMar>
            <w:top w:w="0" w:type="dxa"/>
            <w:left w:w="108" w:type="dxa"/>
            <w:bottom w:w="0" w:type="dxa"/>
            <w:right w:w="108" w:type="dxa"/>
          </w:tblCellMar>
        </w:tblPrEx>
        <w:trPr>
          <w:trHeight w:val="285" w:hRule="atLeast"/>
        </w:trPr>
        <w:tc>
          <w:tcPr>
            <w:tcW w:w="76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b/>
                <w:bCs/>
                <w:sz w:val="20"/>
                <w:szCs w:val="20"/>
              </w:rPr>
            </w:pPr>
          </w:p>
        </w:tc>
        <w:tc>
          <w:tcPr>
            <w:tcW w:w="203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b/>
                <w:bCs/>
                <w:sz w:val="20"/>
                <w:szCs w:val="20"/>
              </w:rPr>
            </w:pPr>
          </w:p>
        </w:tc>
        <w:tc>
          <w:tcPr>
            <w:tcW w:w="2296"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b/>
                <w:bCs/>
                <w:sz w:val="20"/>
                <w:szCs w:val="20"/>
              </w:rPr>
            </w:pPr>
          </w:p>
        </w:tc>
        <w:tc>
          <w:tcPr>
            <w:tcW w:w="79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b/>
                <w:bCs/>
                <w:sz w:val="20"/>
                <w:szCs w:val="20"/>
              </w:rPr>
            </w:pPr>
          </w:p>
        </w:tc>
        <w:tc>
          <w:tcPr>
            <w:tcW w:w="96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b/>
                <w:bCs/>
                <w:sz w:val="20"/>
                <w:szCs w:val="20"/>
              </w:rPr>
            </w:pPr>
          </w:p>
        </w:tc>
        <w:tc>
          <w:tcPr>
            <w:tcW w:w="675" w:type="dxa"/>
            <w:tcBorders>
              <w:top w:val="nil"/>
              <w:left w:val="nil"/>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0"/>
                <w:szCs w:val="20"/>
              </w:rPr>
            </w:pPr>
            <w:r>
              <w:rPr>
                <w:rFonts w:hint="eastAsia" w:ascii="宋体" w:hAnsi="宋体" w:eastAsia="宋体" w:cs="宋体"/>
                <w:b/>
                <w:bCs/>
                <w:sz w:val="20"/>
                <w:szCs w:val="20"/>
              </w:rPr>
              <w:t>单重</w:t>
            </w:r>
          </w:p>
        </w:tc>
        <w:tc>
          <w:tcPr>
            <w:tcW w:w="750" w:type="dxa"/>
            <w:tcBorders>
              <w:top w:val="nil"/>
              <w:left w:val="nil"/>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0"/>
                <w:szCs w:val="20"/>
              </w:rPr>
            </w:pPr>
            <w:r>
              <w:rPr>
                <w:rFonts w:hint="eastAsia" w:ascii="宋体" w:hAnsi="宋体" w:eastAsia="宋体" w:cs="宋体"/>
                <w:b/>
                <w:bCs/>
                <w:sz w:val="20"/>
                <w:szCs w:val="20"/>
              </w:rPr>
              <w:t>总重</w:t>
            </w:r>
          </w:p>
        </w:tc>
      </w:tr>
      <w:tr>
        <w:tblPrEx>
          <w:tblCellMar>
            <w:top w:w="0" w:type="dxa"/>
            <w:left w:w="108" w:type="dxa"/>
            <w:bottom w:w="0" w:type="dxa"/>
            <w:right w:w="108" w:type="dxa"/>
          </w:tblCellMar>
        </w:tblPrEx>
        <w:trPr>
          <w:trHeight w:val="1229" w:hRule="atLeast"/>
        </w:trPr>
        <w:tc>
          <w:tcPr>
            <w:tcW w:w="765" w:type="dxa"/>
            <w:tcBorders>
              <w:top w:val="nil"/>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0"/>
                <w:szCs w:val="20"/>
              </w:rPr>
            </w:pPr>
            <w:r>
              <w:rPr>
                <w:rFonts w:ascii="宋体" w:hAnsi="宋体" w:cs="宋体"/>
                <w:sz w:val="20"/>
                <w:szCs w:val="20"/>
              </w:rPr>
              <w:t>1</w:t>
            </w:r>
          </w:p>
        </w:tc>
        <w:tc>
          <w:tcPr>
            <w:tcW w:w="203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2"/>
                <w:sz w:val="20"/>
                <w:szCs w:val="20"/>
                <w:u w:val="none"/>
                <w:lang w:val="en-US" w:eastAsia="zh-CN" w:bidi="ar-SA"/>
              </w:rPr>
              <w:t>70409532</w:t>
            </w:r>
          </w:p>
        </w:tc>
        <w:tc>
          <w:tcPr>
            <w:tcW w:w="2296"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default" w:ascii="宋体" w:hAnsi="宋体" w:eastAsia="宋体" w:cs="宋体"/>
                <w:i w:val="0"/>
                <w:iCs w:val="0"/>
                <w:color w:val="000000"/>
                <w:kern w:val="2"/>
                <w:sz w:val="20"/>
                <w:szCs w:val="20"/>
                <w:u w:val="none"/>
                <w:lang w:val="en-US" w:eastAsia="zh-CN" w:bidi="ar-SA"/>
              </w:rPr>
              <w:t>全流量无过载消防泵（含电机）\80L/s 60m 卧式离心泵 1台电动机 75KW一级能效 叶轮304 壳铸铁</w:t>
            </w:r>
          </w:p>
        </w:tc>
        <w:tc>
          <w:tcPr>
            <w:tcW w:w="795"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2</w:t>
            </w:r>
          </w:p>
        </w:tc>
        <w:tc>
          <w:tcPr>
            <w:tcW w:w="960"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套</w:t>
            </w:r>
          </w:p>
        </w:tc>
        <w:tc>
          <w:tcPr>
            <w:tcW w:w="675" w:type="dxa"/>
            <w:tcBorders>
              <w:top w:val="nil"/>
              <w:left w:val="nil"/>
              <w:bottom w:val="single" w:color="auto" w:sz="4" w:space="0"/>
              <w:right w:val="single" w:color="auto" w:sz="4" w:space="0"/>
            </w:tcBorders>
            <w:noWrap/>
            <w:vAlign w:val="center"/>
          </w:tcPr>
          <w:p>
            <w:pPr>
              <w:spacing w:line="360" w:lineRule="auto"/>
              <w:jc w:val="center"/>
              <w:rPr>
                <w:rFonts w:hint="default" w:ascii="宋体" w:hAnsi="宋体" w:cs="宋体" w:eastAsiaTheme="minorEastAsia"/>
                <w:sz w:val="20"/>
                <w:szCs w:val="20"/>
                <w:lang w:val="en-US" w:eastAsia="zh-CN"/>
              </w:rPr>
            </w:pPr>
            <w:r>
              <w:rPr>
                <w:rFonts w:hint="eastAsia" w:ascii="宋体" w:hAnsi="宋体" w:cs="宋体"/>
                <w:sz w:val="20"/>
                <w:szCs w:val="20"/>
                <w:lang w:val="en-US" w:eastAsia="zh-CN"/>
              </w:rPr>
              <w:t>790</w:t>
            </w:r>
          </w:p>
        </w:tc>
        <w:tc>
          <w:tcPr>
            <w:tcW w:w="750" w:type="dxa"/>
            <w:tcBorders>
              <w:top w:val="nil"/>
              <w:left w:val="nil"/>
              <w:bottom w:val="single" w:color="auto" w:sz="4" w:space="0"/>
              <w:right w:val="single" w:color="auto" w:sz="4" w:space="0"/>
            </w:tcBorders>
            <w:noWrap/>
            <w:vAlign w:val="center"/>
          </w:tcPr>
          <w:p>
            <w:pPr>
              <w:spacing w:line="360" w:lineRule="auto"/>
              <w:jc w:val="center"/>
              <w:rPr>
                <w:rFonts w:hint="default" w:ascii="宋体" w:hAnsi="宋体" w:cs="宋体" w:eastAsiaTheme="minorEastAsia"/>
                <w:sz w:val="20"/>
                <w:szCs w:val="20"/>
                <w:lang w:val="en-US" w:eastAsia="zh-CN"/>
              </w:rPr>
            </w:pPr>
            <w:r>
              <w:rPr>
                <w:rFonts w:hint="eastAsia" w:ascii="宋体" w:hAnsi="宋体" w:cs="宋体"/>
                <w:sz w:val="20"/>
                <w:szCs w:val="20"/>
                <w:lang w:val="en-US" w:eastAsia="zh-CN"/>
              </w:rPr>
              <w:t>1580</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outlineLvl w:val="0"/>
        <w:rPr>
          <w:rFonts w:hint="eastAsia" w:ascii="仿宋_GB2312" w:hAnsi="仿宋_GB2312" w:eastAsia="仿宋_GB2312" w:cs="仿宋_GB2312"/>
          <w:b/>
          <w:spacing w:val="-4"/>
          <w:kern w:val="28"/>
          <w:sz w:val="32"/>
          <w:szCs w:val="32"/>
          <w:lang w:val="en-US" w:eastAsia="zh-CN"/>
        </w:rPr>
      </w:pPr>
      <w:r>
        <w:rPr>
          <w:rFonts w:hint="eastAsia" w:ascii="仿宋_GB2312" w:hAnsi="仿宋_GB2312" w:eastAsia="仿宋_GB2312" w:cs="仿宋_GB2312"/>
          <w:b/>
          <w:spacing w:val="-4"/>
          <w:kern w:val="28"/>
          <w:sz w:val="32"/>
          <w:szCs w:val="32"/>
        </w:rPr>
        <w:t>四</w:t>
      </w:r>
      <w:r>
        <w:rPr>
          <w:rFonts w:hint="eastAsia" w:ascii="仿宋_GB2312" w:hAnsi="仿宋_GB2312" w:eastAsia="仿宋_GB2312" w:cs="仿宋_GB2312"/>
          <w:b/>
          <w:spacing w:val="-4"/>
          <w:kern w:val="28"/>
          <w:sz w:val="32"/>
          <w:szCs w:val="32"/>
          <w:lang w:val="en-US" w:eastAsia="zh-CN"/>
        </w:rPr>
        <w:t>、具体要求</w:t>
      </w:r>
    </w:p>
    <w:p>
      <w:pPr>
        <w:keepNext w:val="0"/>
        <w:keepLines w:val="0"/>
        <w:pageBreakBefore w:val="0"/>
        <w:kinsoku/>
        <w:wordWrap/>
        <w:overflowPunct/>
        <w:topLinePunct w:val="0"/>
        <w:autoSpaceDE/>
        <w:autoSpaceDN/>
        <w:bidi w:val="0"/>
        <w:spacing w:beforeAutospacing="0" w:afterAutospacing="0"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4.1 </w:t>
      </w:r>
      <w:r>
        <w:rPr>
          <w:rFonts w:hint="eastAsia" w:ascii="仿宋_GB2312" w:hAnsi="仿宋_GB2312" w:eastAsia="仿宋_GB2312" w:cs="仿宋_GB2312"/>
          <w:sz w:val="32"/>
          <w:szCs w:val="32"/>
        </w:rPr>
        <w:t>乙方提供的</w:t>
      </w:r>
      <w:r>
        <w:rPr>
          <w:rFonts w:hint="eastAsia" w:ascii="仿宋_GB2312" w:hAnsi="仿宋_GB2312" w:eastAsia="仿宋_GB2312" w:cs="仿宋_GB2312"/>
          <w:sz w:val="32"/>
          <w:szCs w:val="32"/>
          <w:lang w:eastAsia="zh-CN"/>
        </w:rPr>
        <w:t>全流量无过载消防</w:t>
      </w:r>
      <w:r>
        <w:rPr>
          <w:rFonts w:hint="eastAsia" w:ascii="仿宋_GB2312" w:hAnsi="仿宋_GB2312" w:eastAsia="仿宋_GB2312" w:cs="仿宋_GB2312"/>
          <w:sz w:val="32"/>
          <w:szCs w:val="32"/>
        </w:rPr>
        <w:t>泵、电机均按最新标准设计和制造，在系统正常合理工况下能满足安全和持续运行的要求。</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4.2 </w:t>
      </w:r>
      <w:r>
        <w:rPr>
          <w:rFonts w:hint="eastAsia" w:ascii="仿宋_GB2312" w:hAnsi="仿宋_GB2312" w:eastAsia="仿宋_GB2312" w:cs="仿宋_GB2312"/>
          <w:sz w:val="32"/>
          <w:szCs w:val="32"/>
        </w:rPr>
        <w:t>设备零部件均采用先进、可靠的加工制造技术，并有良好的表面几何形状及合适的公差配合。</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水泵能满足在各种允许运行工况下平稳、安全地输送介质。</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投标方确定泵的允许工作范围，并绘出性能曲线（扬程、效率、轴功率、汽蚀余量与流量的关系曲线）。</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泵在技术规范要求的各种工况下运行时，水泵流量、扬程和效率等性能，都应予以保证，且无负偏差。流量在额定值时，扬程偏差符合行业标准和国标。</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4.7 </w:t>
      </w:r>
      <w:r>
        <w:rPr>
          <w:rFonts w:hint="eastAsia" w:ascii="仿宋_GB2312" w:hAnsi="仿宋_GB2312" w:eastAsia="仿宋_GB2312" w:cs="仿宋_GB2312"/>
          <w:sz w:val="32"/>
          <w:szCs w:val="32"/>
        </w:rPr>
        <w:t>泵的振动在无汽蚀运转条件下测量，轴承处的振动值满足国家标准和规范要求，即轴承在各方向振动（双向振幅）值不大于0.03mm。</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4.8 </w:t>
      </w:r>
      <w:r>
        <w:rPr>
          <w:rFonts w:hint="eastAsia" w:ascii="仿宋_GB2312" w:hAnsi="仿宋_GB2312" w:eastAsia="仿宋_GB2312" w:cs="仿宋_GB2312"/>
          <w:sz w:val="32"/>
          <w:szCs w:val="32"/>
        </w:rPr>
        <w:t>同规格型号泵的所有部件和备品备件、专用工具能够相互替换。</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4.9 </w:t>
      </w:r>
      <w:r>
        <w:rPr>
          <w:rFonts w:hint="eastAsia" w:ascii="仿宋_GB2312" w:hAnsi="仿宋_GB2312" w:eastAsia="仿宋_GB2312" w:cs="仿宋_GB2312"/>
          <w:sz w:val="32"/>
          <w:szCs w:val="32"/>
        </w:rPr>
        <w:t>泵所配的电动机采用优质节能产品</w:t>
      </w:r>
      <w:r>
        <w:rPr>
          <w:rFonts w:hint="eastAsia" w:ascii="仿宋_GB2312" w:hAnsi="仿宋_GB2312" w:eastAsia="仿宋_GB2312" w:cs="仿宋_GB2312"/>
          <w:sz w:val="32"/>
          <w:szCs w:val="32"/>
          <w:lang w:eastAsia="zh-CN"/>
        </w:rPr>
        <w:t>，达到一级能效等级</w:t>
      </w:r>
      <w:r>
        <w:rPr>
          <w:rFonts w:hint="eastAsia" w:ascii="仿宋_GB2312" w:hAnsi="仿宋_GB2312" w:eastAsia="仿宋_GB2312" w:cs="仿宋_GB2312"/>
          <w:sz w:val="32"/>
          <w:szCs w:val="32"/>
        </w:rPr>
        <w:t>。电气设备应符合IEC529标准，电动机性能应满足相关章节要求。</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4.10 </w:t>
      </w:r>
      <w:r>
        <w:rPr>
          <w:rFonts w:hint="eastAsia" w:ascii="仿宋_GB2312" w:hAnsi="仿宋_GB2312" w:eastAsia="仿宋_GB2312" w:cs="仿宋_GB2312"/>
          <w:sz w:val="32"/>
          <w:szCs w:val="32"/>
        </w:rPr>
        <w:t>泵受压的壳体，包括轴封和填料压盖等能够承受规定的工作压力和环境温度下的水压试验压力。承受压力的元件应按工作压力的1.5倍作水压试验。</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4.11 </w:t>
      </w:r>
      <w:r>
        <w:rPr>
          <w:rFonts w:hint="eastAsia" w:ascii="仿宋_GB2312" w:hAnsi="仿宋_GB2312" w:eastAsia="仿宋_GB2312" w:cs="仿宋_GB2312"/>
          <w:sz w:val="32"/>
          <w:szCs w:val="32"/>
        </w:rPr>
        <w:t>泵轴有足够的刚性，在计算确定挠度时，不应考虑机封的支撑作用。</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4.12 </w:t>
      </w:r>
      <w:r>
        <w:rPr>
          <w:rFonts w:hint="eastAsia" w:ascii="仿宋_GB2312" w:hAnsi="仿宋_GB2312" w:eastAsia="仿宋_GB2312" w:cs="仿宋_GB2312"/>
          <w:sz w:val="32"/>
          <w:szCs w:val="32"/>
        </w:rPr>
        <w:t>运行时，水泵滚动轴承的温度不高于环境温度35℃，最高温度不高于120℃。</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4.13 </w:t>
      </w:r>
      <w:r>
        <w:rPr>
          <w:rFonts w:hint="eastAsia" w:ascii="仿宋_GB2312" w:hAnsi="仿宋_GB2312" w:eastAsia="仿宋_GB2312" w:cs="仿宋_GB2312"/>
          <w:sz w:val="32"/>
          <w:szCs w:val="32"/>
        </w:rPr>
        <w:t>所有铸件执行JB/T6880 《泵用铸钢件》、《泵用灰铸铁件》标准，铸件不得有缩孔、缩松、夹渣等现象。同时不影响力学性能的铸造缺陷，铸件表面光滑并清理干净。</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4.14 </w:t>
      </w:r>
      <w:r>
        <w:rPr>
          <w:rFonts w:hint="eastAsia" w:ascii="仿宋_GB2312" w:hAnsi="仿宋_GB2312" w:eastAsia="仿宋_GB2312" w:cs="仿宋_GB2312"/>
          <w:sz w:val="32"/>
          <w:szCs w:val="32"/>
        </w:rPr>
        <w:t>所有设备及其附件的使用寿命，必须考虑到在设备使用期间经受各项环境条件的综合影响。投标方保证所供水泵及附件的连续使用寿命不少于10年。</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bookmarkStart w:id="0" w:name="OLE_LINK67"/>
      <w:bookmarkStart w:id="1" w:name="OLE_LINK66"/>
      <w:r>
        <w:rPr>
          <w:rFonts w:hint="eastAsia" w:ascii="仿宋_GB2312" w:hAnsi="仿宋_GB2312" w:eastAsia="仿宋_GB2312" w:cs="仿宋_GB2312"/>
          <w:sz w:val="32"/>
          <w:szCs w:val="32"/>
          <w:lang w:val="en-US" w:eastAsia="zh-CN"/>
        </w:rPr>
        <w:t xml:space="preserve">4.15 </w:t>
      </w:r>
      <w:r>
        <w:rPr>
          <w:rFonts w:hint="eastAsia" w:ascii="仿宋_GB2312" w:hAnsi="仿宋_GB2312" w:eastAsia="仿宋_GB2312" w:cs="仿宋_GB2312"/>
          <w:sz w:val="32"/>
          <w:szCs w:val="32"/>
        </w:rPr>
        <w:t>所有水泵过流部分的材质应能防止过流介质的腐蚀，过流部分：叶轮、涡壳、轴套、泵盖、叶轮螺母材质必须满足协议要求。</w:t>
      </w:r>
    </w:p>
    <w:bookmarkEnd w:id="0"/>
    <w:bookmarkEnd w:id="1"/>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4.16 </w:t>
      </w:r>
      <w:r>
        <w:rPr>
          <w:rFonts w:hint="eastAsia" w:ascii="仿宋_GB2312" w:hAnsi="仿宋_GB2312" w:eastAsia="仿宋_GB2312" w:cs="仿宋_GB2312"/>
          <w:sz w:val="32"/>
          <w:szCs w:val="32"/>
        </w:rPr>
        <w:t>所有水泵出口配就地压力表, 表盘直径1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0mm，压力表精度等级应为1.6级、不锈钢，防振型，投标方还应提供仪表管、仪表阀等压力表安装所需的全部附件。</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4.17 </w:t>
      </w:r>
      <w:r>
        <w:rPr>
          <w:rFonts w:hint="eastAsia" w:ascii="仿宋_GB2312" w:hAnsi="仿宋_GB2312" w:eastAsia="仿宋_GB2312" w:cs="仿宋_GB2312"/>
          <w:sz w:val="32"/>
          <w:szCs w:val="32"/>
        </w:rPr>
        <w:t>设备铭牌采用耐腐蚀的金属板制造，铭牌设置在操作人员易于看到的地方，并刻有下列内容：制造厂家名称、设备名称、设备型号、主要技术参数、出厂日期、产品出厂编号等。</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4.18 </w:t>
      </w:r>
      <w:r>
        <w:rPr>
          <w:rFonts w:hint="eastAsia" w:ascii="仿宋_GB2312" w:hAnsi="仿宋_GB2312" w:eastAsia="仿宋_GB2312" w:cs="仿宋_GB2312"/>
          <w:sz w:val="32"/>
          <w:szCs w:val="32"/>
        </w:rPr>
        <w:t>所选用的电机为一线电机厂家。乙方应提供产品出厂合格证、装箱单、产品试验报告单、操作维护手册、技术说明书、设备编码（用于向厂家查询设备真伪）、“三包”保修卡、产品及相关材料的安全产品认定书和质量保证书等交甲方确认。</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4.19 </w:t>
      </w:r>
      <w:r>
        <w:rPr>
          <w:rFonts w:hint="eastAsia" w:ascii="仿宋_GB2312" w:hAnsi="仿宋_GB2312" w:eastAsia="仿宋_GB2312" w:cs="仿宋_GB2312"/>
          <w:sz w:val="32"/>
          <w:szCs w:val="32"/>
        </w:rPr>
        <w:t>乙方所供水泵、电机的设计、生产、制造、检验过程中，应严格执行以下标准：</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 xml:space="preserve">.1 </w:t>
      </w:r>
      <w:r>
        <w:rPr>
          <w:rFonts w:hint="eastAsia" w:ascii="仿宋_GB2312" w:hAnsi="仿宋_GB2312" w:eastAsia="仿宋_GB2312" w:cs="仿宋_GB2312"/>
          <w:sz w:val="32"/>
          <w:szCs w:val="32"/>
          <w:lang w:val="en-US" w:eastAsia="zh-CN"/>
        </w:rPr>
        <w:t>GB 6245-2006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消防泵</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19.2 GB 6246-2001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消防泵性能试验方法和评定</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19.3 </w:t>
      </w:r>
      <w:r>
        <w:rPr>
          <w:rFonts w:hint="eastAsia" w:ascii="仿宋_GB2312" w:hAnsi="仿宋_GB2312" w:eastAsia="仿宋_GB2312" w:cs="仿宋_GB2312"/>
          <w:sz w:val="32"/>
          <w:szCs w:val="32"/>
        </w:rPr>
        <w:t>GB/T 3216  《离心泵、混流泵、轴流泵和旋涡泵试验方法》；</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 xml:space="preserve"> JB/T 8097-2013 《泵的振动测量与评价方法》；</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 xml:space="preserve"> JB/T 8098-2013 《泵的噪声测量与评价方法》；</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 xml:space="preserve"> JB/T 4297-2008 《泵产品涂漆技术条件》；</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 xml:space="preserve"> GB/T 13006-2013 《离心泵、混流泵、轴流泵汽蚀余量》；</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 xml:space="preserve"> JB 2759-2008  《机电产品包装通用技术条件》；</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 xml:space="preserve"> IEC 34 (GB 755-2000)  《旋转电机基本技术要求》。</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技术协议提供的是最低限度的技术要求，并未对所有的技术细节作出规定，也未充分引述有关标准和规范的条文，供货方应根据技术规格书和行业标准，提供优质的产品，并保证产品的完整性，以实现设备的全部功能。</w:t>
      </w:r>
    </w:p>
    <w:p>
      <w:pPr>
        <w:keepNext w:val="0"/>
        <w:keepLines w:val="0"/>
        <w:pageBreakBefore w:val="0"/>
        <w:widowControl/>
        <w:kinsoku/>
        <w:wordWrap/>
        <w:overflowPunct/>
        <w:topLinePunct w:val="0"/>
        <w:autoSpaceDE/>
        <w:autoSpaceDN/>
        <w:bidi w:val="0"/>
        <w:adjustRightInd w:val="0"/>
        <w:snapToGrid w:val="0"/>
        <w:spacing w:beforeAutospacing="0" w:afterAutospacing="0" w:line="560" w:lineRule="exact"/>
        <w:ind w:firstLine="640" w:firstLineChars="200"/>
        <w:textAlignment w:val="auto"/>
        <w:rPr>
          <w:rFonts w:hint="eastAsia" w:ascii="宋体" w:hAnsi="Arial" w:eastAsia="宋体" w:cs="宋体"/>
          <w:sz w:val="32"/>
          <w:szCs w:val="32"/>
          <w:lang w:val="zh-CN"/>
        </w:rPr>
      </w:pPr>
      <w:r>
        <w:rPr>
          <w:rFonts w:hint="eastAsia" w:ascii="仿宋_GB2312" w:hAnsi="仿宋_GB2312" w:eastAsia="仿宋_GB2312" w:cs="仿宋_GB2312"/>
          <w:sz w:val="32"/>
          <w:szCs w:val="32"/>
        </w:rPr>
        <w:t>当供货方采用其它标准时，其标准应符合中华人民共和国国家标准（GB）或国际标准（IEC），若有标准不一致时，取最高值。</w:t>
      </w:r>
    </w:p>
    <w:p>
      <w:pPr>
        <w:rPr>
          <w:rFonts w:hint="eastAsia" w:eastAsiaTheme="minorEastAsia"/>
          <w:lang w:eastAsia="zh-CN"/>
        </w:rPr>
      </w:pPr>
      <w:r>
        <w:rPr>
          <w:rFonts w:hint="eastAsia" w:ascii="仿宋_GB2312" w:hAnsi="仿宋_GB2312" w:eastAsia="仿宋_GB2312" w:cs="仿宋_GB2312"/>
          <w:b/>
          <w:bCs w:val="0"/>
          <w:kern w:val="2"/>
          <w:sz w:val="32"/>
          <w:szCs w:val="32"/>
          <w:lang w:eastAsia="zh-CN"/>
        </w:rPr>
        <w:t>五、安装尺寸图</w:t>
      </w:r>
    </w:p>
    <w:p>
      <w:pPr>
        <w:widowControl w:val="0"/>
        <w:numPr>
          <w:ilvl w:val="0"/>
          <w:numId w:val="0"/>
        </w:numPr>
        <w:tabs>
          <w:tab w:val="left" w:pos="0"/>
          <w:tab w:val="left" w:pos="900"/>
          <w:tab w:val="left" w:pos="1080"/>
        </w:tabs>
        <w:spacing w:line="360" w:lineRule="auto"/>
        <w:jc w:val="both"/>
        <w:rPr>
          <w:rFonts w:hint="eastAsia" w:eastAsiaTheme="minorEastAsia"/>
          <w:lang w:eastAsia="zh-CN"/>
        </w:rPr>
      </w:pPr>
      <w:r>
        <w:rPr>
          <w:rFonts w:hint="eastAsia" w:eastAsiaTheme="minorEastAsia"/>
          <w:lang w:eastAsia="zh-CN"/>
        </w:rPr>
        <w:drawing>
          <wp:inline distT="0" distB="0" distL="114300" distR="114300">
            <wp:extent cx="5961380" cy="4699000"/>
            <wp:effectExtent l="0" t="0" r="1270" b="6350"/>
            <wp:docPr id="2" name="图片 2" descr="XBD6-80-200W-WGZ-KQ-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XBD6-80-200W-WGZ-KQ-II"/>
                    <pic:cNvPicPr>
                      <a:picLocks noChangeAspect="1"/>
                    </pic:cNvPicPr>
                  </pic:nvPicPr>
                  <pic:blipFill>
                    <a:blip r:embed="rId6"/>
                    <a:stretch>
                      <a:fillRect/>
                    </a:stretch>
                  </pic:blipFill>
                  <pic:spPr>
                    <a:xfrm>
                      <a:off x="0" y="0"/>
                      <a:ext cx="5961380" cy="4699000"/>
                    </a:xfrm>
                    <a:prstGeom prst="rect">
                      <a:avLst/>
                    </a:prstGeom>
                  </pic:spPr>
                </pic:pic>
              </a:graphicData>
            </a:graphic>
          </wp:inline>
        </w:drawing>
      </w:r>
    </w:p>
    <w:p>
      <w:pPr>
        <w:widowControl w:val="0"/>
        <w:tabs>
          <w:tab w:val="left" w:pos="0"/>
          <w:tab w:val="left" w:pos="900"/>
          <w:tab w:val="left" w:pos="1080"/>
        </w:tabs>
        <w:spacing w:line="360" w:lineRule="auto"/>
        <w:jc w:val="both"/>
        <w:outlineLvl w:val="0"/>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lang w:eastAsia="zh-CN"/>
        </w:rPr>
        <w:t>六、</w:t>
      </w:r>
      <w:r>
        <w:rPr>
          <w:rFonts w:hint="eastAsia" w:ascii="仿宋_GB2312" w:hAnsi="仿宋_GB2312" w:eastAsia="仿宋_GB2312" w:cs="仿宋_GB2312"/>
          <w:b/>
          <w:bCs w:val="0"/>
          <w:kern w:val="2"/>
          <w:sz w:val="32"/>
          <w:szCs w:val="32"/>
        </w:rPr>
        <w:t>提供资料</w:t>
      </w:r>
    </w:p>
    <w:p>
      <w:pPr>
        <w:keepNext w:val="0"/>
        <w:keepLines w:val="0"/>
        <w:pageBreakBefore w:val="0"/>
        <w:tabs>
          <w:tab w:val="left" w:pos="1080"/>
        </w:tabs>
        <w:wordWrap/>
        <w:overflowPunct/>
        <w:topLinePunct w:val="0"/>
        <w:bidi w:val="0"/>
        <w:spacing w:line="560" w:lineRule="exact"/>
        <w:ind w:firstLine="640" w:firstLineChars="20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6.1 </w:t>
      </w:r>
      <w:r>
        <w:rPr>
          <w:rFonts w:hint="eastAsia" w:ascii="仿宋_GB2312" w:hAnsi="仿宋_GB2312" w:eastAsia="仿宋_GB2312" w:cs="仿宋_GB2312"/>
          <w:sz w:val="32"/>
          <w:szCs w:val="32"/>
        </w:rPr>
        <w:t>乙方向甲方提供以下资料：提供出厂最终资料</w:t>
      </w:r>
      <w:r>
        <w:rPr>
          <w:rFonts w:hint="eastAsia" w:ascii="仿宋_GB2312" w:hAnsi="仿宋_GB2312" w:eastAsia="仿宋_GB2312" w:cs="仿宋_GB2312"/>
          <w:sz w:val="32"/>
          <w:szCs w:val="32"/>
          <w:lang w:val="en-US" w:eastAsia="zh-CN"/>
        </w:rPr>
        <w:t>全流量无过载消防泵</w:t>
      </w:r>
      <w:r>
        <w:rPr>
          <w:rFonts w:hint="eastAsia" w:ascii="仿宋_GB2312" w:hAnsi="仿宋_GB2312" w:eastAsia="仿宋_GB2312" w:cs="仿宋_GB2312"/>
          <w:sz w:val="32"/>
          <w:szCs w:val="32"/>
          <w:lang w:eastAsia="zh-CN"/>
        </w:rPr>
        <w:t>出厂</w:t>
      </w:r>
      <w:r>
        <w:rPr>
          <w:rFonts w:hint="eastAsia" w:ascii="仿宋_GB2312" w:hAnsi="仿宋_GB2312" w:eastAsia="仿宋_GB2312" w:cs="仿宋_GB2312"/>
          <w:sz w:val="32"/>
          <w:szCs w:val="32"/>
        </w:rPr>
        <w:t>合格证</w:t>
      </w:r>
      <w:r>
        <w:rPr>
          <w:rFonts w:hint="eastAsia" w:ascii="仿宋_GB2312" w:hAnsi="仿宋_GB2312" w:eastAsia="仿宋_GB2312" w:cs="仿宋_GB2312"/>
          <w:sz w:val="32"/>
          <w:szCs w:val="32"/>
          <w:lang w:eastAsia="zh-CN"/>
        </w:rPr>
        <w:t>、电机合格证及第三方检验报告（其中</w:t>
      </w:r>
      <w:r>
        <w:rPr>
          <w:rFonts w:hint="eastAsia" w:ascii="仿宋_GB2312" w:hAnsi="仿宋_GB2312" w:eastAsia="仿宋_GB2312" w:cs="仿宋_GB2312"/>
          <w:sz w:val="32"/>
          <w:szCs w:val="32"/>
          <w:lang w:val="en-US" w:eastAsia="zh-CN"/>
        </w:rPr>
        <w:t>Q-N性能曲线必须有明显的全流量无过载特征）</w:t>
      </w:r>
      <w:r>
        <w:rPr>
          <w:rFonts w:hint="eastAsia" w:ascii="仿宋_GB2312" w:hAnsi="仿宋_GB2312" w:eastAsia="仿宋_GB2312" w:cs="仿宋_GB2312"/>
          <w:sz w:val="32"/>
          <w:szCs w:val="32"/>
          <w:lang w:eastAsia="zh-CN"/>
        </w:rPr>
        <w:t>等。</w:t>
      </w:r>
    </w:p>
    <w:p>
      <w:pPr>
        <w:keepNext w:val="0"/>
        <w:keepLines w:val="0"/>
        <w:pageBreakBefore w:val="0"/>
        <w:widowControl w:val="0"/>
        <w:tabs>
          <w:tab w:val="left" w:pos="0"/>
          <w:tab w:val="left" w:pos="900"/>
          <w:tab w:val="left" w:pos="1080"/>
        </w:tabs>
        <w:wordWrap/>
        <w:overflowPunct/>
        <w:topLinePunct w:val="0"/>
        <w:bidi w:val="0"/>
        <w:spacing w:line="560" w:lineRule="exact"/>
        <w:jc w:val="both"/>
        <w:outlineLvl w:val="0"/>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lang w:eastAsia="zh-CN"/>
        </w:rPr>
        <w:t>七、</w:t>
      </w:r>
      <w:r>
        <w:rPr>
          <w:rFonts w:hint="eastAsia" w:ascii="仿宋_GB2312" w:hAnsi="仿宋_GB2312" w:eastAsia="仿宋_GB2312" w:cs="仿宋_GB2312"/>
          <w:b/>
          <w:bCs w:val="0"/>
          <w:kern w:val="2"/>
          <w:sz w:val="32"/>
          <w:szCs w:val="32"/>
        </w:rPr>
        <w:t>质量保证及售后服务</w:t>
      </w:r>
    </w:p>
    <w:p>
      <w:pPr>
        <w:keepNext w:val="0"/>
        <w:keepLines w:val="0"/>
        <w:pageBreakBefore w:val="0"/>
        <w:widowControl w:val="0"/>
        <w:wordWrap/>
        <w:overflowPunct/>
        <w:topLinePunct w:val="0"/>
        <w:bidi w:val="0"/>
        <w:spacing w:line="560" w:lineRule="exact"/>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7</w:t>
      </w:r>
      <w:r>
        <w:rPr>
          <w:rFonts w:hint="eastAsia" w:ascii="仿宋_GB2312" w:hAnsi="仿宋_GB2312" w:eastAsia="仿宋_GB2312" w:cs="仿宋_GB2312"/>
          <w:kern w:val="2"/>
          <w:sz w:val="32"/>
          <w:szCs w:val="32"/>
        </w:rPr>
        <w:t>.1合同设备的保</w:t>
      </w:r>
      <w:r>
        <w:rPr>
          <w:rFonts w:hint="eastAsia" w:ascii="仿宋_GB2312" w:hAnsi="仿宋_GB2312" w:eastAsia="仿宋_GB2312" w:cs="仿宋_GB2312"/>
          <w:kern w:val="2"/>
          <w:sz w:val="32"/>
          <w:szCs w:val="32"/>
          <w:lang w:eastAsia="zh-CN"/>
        </w:rPr>
        <w:t>证</w:t>
      </w:r>
      <w:r>
        <w:rPr>
          <w:rFonts w:hint="eastAsia" w:ascii="仿宋_GB2312" w:hAnsi="仿宋_GB2312" w:eastAsia="仿宋_GB2312" w:cs="仿宋_GB2312"/>
          <w:kern w:val="2"/>
          <w:sz w:val="32"/>
          <w:szCs w:val="32"/>
        </w:rPr>
        <w:t>期为</w:t>
      </w:r>
      <w:r>
        <w:rPr>
          <w:rFonts w:hint="eastAsia" w:ascii="仿宋_GB2312" w:hAnsi="仿宋_GB2312" w:eastAsia="仿宋_GB2312" w:cs="仿宋_GB2312"/>
          <w:kern w:val="2"/>
          <w:sz w:val="32"/>
          <w:szCs w:val="32"/>
          <w:lang w:eastAsia="zh-CN"/>
        </w:rPr>
        <w:t>现场</w:t>
      </w:r>
      <w:r>
        <w:rPr>
          <w:rFonts w:hint="eastAsia" w:ascii="仿宋_GB2312" w:hAnsi="仿宋_GB2312" w:eastAsia="仿宋_GB2312" w:cs="仿宋_GB2312"/>
          <w:kern w:val="2"/>
          <w:sz w:val="32"/>
          <w:szCs w:val="32"/>
        </w:rPr>
        <w:t>投运使用之日起</w:t>
      </w:r>
      <w:r>
        <w:rPr>
          <w:rFonts w:hint="eastAsia" w:ascii="仿宋_GB2312" w:hAnsi="仿宋_GB2312" w:eastAsia="仿宋_GB2312" w:cs="仿宋_GB2312"/>
          <w:kern w:val="2"/>
          <w:sz w:val="32"/>
          <w:szCs w:val="32"/>
          <w:lang w:val="en-US" w:eastAsia="zh-CN"/>
        </w:rPr>
        <w:t>12</w:t>
      </w:r>
      <w:r>
        <w:rPr>
          <w:rFonts w:hint="eastAsia" w:ascii="仿宋_GB2312" w:hAnsi="仿宋_GB2312" w:eastAsia="仿宋_GB2312" w:cs="仿宋_GB2312"/>
          <w:kern w:val="2"/>
          <w:sz w:val="32"/>
          <w:szCs w:val="32"/>
        </w:rPr>
        <w:t>个月。</w:t>
      </w:r>
    </w:p>
    <w:p>
      <w:pPr>
        <w:keepNext w:val="0"/>
        <w:keepLines w:val="0"/>
        <w:pageBreakBefore w:val="0"/>
        <w:widowControl w:val="0"/>
        <w:wordWrap/>
        <w:overflowPunct/>
        <w:topLinePunct w:val="0"/>
        <w:bidi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kern w:val="2"/>
          <w:sz w:val="32"/>
          <w:szCs w:val="32"/>
          <w:lang w:val="en-US" w:eastAsia="zh-CN"/>
        </w:rPr>
        <w:t>7</w:t>
      </w:r>
      <w:r>
        <w:rPr>
          <w:rFonts w:hint="eastAsia" w:ascii="仿宋_GB2312" w:hAnsi="仿宋_GB2312" w:eastAsia="仿宋_GB2312" w:cs="仿宋_GB2312"/>
          <w:kern w:val="2"/>
          <w:sz w:val="32"/>
          <w:szCs w:val="32"/>
        </w:rPr>
        <w:t>.2</w:t>
      </w:r>
      <w:r>
        <w:rPr>
          <w:rFonts w:hint="eastAsia" w:ascii="仿宋_GB2312" w:hAnsi="仿宋_GB2312" w:eastAsia="仿宋_GB2312" w:cs="仿宋_GB2312"/>
          <w:color w:val="auto"/>
          <w:sz w:val="32"/>
          <w:szCs w:val="32"/>
          <w:lang w:eastAsia="zh-CN"/>
        </w:rPr>
        <w:t>乙方应对所提供产品和附件的制造质量、技术规格负有完全责任。</w:t>
      </w:r>
    </w:p>
    <w:p>
      <w:pPr>
        <w:keepNext w:val="0"/>
        <w:keepLines w:val="0"/>
        <w:pageBreakBefore w:val="0"/>
        <w:widowControl w:val="0"/>
        <w:wordWrap/>
        <w:overflowPunct/>
        <w:topLinePunct w:val="0"/>
        <w:bidi w:val="0"/>
        <w:spacing w:line="56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7.3</w:t>
      </w:r>
      <w:r>
        <w:rPr>
          <w:rFonts w:hint="eastAsia" w:ascii="仿宋_GB2312" w:hAnsi="仿宋_GB2312" w:eastAsia="仿宋_GB2312" w:cs="仿宋_GB2312"/>
          <w:color w:val="auto"/>
          <w:sz w:val="32"/>
          <w:szCs w:val="32"/>
          <w:lang w:eastAsia="zh-CN"/>
        </w:rPr>
        <w:t>乙方保证所提供的产品全部都是经过厂家测试合格的产品，乙方保证所提供的产品是全新的，未被使用过的，是用一流的工艺生产的，并完全符合买方规定的质量规格和性能的要求</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乙方应保证其设备在正确安装、正常使用和保养条件下，在其使用寿命内应具有良好的性能。</w:t>
      </w:r>
    </w:p>
    <w:p>
      <w:pPr>
        <w:keepNext w:val="0"/>
        <w:keepLines w:val="0"/>
        <w:pageBreakBefore w:val="0"/>
        <w:widowControl w:val="0"/>
        <w:wordWrap/>
        <w:overflowPunct/>
        <w:topLinePunct w:val="0"/>
        <w:bidi w:val="0"/>
        <w:spacing w:line="560" w:lineRule="exact"/>
        <w:ind w:firstLine="640" w:firstLineChars="200"/>
        <w:jc w:val="both"/>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val="en-US" w:eastAsia="zh-CN"/>
        </w:rPr>
        <w:t>7.4</w:t>
      </w:r>
      <w:r>
        <w:rPr>
          <w:rFonts w:hint="eastAsia" w:ascii="仿宋_GB2312" w:hAnsi="仿宋_GB2312" w:eastAsia="仿宋_GB2312" w:cs="仿宋_GB2312"/>
          <w:kern w:val="2"/>
          <w:sz w:val="32"/>
          <w:szCs w:val="32"/>
          <w:lang w:eastAsia="zh-CN"/>
        </w:rPr>
        <w:t>在质保期内，因备件质量问题造成的备件损坏、乙方应及时免费更换损坏部件或更换新品，用来更换的部件应当是全新的，在质保期内，卖方应对设备自身设计、材料及生产工艺中的缺陷而产生的后果负责。</w:t>
      </w:r>
    </w:p>
    <w:p>
      <w:pPr>
        <w:keepNext w:val="0"/>
        <w:keepLines w:val="0"/>
        <w:pageBreakBefore w:val="0"/>
        <w:widowControl w:val="0"/>
        <w:tabs>
          <w:tab w:val="left" w:pos="0"/>
          <w:tab w:val="left" w:pos="900"/>
          <w:tab w:val="left" w:pos="1080"/>
        </w:tabs>
        <w:wordWrap/>
        <w:overflowPunct/>
        <w:topLinePunct w:val="0"/>
        <w:bidi w:val="0"/>
        <w:spacing w:line="560" w:lineRule="exact"/>
        <w:jc w:val="both"/>
        <w:outlineLvl w:val="0"/>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lang w:eastAsia="zh-CN"/>
        </w:rPr>
        <w:t>八、</w:t>
      </w:r>
      <w:r>
        <w:rPr>
          <w:rFonts w:hint="eastAsia" w:ascii="仿宋_GB2312" w:hAnsi="仿宋_GB2312" w:eastAsia="仿宋_GB2312" w:cs="仿宋_GB2312"/>
          <w:b/>
          <w:bCs w:val="0"/>
          <w:kern w:val="2"/>
          <w:sz w:val="32"/>
          <w:szCs w:val="32"/>
        </w:rPr>
        <w:t>交货时间及地点</w:t>
      </w:r>
    </w:p>
    <w:p>
      <w:pPr>
        <w:keepNext w:val="0"/>
        <w:keepLines w:val="0"/>
        <w:pageBreakBefore w:val="0"/>
        <w:widowControl w:val="0"/>
        <w:wordWrap/>
        <w:overflowPunct/>
        <w:topLinePunct w:val="0"/>
        <w:bidi w:val="0"/>
        <w:spacing w:line="560" w:lineRule="exact"/>
        <w:ind w:firstLine="640" w:firstLineChars="200"/>
        <w:jc w:val="both"/>
        <w:outlineLvl w:val="1"/>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2"/>
          <w:sz w:val="32"/>
          <w:szCs w:val="32"/>
          <w:lang w:val="en-US" w:eastAsia="zh-CN"/>
        </w:rPr>
        <w:t>8.1 交货时间：</w:t>
      </w:r>
      <w:r>
        <w:rPr>
          <w:rFonts w:hint="eastAsia" w:ascii="仿宋_GB2312" w:hAnsi="仿宋_GB2312" w:eastAsia="仿宋_GB2312" w:cs="仿宋_GB2312"/>
          <w:kern w:val="0"/>
          <w:sz w:val="32"/>
          <w:szCs w:val="32"/>
          <w:lang w:eastAsia="zh-CN"/>
        </w:rPr>
        <w:t>具体以合同为准</w:t>
      </w:r>
    </w:p>
    <w:p>
      <w:pPr>
        <w:keepNext w:val="0"/>
        <w:keepLines w:val="0"/>
        <w:pageBreakBefore w:val="0"/>
        <w:widowControl w:val="0"/>
        <w:wordWrap/>
        <w:overflowPunct/>
        <w:topLinePunct w:val="0"/>
        <w:bidi w:val="0"/>
        <w:spacing w:line="560" w:lineRule="exact"/>
        <w:ind w:firstLine="640" w:firstLineChars="200"/>
        <w:jc w:val="both"/>
        <w:outlineLvl w:val="1"/>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8.2 交货地点：东兴铝业嘉峪关公司二期90万吨备件库房.</w:t>
      </w:r>
    </w:p>
    <w:p>
      <w:pPr>
        <w:keepNext w:val="0"/>
        <w:keepLines w:val="0"/>
        <w:pageBreakBefore w:val="0"/>
        <w:widowControl w:val="0"/>
        <w:wordWrap/>
        <w:overflowPunct/>
        <w:topLinePunct w:val="0"/>
        <w:bidi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rPr>
        <w:t>8.3 设备出厂发运前用</w:t>
      </w:r>
      <w:r>
        <w:rPr>
          <w:rFonts w:hint="eastAsia" w:ascii="仿宋_GB2312" w:hAnsi="仿宋_GB2312" w:eastAsia="仿宋_GB2312" w:cs="仿宋_GB2312"/>
          <w:color w:val="000000"/>
          <w:sz w:val="32"/>
          <w:szCs w:val="32"/>
        </w:rPr>
        <w:t>油漆按箱外标准运输标记（合同号、目的地、收件人单位、设备名称、箱号/捆号、毛净重、尺寸、吊装点）进行标注。箱内设备用标签做标记，注明设备名称、安装位置、并在设备上带有铭牌。</w:t>
      </w:r>
      <w:r>
        <w:rPr>
          <w:rFonts w:hint="eastAsia" w:ascii="仿宋_GB2312" w:hAnsi="仿宋_GB2312" w:eastAsia="仿宋_GB2312" w:cs="仿宋_GB2312"/>
          <w:kern w:val="2"/>
          <w:sz w:val="32"/>
          <w:szCs w:val="32"/>
        </w:rPr>
        <w:t xml:space="preserve"> </w:t>
      </w:r>
    </w:p>
    <w:p>
      <w:pPr>
        <w:keepNext w:val="0"/>
        <w:keepLines w:val="0"/>
        <w:pageBreakBefore w:val="0"/>
        <w:widowControl w:val="0"/>
        <w:tabs>
          <w:tab w:val="left" w:pos="0"/>
          <w:tab w:val="left" w:pos="900"/>
          <w:tab w:val="left" w:pos="1080"/>
        </w:tabs>
        <w:wordWrap/>
        <w:overflowPunct/>
        <w:topLinePunct w:val="0"/>
        <w:bidi w:val="0"/>
        <w:spacing w:line="560" w:lineRule="exact"/>
        <w:jc w:val="both"/>
        <w:outlineLvl w:val="0"/>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lang w:eastAsia="zh-CN"/>
        </w:rPr>
        <w:t>九、</w:t>
      </w:r>
      <w:r>
        <w:rPr>
          <w:rFonts w:hint="eastAsia" w:ascii="仿宋_GB2312" w:hAnsi="仿宋_GB2312" w:eastAsia="仿宋_GB2312" w:cs="仿宋_GB2312"/>
          <w:b/>
          <w:bCs w:val="0"/>
          <w:kern w:val="2"/>
          <w:sz w:val="32"/>
          <w:szCs w:val="32"/>
        </w:rPr>
        <w:t>其它</w:t>
      </w:r>
    </w:p>
    <w:p>
      <w:pPr>
        <w:keepNext w:val="0"/>
        <w:keepLines w:val="0"/>
        <w:pageBreakBefore w:val="0"/>
        <w:widowControl w:val="0"/>
        <w:wordWrap/>
        <w:overflowPunct/>
        <w:topLinePunct w:val="0"/>
        <w:bidi w:val="0"/>
        <w:spacing w:line="560" w:lineRule="exact"/>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.1</w:t>
      </w: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kern w:val="2"/>
          <w:sz w:val="32"/>
          <w:szCs w:val="32"/>
        </w:rPr>
        <w:t>投标方在投标中所提供的系统必须是完整的、无缺项的。无论何时发现缺项、漏项，投标方都必须无偿补足。</w:t>
      </w:r>
    </w:p>
    <w:p>
      <w:pPr>
        <w:keepNext w:val="0"/>
        <w:keepLines w:val="0"/>
        <w:pageBreakBefore w:val="0"/>
        <w:widowControl w:val="0"/>
        <w:wordWrap/>
        <w:overflowPunct/>
        <w:topLinePunct w:val="0"/>
        <w:bidi w:val="0"/>
        <w:spacing w:line="560" w:lineRule="exact"/>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.2</w:t>
      </w: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kern w:val="2"/>
          <w:sz w:val="32"/>
          <w:szCs w:val="32"/>
        </w:rPr>
        <w:t>本</w:t>
      </w:r>
      <w:r>
        <w:rPr>
          <w:rFonts w:hint="eastAsia" w:ascii="仿宋_GB2312" w:hAnsi="仿宋_GB2312" w:eastAsia="仿宋_GB2312" w:cs="仿宋_GB2312"/>
          <w:b w:val="0"/>
          <w:bCs/>
          <w:color w:val="auto"/>
          <w:sz w:val="32"/>
          <w:szCs w:val="32"/>
          <w:lang w:val="en-US" w:eastAsia="zh-CN"/>
        </w:rPr>
        <w:t>规格书</w:t>
      </w:r>
      <w:r>
        <w:rPr>
          <w:rFonts w:hint="eastAsia" w:ascii="仿宋_GB2312" w:hAnsi="仿宋_GB2312" w:eastAsia="仿宋_GB2312" w:cs="仿宋_GB2312"/>
          <w:kern w:val="2"/>
          <w:sz w:val="32"/>
          <w:szCs w:val="32"/>
        </w:rPr>
        <w:t>为合同附件，与合同具有同等法律效力。</w:t>
      </w:r>
    </w:p>
    <w:p>
      <w:pPr>
        <w:keepNext w:val="0"/>
        <w:keepLines w:val="0"/>
        <w:pageBreakBefore w:val="0"/>
        <w:widowControl w:val="0"/>
        <w:wordWrap/>
        <w:overflowPunct/>
        <w:topLinePunct w:val="0"/>
        <w:bidi w:val="0"/>
        <w:spacing w:line="560" w:lineRule="exact"/>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.3</w:t>
      </w: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kern w:val="2"/>
          <w:sz w:val="32"/>
          <w:szCs w:val="32"/>
        </w:rPr>
        <w:t>提供中文操作说明手册。</w:t>
      </w:r>
    </w:p>
    <w:p>
      <w:pPr>
        <w:keepNext w:val="0"/>
        <w:keepLines w:val="0"/>
        <w:pageBreakBefore w:val="0"/>
        <w:widowControl w:val="0"/>
        <w:wordWrap/>
        <w:overflowPunct/>
        <w:topLinePunct w:val="0"/>
        <w:bidi w:val="0"/>
        <w:spacing w:line="560" w:lineRule="exact"/>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.4</w:t>
      </w: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kern w:val="2"/>
          <w:sz w:val="32"/>
          <w:szCs w:val="32"/>
        </w:rPr>
        <w:t>其它未尽事宜，甲乙双方协商解决。</w:t>
      </w:r>
    </w:p>
    <w:p>
      <w:pPr>
        <w:keepNext w:val="0"/>
        <w:keepLines w:val="0"/>
        <w:pageBreakBefore w:val="0"/>
        <w:widowControl w:val="0"/>
        <w:wordWrap/>
        <w:overflowPunct/>
        <w:topLinePunct w:val="0"/>
        <w:bidi w:val="0"/>
        <w:spacing w:line="560" w:lineRule="exact"/>
        <w:ind w:firstLine="640" w:firstLineChars="200"/>
        <w:jc w:val="both"/>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.5</w:t>
      </w: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sz w:val="32"/>
          <w:szCs w:val="32"/>
        </w:rPr>
        <w:t>本</w:t>
      </w:r>
      <w:r>
        <w:rPr>
          <w:rFonts w:hint="eastAsia" w:ascii="仿宋_GB2312" w:hAnsi="仿宋_GB2312" w:eastAsia="仿宋_GB2312" w:cs="仿宋_GB2312"/>
          <w:b w:val="0"/>
          <w:bCs/>
          <w:color w:val="auto"/>
          <w:sz w:val="32"/>
          <w:szCs w:val="32"/>
          <w:lang w:val="en-US" w:eastAsia="zh-CN"/>
        </w:rPr>
        <w:t>规格书</w:t>
      </w:r>
      <w:r>
        <w:rPr>
          <w:rFonts w:hint="eastAsia" w:ascii="仿宋_GB2312" w:hAnsi="仿宋_GB2312" w:eastAsia="仿宋_GB2312" w:cs="仿宋_GB2312"/>
          <w:sz w:val="32"/>
          <w:szCs w:val="32"/>
        </w:rPr>
        <w:t>一式</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份，甲方</w:t>
      </w:r>
      <w:r>
        <w:rPr>
          <w:rFonts w:hint="eastAsia" w:ascii="仿宋_GB2312" w:hAnsi="仿宋_GB2312" w:eastAsia="仿宋_GB2312" w:cs="仿宋_GB2312"/>
          <w:sz w:val="32"/>
          <w:szCs w:val="32"/>
          <w:lang w:eastAsia="zh-CN"/>
        </w:rPr>
        <w:t>两</w:t>
      </w:r>
      <w:r>
        <w:rPr>
          <w:rFonts w:hint="eastAsia" w:ascii="仿宋_GB2312" w:hAnsi="仿宋_GB2312" w:eastAsia="仿宋_GB2312" w:cs="仿宋_GB2312"/>
          <w:sz w:val="32"/>
          <w:szCs w:val="32"/>
        </w:rPr>
        <w:t>份，乙方一份</w:t>
      </w:r>
    </w:p>
    <w:p>
      <w:pPr>
        <w:keepNext w:val="0"/>
        <w:keepLines w:val="0"/>
        <w:pageBreakBefore w:val="0"/>
        <w:widowControl/>
        <w:tabs>
          <w:tab w:val="left" w:pos="540"/>
          <w:tab w:val="left" w:pos="840"/>
          <w:tab w:val="left" w:pos="1080"/>
        </w:tabs>
        <w:kinsoku w:val="0"/>
        <w:wordWrap/>
        <w:overflowPunct/>
        <w:topLinePunct w:val="0"/>
        <w:autoSpaceDE w:val="0"/>
        <w:autoSpaceDN w:val="0"/>
        <w:bidi w:val="0"/>
        <w:adjustRightInd w:val="0"/>
        <w:snapToGrid w:val="0"/>
        <w:spacing w:line="560" w:lineRule="exact"/>
        <w:ind w:left="0" w:firstLine="640" w:firstLineChars="200"/>
        <w:textAlignment w:val="baseline"/>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 xml:space="preserve">9.6 </w:t>
      </w:r>
      <w:r>
        <w:rPr>
          <w:rFonts w:hint="eastAsia" w:ascii="仿宋_GB2312" w:hAnsi="仿宋_GB2312" w:eastAsia="仿宋_GB2312" w:cs="仿宋_GB2312"/>
          <w:sz w:val="32"/>
          <w:szCs w:val="32"/>
          <w:lang w:val="en-US" w:eastAsia="zh-CN"/>
        </w:rPr>
        <w:t>本规格书自双方签字之日起生效，协议事项全部完成之日后失效。</w:t>
      </w:r>
    </w:p>
    <w:p>
      <w:pPr>
        <w:keepNext w:val="0"/>
        <w:keepLines w:val="0"/>
        <w:pageBreakBefore w:val="0"/>
        <w:widowControl/>
        <w:tabs>
          <w:tab w:val="left" w:pos="540"/>
          <w:tab w:val="left" w:pos="840"/>
          <w:tab w:val="left" w:pos="1080"/>
        </w:tabs>
        <w:kinsoku w:val="0"/>
        <w:wordWrap/>
        <w:overflowPunct/>
        <w:topLinePunct w:val="0"/>
        <w:autoSpaceDE w:val="0"/>
        <w:autoSpaceDN w:val="0"/>
        <w:bidi w:val="0"/>
        <w:adjustRightInd w:val="0"/>
        <w:snapToGrid w:val="0"/>
        <w:spacing w:line="560" w:lineRule="exact"/>
        <w:ind w:left="0" w:firstLine="640" w:firstLineChars="200"/>
        <w:textAlignment w:val="baseline"/>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9.7 本规格书内容经由甲乙双方于 </w:t>
      </w:r>
      <w:r>
        <w:rPr>
          <w:rFonts w:hint="eastAsia" w:ascii="仿宋_GB2312" w:hAnsi="仿宋_GB2312" w:eastAsia="仿宋_GB2312" w:cs="仿宋_GB2312"/>
          <w:b w:val="0"/>
          <w:bCs/>
          <w:color w:val="auto"/>
          <w:sz w:val="32"/>
          <w:szCs w:val="32"/>
          <w:u w:val="single"/>
          <w:lang w:val="en-US" w:eastAsia="zh-CN"/>
        </w:rPr>
        <w:t xml:space="preserve">   </w:t>
      </w:r>
      <w:r>
        <w:rPr>
          <w:rFonts w:hint="eastAsia" w:ascii="仿宋_GB2312" w:hAnsi="仿宋_GB2312" w:eastAsia="仿宋_GB2312" w:cs="仿宋_GB2312"/>
          <w:b w:val="0"/>
          <w:bCs/>
          <w:color w:val="auto"/>
          <w:sz w:val="32"/>
          <w:szCs w:val="32"/>
          <w:lang w:val="en-US" w:eastAsia="zh-CN"/>
        </w:rPr>
        <w:t> 年  </w:t>
      </w:r>
      <w:r>
        <w:rPr>
          <w:rFonts w:hint="eastAsia" w:ascii="仿宋_GB2312" w:hAnsi="仿宋_GB2312" w:eastAsia="仿宋_GB2312" w:cs="仿宋_GB2312"/>
          <w:b w:val="0"/>
          <w:bCs/>
          <w:color w:val="auto"/>
          <w:sz w:val="32"/>
          <w:szCs w:val="32"/>
          <w:u w:val="single"/>
          <w:lang w:val="en-US" w:eastAsia="zh-CN"/>
        </w:rPr>
        <w:t xml:space="preserve">   </w:t>
      </w:r>
      <w:r>
        <w:rPr>
          <w:rFonts w:hint="eastAsia" w:ascii="仿宋_GB2312" w:hAnsi="仿宋_GB2312" w:eastAsia="仿宋_GB2312" w:cs="仿宋_GB2312"/>
          <w:b w:val="0"/>
          <w:bCs/>
          <w:color w:val="auto"/>
          <w:sz w:val="32"/>
          <w:szCs w:val="32"/>
          <w:lang w:val="en-US" w:eastAsia="zh-CN"/>
        </w:rPr>
        <w:t>月 </w:t>
      </w:r>
      <w:r>
        <w:rPr>
          <w:rFonts w:hint="eastAsia" w:ascii="仿宋_GB2312" w:hAnsi="仿宋_GB2312" w:eastAsia="仿宋_GB2312" w:cs="仿宋_GB2312"/>
          <w:b w:val="0"/>
          <w:bCs/>
          <w:color w:val="auto"/>
          <w:sz w:val="32"/>
          <w:szCs w:val="32"/>
          <w:u w:val="single"/>
          <w:lang w:val="en-US" w:eastAsia="zh-CN"/>
        </w:rPr>
        <w:t xml:space="preserve">   </w:t>
      </w:r>
      <w:r>
        <w:rPr>
          <w:rFonts w:hint="eastAsia" w:ascii="仿宋_GB2312" w:hAnsi="仿宋_GB2312" w:eastAsia="仿宋_GB2312" w:cs="仿宋_GB2312"/>
          <w:b w:val="0"/>
          <w:bCs/>
          <w:color w:val="auto"/>
          <w:sz w:val="32"/>
          <w:szCs w:val="32"/>
          <w:lang w:val="en-US" w:eastAsia="zh-CN"/>
        </w:rPr>
        <w:t>日</w:t>
      </w:r>
      <w:r>
        <w:rPr>
          <w:rFonts w:hint="eastAsia" w:ascii="仿宋_GB2312" w:hAnsi="仿宋_GB2312" w:eastAsia="仿宋_GB2312" w:cs="仿宋_GB2312"/>
          <w:b w:val="0"/>
          <w:bCs/>
          <w:color w:val="auto"/>
          <w:sz w:val="32"/>
          <w:szCs w:val="32"/>
          <w:u w:val="single"/>
          <w:lang w:val="en-US" w:eastAsia="zh-CN"/>
        </w:rPr>
        <w:t xml:space="preserve">   </w:t>
      </w:r>
      <w:r>
        <w:rPr>
          <w:rFonts w:hint="eastAsia" w:ascii="仿宋_GB2312" w:hAnsi="仿宋_GB2312" w:eastAsia="仿宋_GB2312" w:cs="仿宋_GB2312"/>
          <w:b w:val="0"/>
          <w:bCs/>
          <w:color w:val="auto"/>
          <w:sz w:val="32"/>
          <w:szCs w:val="32"/>
          <w:lang w:val="en-US" w:eastAsia="zh-CN"/>
        </w:rPr>
        <w:t>时至</w:t>
      </w:r>
      <w:r>
        <w:rPr>
          <w:rFonts w:hint="eastAsia" w:ascii="仿宋_GB2312" w:hAnsi="仿宋_GB2312" w:eastAsia="仿宋_GB2312" w:cs="仿宋_GB2312"/>
          <w:b w:val="0"/>
          <w:bCs/>
          <w:color w:val="auto"/>
          <w:sz w:val="32"/>
          <w:szCs w:val="32"/>
          <w:u w:val="single"/>
          <w:lang w:val="en-US" w:eastAsia="zh-CN"/>
        </w:rPr>
        <w:t xml:space="preserve">   </w:t>
      </w:r>
      <w:r>
        <w:rPr>
          <w:rFonts w:hint="eastAsia" w:ascii="仿宋_GB2312" w:hAnsi="仿宋_GB2312" w:eastAsia="仿宋_GB2312" w:cs="仿宋_GB2312"/>
          <w:b w:val="0"/>
          <w:bCs/>
          <w:color w:val="auto"/>
          <w:sz w:val="32"/>
          <w:szCs w:val="32"/>
          <w:lang w:val="en-US" w:eastAsia="zh-CN"/>
        </w:rPr>
        <w:t> 时通过</w:t>
      </w:r>
      <w:r>
        <w:rPr>
          <w:rFonts w:hint="eastAsia" w:ascii="仿宋_GB2312" w:hAnsi="仿宋_GB2312" w:eastAsia="仿宋_GB2312" w:cs="仿宋_GB2312"/>
          <w:b w:val="0"/>
          <w:bCs/>
          <w:color w:val="auto"/>
          <w:sz w:val="32"/>
          <w:szCs w:val="32"/>
          <w:u w:val="single"/>
          <w:lang w:val="en-US" w:eastAsia="zh-CN"/>
        </w:rPr>
        <w:t xml:space="preserve">       </w:t>
      </w:r>
      <w:r>
        <w:rPr>
          <w:rFonts w:hint="eastAsia" w:ascii="仿宋_GB2312" w:hAnsi="仿宋_GB2312" w:eastAsia="仿宋_GB2312" w:cs="仿宋_GB2312"/>
          <w:b w:val="0"/>
          <w:bCs/>
          <w:color w:val="auto"/>
          <w:sz w:val="32"/>
          <w:szCs w:val="32"/>
          <w:lang w:val="en-US" w:eastAsia="zh-CN"/>
        </w:rPr>
        <w:t xml:space="preserve">  方式商定。 </w:t>
      </w:r>
    </w:p>
    <w:p>
      <w:pPr>
        <w:keepNext w:val="0"/>
        <w:keepLines w:val="0"/>
        <w:pageBreakBefore w:val="0"/>
        <w:widowControl/>
        <w:tabs>
          <w:tab w:val="left" w:pos="540"/>
          <w:tab w:val="left" w:pos="840"/>
          <w:tab w:val="left" w:pos="1080"/>
        </w:tabs>
        <w:kinsoku w:val="0"/>
        <w:wordWrap/>
        <w:overflowPunct/>
        <w:topLinePunct w:val="0"/>
        <w:autoSpaceDE w:val="0"/>
        <w:autoSpaceDN w:val="0"/>
        <w:bidi w:val="0"/>
        <w:adjustRightInd w:val="0"/>
        <w:snapToGrid w:val="0"/>
        <w:spacing w:line="560" w:lineRule="exact"/>
        <w:ind w:left="0" w:firstLine="640" w:firstLineChars="200"/>
        <w:textAlignment w:val="baseline"/>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9.8 甲乙双方应当就签订本规格书的相关事宜保密，不得将签订主体、时间、内容等信息透露给其他第三人。</w:t>
      </w:r>
    </w:p>
    <w:p>
      <w:pPr>
        <w:keepNext w:val="0"/>
        <w:keepLines w:val="0"/>
        <w:pageBreakBefore w:val="0"/>
        <w:widowControl/>
        <w:tabs>
          <w:tab w:val="left" w:pos="540"/>
          <w:tab w:val="left" w:pos="840"/>
          <w:tab w:val="left" w:pos="1080"/>
        </w:tabs>
        <w:kinsoku w:val="0"/>
        <w:wordWrap/>
        <w:overflowPunct/>
        <w:topLinePunct w:val="0"/>
        <w:autoSpaceDE w:val="0"/>
        <w:autoSpaceDN w:val="0"/>
        <w:bidi w:val="0"/>
        <w:adjustRightInd w:val="0"/>
        <w:snapToGrid w:val="0"/>
        <w:spacing w:line="560" w:lineRule="exact"/>
        <w:ind w:left="0" w:firstLine="640" w:firstLineChars="200"/>
        <w:textAlignment w:val="baseline"/>
        <w:rPr>
          <w:rFonts w:hint="default"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9.9</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32"/>
          <w:szCs w:val="32"/>
          <w:lang w:val="en-US" w:eastAsia="zh-CN"/>
        </w:rPr>
        <w:t>若</w:t>
      </w:r>
      <w:r>
        <w:rPr>
          <w:rFonts w:hint="eastAsia" w:ascii="仿宋_GB2312" w:hAnsi="仿宋_GB2312" w:eastAsia="仿宋_GB2312" w:cs="仿宋_GB2312"/>
          <w:sz w:val="32"/>
          <w:szCs w:val="32"/>
          <w:u w:val="single"/>
          <w:lang w:val="en-US" w:eastAsia="zh-CN"/>
        </w:rPr>
        <w:t>                        </w:t>
      </w:r>
      <w:r>
        <w:rPr>
          <w:rFonts w:hint="eastAsia" w:ascii="仿宋_GB2312" w:hAnsi="仿宋_GB2312" w:eastAsia="仿宋_GB2312" w:cs="仿宋_GB2312"/>
          <w:sz w:val="32"/>
          <w:szCs w:val="32"/>
          <w:lang w:val="en-US" w:eastAsia="zh-CN"/>
        </w:rPr>
        <w:t>单位不中标，本技术规格书自动失效，双方互不承担任何责任。</w:t>
      </w:r>
    </w:p>
    <w:p>
      <w:pPr>
        <w:tabs>
          <w:tab w:val="left" w:pos="540"/>
          <w:tab w:val="left" w:pos="840"/>
          <w:tab w:val="left" w:pos="1080"/>
        </w:tabs>
        <w:spacing w:line="360" w:lineRule="auto"/>
        <w:jc w:val="both"/>
        <w:rPr>
          <w:rFonts w:ascii="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甲方：甘肃东兴铝业有限公司      乙方： </w:t>
      </w:r>
    </w:p>
    <w:p>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嘉峪关分公司</w:t>
      </w:r>
    </w:p>
    <w:p>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地址：嘉峪关市嘉北工业园区      地址：</w:t>
      </w:r>
    </w:p>
    <w:p>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联系电话：                      联系电话：</w:t>
      </w:r>
    </w:p>
    <w:p>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代表：                          代表： </w:t>
      </w:r>
    </w:p>
    <w:p>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签订日期：</w:t>
      </w:r>
      <w:r>
        <w:rPr>
          <w:rFonts w:hint="eastAsia" w:ascii="仿宋_GB2312" w:hAnsi="仿宋_GB2312" w:eastAsia="仿宋_GB2312" w:cs="仿宋_GB2312"/>
          <w:kern w:val="0"/>
          <w:sz w:val="32"/>
          <w:szCs w:val="32"/>
        </w:rPr>
        <w:tab/>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 xml:space="preserve">年 </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 xml:space="preserve"> 月  </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 xml:space="preserve"> 日      签订日期： </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 xml:space="preserve">年  </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 xml:space="preserve">月  </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日</w:t>
      </w:r>
    </w:p>
    <w:p/>
    <w:p/>
    <w:p/>
    <w:p/>
    <w:p/>
    <w:sectPr>
      <w:headerReference r:id="rId3" w:type="default"/>
      <w:footerReference r:id="rId4" w:type="default"/>
      <w:pgSz w:w="11906" w:h="16838"/>
      <w:pgMar w:top="1417" w:right="1417" w:bottom="1417" w:left="1417"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第</w:t>
    </w:r>
    <w:r>
      <w:fldChar w:fldCharType="begin"/>
    </w:r>
    <w:r>
      <w:instrText xml:space="preserve">PAGE   \* MERGEFORMAT</w:instrText>
    </w:r>
    <w:r>
      <w:fldChar w:fldCharType="separate"/>
    </w:r>
    <w:r>
      <w:rPr>
        <w:lang w:val="zh-CN"/>
      </w:rPr>
      <w:t>1</w:t>
    </w:r>
    <w:r>
      <w:fldChar w:fldCharType="end"/>
    </w:r>
    <w:r>
      <w:rPr>
        <w:rFonts w:hint="eastAsia"/>
      </w:rPr>
      <w:t>页共</w:t>
    </w:r>
    <w:r>
      <w:rPr>
        <w:rFonts w:hint="eastAsia"/>
        <w:lang w:val="en-US" w:eastAsia="zh-CN"/>
      </w:rPr>
      <w:t>8</w:t>
    </w:r>
    <w:bookmarkStart w:id="2" w:name="_GoBack"/>
    <w:bookmarkEnd w:id="2"/>
    <w:r>
      <w:rPr>
        <w:rFonts w:hint="eastAsia"/>
      </w:rPr>
      <w:t>页</w:t>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YTQ3NWU4ZjkzODA0ZDgyNTA4Yjk3YzJmMWRmMWUifQ=="/>
  </w:docVars>
  <w:rsids>
    <w:rsidRoot w:val="6831344F"/>
    <w:rsid w:val="00955194"/>
    <w:rsid w:val="032F3953"/>
    <w:rsid w:val="063264EB"/>
    <w:rsid w:val="0850687E"/>
    <w:rsid w:val="0BB73485"/>
    <w:rsid w:val="0CA47386"/>
    <w:rsid w:val="14394331"/>
    <w:rsid w:val="15D33773"/>
    <w:rsid w:val="15D550F8"/>
    <w:rsid w:val="173F0452"/>
    <w:rsid w:val="176C305A"/>
    <w:rsid w:val="17912096"/>
    <w:rsid w:val="187505B6"/>
    <w:rsid w:val="1A393818"/>
    <w:rsid w:val="1AD9759C"/>
    <w:rsid w:val="1BCF2401"/>
    <w:rsid w:val="1C14132C"/>
    <w:rsid w:val="1CCB42F0"/>
    <w:rsid w:val="1D2A27D8"/>
    <w:rsid w:val="1E2B0B0E"/>
    <w:rsid w:val="1E3A2CFA"/>
    <w:rsid w:val="1EA23F48"/>
    <w:rsid w:val="1F1628E1"/>
    <w:rsid w:val="1F1B3D62"/>
    <w:rsid w:val="215201D9"/>
    <w:rsid w:val="25CF57B4"/>
    <w:rsid w:val="26BA4467"/>
    <w:rsid w:val="26C60B92"/>
    <w:rsid w:val="288051AE"/>
    <w:rsid w:val="28AA37E2"/>
    <w:rsid w:val="28E05E0E"/>
    <w:rsid w:val="2AE40A83"/>
    <w:rsid w:val="2FB1678D"/>
    <w:rsid w:val="2FE51A74"/>
    <w:rsid w:val="315A0C39"/>
    <w:rsid w:val="31EF121C"/>
    <w:rsid w:val="32857972"/>
    <w:rsid w:val="34562342"/>
    <w:rsid w:val="37962C8D"/>
    <w:rsid w:val="3BD72C57"/>
    <w:rsid w:val="3C5E5B09"/>
    <w:rsid w:val="3CB6033F"/>
    <w:rsid w:val="3FB3156E"/>
    <w:rsid w:val="40D354C5"/>
    <w:rsid w:val="47555AD6"/>
    <w:rsid w:val="4B55679E"/>
    <w:rsid w:val="4F8703D2"/>
    <w:rsid w:val="54F97DB4"/>
    <w:rsid w:val="560C3AC8"/>
    <w:rsid w:val="57E11473"/>
    <w:rsid w:val="58992E6F"/>
    <w:rsid w:val="59033C70"/>
    <w:rsid w:val="5AB97822"/>
    <w:rsid w:val="5D95163A"/>
    <w:rsid w:val="5DE828D3"/>
    <w:rsid w:val="5ED63874"/>
    <w:rsid w:val="63923CAF"/>
    <w:rsid w:val="654E58DD"/>
    <w:rsid w:val="66844464"/>
    <w:rsid w:val="670F2970"/>
    <w:rsid w:val="6831344F"/>
    <w:rsid w:val="696E56B1"/>
    <w:rsid w:val="6B567573"/>
    <w:rsid w:val="6C216B78"/>
    <w:rsid w:val="6EFF42FD"/>
    <w:rsid w:val="706F0C62"/>
    <w:rsid w:val="70A04396"/>
    <w:rsid w:val="70DA0086"/>
    <w:rsid w:val="720C6738"/>
    <w:rsid w:val="72DC6AA4"/>
    <w:rsid w:val="7654095A"/>
    <w:rsid w:val="78ED4614"/>
    <w:rsid w:val="7A6209AC"/>
    <w:rsid w:val="7A6C7F1E"/>
    <w:rsid w:val="7AB154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pPr>
    <w:rPr>
      <w:kern w:val="2"/>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2855</Words>
  <Characters>3167</Characters>
  <Lines>0</Lines>
  <Paragraphs>0</Paragraphs>
  <TotalTime>2</TotalTime>
  <ScaleCrop>false</ScaleCrop>
  <LinksUpToDate>false</LinksUpToDate>
  <CharactersWithSpaces>3395</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2020-05-22T09:35:00Z</dcterms:created>
  <dc:creator>万丽</dc:creator>
  <cp:lastModifiedBy>Lee 先森</cp:lastModifiedBy>
  <dcterms:modified xsi:type="dcterms:W3CDTF">2025-06-03T01:39:04Z</dcterms:modified>
  <dc:title>东兴铝业有限公司嘉峪关分公司</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CF75BD0878234E558F7F8AAB5273139E_13</vt:lpwstr>
  </property>
  <property fmtid="{D5CDD505-2E9C-101B-9397-08002B2CF9AE}" pid="4" name="KSOTemplateDocerSaveRecord">
    <vt:lpwstr>eyJoZGlkIjoiZTc1MjlmNzYxY2JkN2MxNjgwMWRmZGZlMmQ3MWVjMWQiLCJ1c2VySWQiOiIzNjUwNDM3NDYifQ==</vt:lpwstr>
  </property>
</Properties>
</file>