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735" w:leftChars="350"/>
        <w:rPr>
          <w:rFonts w:hint="eastAsia" w:ascii="宋体"/>
          <w:b/>
          <w:sz w:val="44"/>
          <w:szCs w:val="44"/>
        </w:rPr>
      </w:pPr>
    </w:p>
    <w:p>
      <w:pPr>
        <w:autoSpaceDE w:val="0"/>
        <w:autoSpaceDN w:val="0"/>
        <w:spacing w:line="360" w:lineRule="auto"/>
        <w:ind w:left="735" w:leftChars="350"/>
        <w:rPr>
          <w:rFonts w:ascii="宋体"/>
          <w:b/>
          <w:sz w:val="44"/>
          <w:szCs w:val="44"/>
        </w:rPr>
      </w:pPr>
    </w:p>
    <w:p>
      <w:pPr>
        <w:spacing w:line="360" w:lineRule="auto"/>
        <w:jc w:val="center"/>
        <w:rPr>
          <w:rFonts w:ascii="宋体" w:hAnsi="宋体"/>
          <w:b/>
          <w:sz w:val="44"/>
          <w:szCs w:val="44"/>
        </w:rPr>
      </w:pPr>
    </w:p>
    <w:p>
      <w:pPr>
        <w:spacing w:line="360" w:lineRule="auto"/>
        <w:jc w:val="center"/>
        <w:rPr>
          <w:rFonts w:ascii="宋体" w:hAnsi="宋体"/>
          <w:b/>
          <w:sz w:val="44"/>
          <w:szCs w:val="44"/>
        </w:rPr>
      </w:pPr>
      <w:r>
        <w:rPr>
          <w:rFonts w:hint="eastAsia" w:ascii="华文中宋" w:hAnsi="华文中宋" w:eastAsia="华文中宋" w:cs="华文中宋"/>
          <w:b w:val="0"/>
          <w:bCs/>
          <w:sz w:val="44"/>
          <w:szCs w:val="44"/>
        </w:rPr>
        <w:t>甘肃</w:t>
      </w:r>
      <w:r>
        <w:rPr>
          <w:rFonts w:hint="eastAsia" w:ascii="华文中宋" w:hAnsi="华文中宋" w:eastAsia="华文中宋" w:cs="华文中宋"/>
          <w:b w:val="0"/>
          <w:bCs/>
          <w:sz w:val="44"/>
          <w:szCs w:val="44"/>
          <w:lang w:eastAsia="zh-CN"/>
        </w:rPr>
        <w:t>东兴铝业</w:t>
      </w:r>
      <w:r>
        <w:rPr>
          <w:rFonts w:hint="eastAsia" w:ascii="华文中宋" w:hAnsi="华文中宋" w:eastAsia="华文中宋" w:cs="华文中宋"/>
          <w:b w:val="0"/>
          <w:bCs/>
          <w:sz w:val="44"/>
          <w:szCs w:val="44"/>
        </w:rPr>
        <w:t>有限公司</w:t>
      </w:r>
      <w:r>
        <w:rPr>
          <w:rFonts w:hint="eastAsia" w:ascii="华文中宋" w:hAnsi="华文中宋" w:eastAsia="华文中宋" w:cs="华文中宋"/>
          <w:b w:val="0"/>
          <w:bCs/>
          <w:sz w:val="44"/>
          <w:szCs w:val="44"/>
          <w:lang w:eastAsia="zh-CN"/>
        </w:rPr>
        <w:t>嘉峪关分公司</w:t>
      </w: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both"/>
        <w:rPr>
          <w:rFonts w:ascii="宋体" w:hAnsi="宋体"/>
          <w:b/>
          <w:sz w:val="36"/>
          <w:szCs w:val="36"/>
        </w:rPr>
      </w:pPr>
    </w:p>
    <w:p>
      <w:pPr>
        <w:spacing w:line="360" w:lineRule="auto"/>
        <w:jc w:val="center"/>
        <w:rPr>
          <w:rFonts w:hint="eastAsia" w:ascii="宋体" w:hAnsi="宋体"/>
          <w:b/>
          <w:sz w:val="36"/>
          <w:szCs w:val="36"/>
          <w:lang w:eastAsia="zh-CN"/>
        </w:rPr>
      </w:pPr>
      <w:r>
        <w:rPr>
          <w:rFonts w:hint="eastAsia" w:ascii="宋体" w:hAnsi="宋体"/>
          <w:b/>
          <w:sz w:val="36"/>
          <w:szCs w:val="36"/>
        </w:rPr>
        <w:t>动力一作业区</w:t>
      </w:r>
      <w:r>
        <w:rPr>
          <w:rFonts w:hint="eastAsia" w:ascii="宋体" w:hAnsi="宋体"/>
          <w:b/>
          <w:sz w:val="36"/>
          <w:szCs w:val="36"/>
          <w:lang w:eastAsia="zh-CN"/>
        </w:rPr>
        <w:t>消防泵</w:t>
      </w:r>
    </w:p>
    <w:p>
      <w:pPr>
        <w:spacing w:line="360" w:lineRule="auto"/>
        <w:jc w:val="center"/>
        <w:rPr>
          <w:rFonts w:ascii="宋体" w:hAnsi="宋体"/>
          <w:b/>
          <w:sz w:val="36"/>
          <w:szCs w:val="36"/>
        </w:rPr>
      </w:pPr>
      <w:r>
        <w:rPr>
          <w:rFonts w:hint="eastAsia" w:ascii="宋体" w:hAnsi="宋体"/>
          <w:b/>
          <w:sz w:val="36"/>
          <w:szCs w:val="36"/>
        </w:rPr>
        <w:t>供货技术规格书</w:t>
      </w:r>
    </w:p>
    <w:p>
      <w:pPr>
        <w:widowControl/>
        <w:spacing w:line="360" w:lineRule="auto"/>
        <w:rPr>
          <w:rFonts w:ascii="宋体" w:hAnsi="宋体"/>
          <w:b/>
          <w:sz w:val="36"/>
          <w:szCs w:val="36"/>
        </w:rPr>
      </w:pPr>
    </w:p>
    <w:p>
      <w:pPr>
        <w:widowControl/>
        <w:spacing w:line="360" w:lineRule="auto"/>
        <w:rPr>
          <w:rFonts w:ascii="宋体" w:hAnsi="宋体"/>
          <w:b/>
          <w:sz w:val="36"/>
          <w:szCs w:val="36"/>
        </w:rPr>
      </w:pPr>
    </w:p>
    <w:p>
      <w:pPr>
        <w:widowControl/>
        <w:spacing w:line="360" w:lineRule="auto"/>
        <w:jc w:val="center"/>
        <w:rPr>
          <w:rFonts w:ascii="宋体" w:hAnsi="宋体"/>
          <w:b/>
          <w:sz w:val="36"/>
          <w:szCs w:val="36"/>
        </w:rPr>
      </w:pPr>
    </w:p>
    <w:p>
      <w:pPr>
        <w:widowControl/>
        <w:spacing w:line="360" w:lineRule="auto"/>
        <w:jc w:val="center"/>
        <w:rPr>
          <w:rFonts w:ascii="宋体" w:hAnsi="宋体"/>
          <w:b/>
          <w:sz w:val="36"/>
          <w:szCs w:val="36"/>
        </w:rPr>
      </w:pPr>
    </w:p>
    <w:p>
      <w:pPr>
        <w:widowControl/>
        <w:spacing w:line="360" w:lineRule="auto"/>
        <w:jc w:val="center"/>
        <w:rPr>
          <w:rFonts w:ascii="宋体" w:hAnsi="宋体"/>
          <w:b/>
          <w:sz w:val="36"/>
          <w:szCs w:val="36"/>
        </w:rPr>
      </w:pPr>
    </w:p>
    <w:p>
      <w:pPr>
        <w:ind w:firstLine="1285" w:firstLineChars="400"/>
        <w:rPr>
          <w:rFonts w:ascii="宋体" w:hAnsi="宋体"/>
          <w:b/>
          <w:sz w:val="32"/>
          <w:szCs w:val="32"/>
        </w:rPr>
      </w:pPr>
    </w:p>
    <w:p>
      <w:pPr>
        <w:ind w:firstLine="1285" w:firstLineChars="400"/>
        <w:rPr>
          <w:rFonts w:ascii="宋体" w:hAnsi="宋体"/>
          <w:b/>
          <w:sz w:val="32"/>
          <w:szCs w:val="32"/>
        </w:rPr>
      </w:pPr>
    </w:p>
    <w:p>
      <w:pPr>
        <w:ind w:firstLine="1285" w:firstLineChars="400"/>
        <w:rPr>
          <w:rFonts w:ascii="宋体" w:hAnsi="宋体"/>
          <w:b/>
          <w:sz w:val="32"/>
          <w:szCs w:val="32"/>
        </w:rPr>
      </w:pPr>
    </w:p>
    <w:p>
      <w:pPr>
        <w:ind w:firstLine="1285" w:firstLineChars="400"/>
        <w:rPr>
          <w:rFonts w:ascii="宋体" w:eastAsia="仿宋_GB2312"/>
          <w:sz w:val="32"/>
          <w:szCs w:val="32"/>
        </w:rPr>
      </w:pPr>
      <w:r>
        <w:rPr>
          <w:rFonts w:hint="eastAsia" w:ascii="宋体" w:hAnsi="宋体"/>
          <w:b/>
          <w:sz w:val="32"/>
          <w:szCs w:val="32"/>
        </w:rPr>
        <w:t>甲方：</w:t>
      </w:r>
      <w:r>
        <w:rPr>
          <w:rFonts w:hint="eastAsia" w:ascii="仿宋_GB2312" w:hAnsi="仿宋_GB2312" w:eastAsia="仿宋_GB2312"/>
          <w:b/>
          <w:snapToGrid w:val="0"/>
          <w:kern w:val="28"/>
          <w:sz w:val="36"/>
          <w:szCs w:val="36"/>
        </w:rPr>
        <w:t>甘肃东兴铝业有限公司嘉峪关分公司</w:t>
      </w:r>
    </w:p>
    <w:p>
      <w:pPr>
        <w:widowControl/>
        <w:spacing w:line="360" w:lineRule="auto"/>
        <w:ind w:firstLine="1285" w:firstLineChars="400"/>
        <w:jc w:val="left"/>
        <w:rPr>
          <w:rFonts w:ascii="宋体" w:hAnsi="宋体"/>
          <w:b/>
          <w:sz w:val="36"/>
          <w:szCs w:val="36"/>
        </w:rPr>
      </w:pPr>
      <w:r>
        <w:rPr>
          <w:rFonts w:hint="eastAsia" w:ascii="宋体" w:hAnsi="宋体"/>
          <w:b/>
          <w:sz w:val="32"/>
          <w:szCs w:val="32"/>
        </w:rPr>
        <w:t>乙方：</w:t>
      </w:r>
    </w:p>
    <w:p>
      <w:pPr>
        <w:spacing w:line="360" w:lineRule="auto"/>
        <w:rPr>
          <w:rFonts w:ascii="宋体"/>
          <w:b/>
          <w:sz w:val="36"/>
          <w:szCs w:val="36"/>
        </w:rPr>
      </w:pPr>
    </w:p>
    <w:p/>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snapToGrid w:val="0"/>
          <w:color w:val="000000"/>
          <w:kern w:val="0"/>
          <w:sz w:val="32"/>
          <w:szCs w:val="32"/>
          <w:u w:val="none"/>
          <w:lang w:eastAsia="en-US"/>
        </w:rPr>
      </w:pPr>
      <w:r>
        <w:rPr>
          <w:rFonts w:hint="eastAsia" w:ascii="仿宋_GB2312" w:hAnsi="仿宋_GB2312" w:eastAsia="仿宋_GB2312" w:cs="仿宋_GB2312"/>
          <w:sz w:val="28"/>
          <w:szCs w:val="28"/>
          <w:u w:val="single"/>
        </w:rPr>
        <w:t>甘肃东兴铝业有限公司嘉峪关分公司</w:t>
      </w:r>
      <w:r>
        <w:rPr>
          <w:rFonts w:hint="eastAsia" w:ascii="仿宋_GB2312" w:hAnsi="仿宋_GB2312" w:eastAsia="仿宋_GB2312" w:cs="仿宋_GB2312"/>
          <w:sz w:val="28"/>
          <w:szCs w:val="28"/>
        </w:rPr>
        <w:t>（以下简称甲方）与</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(以</w:t>
      </w:r>
      <w:r>
        <w:rPr>
          <w:rFonts w:hint="eastAsia" w:ascii="仿宋_GB2312" w:hAnsi="仿宋_GB2312" w:eastAsia="仿宋_GB2312" w:cs="仿宋_GB2312"/>
          <w:sz w:val="28"/>
          <w:szCs w:val="28"/>
          <w:lang w:eastAsia="en-US"/>
        </w:rPr>
        <w:t>下简称乙方）就甲方</w:t>
      </w:r>
      <w:r>
        <w:rPr>
          <w:rFonts w:hint="eastAsia" w:ascii="仿宋_GB2312" w:hAnsi="仿宋_GB2312" w:eastAsia="仿宋_GB2312" w:cs="仿宋_GB2312"/>
          <w:sz w:val="28"/>
          <w:szCs w:val="28"/>
          <w:lang w:val="en-US" w:eastAsia="zh-CN"/>
        </w:rPr>
        <w:t>消防泵</w:t>
      </w:r>
      <w:r>
        <w:rPr>
          <w:rFonts w:hint="eastAsia" w:ascii="仿宋_GB2312" w:hAnsi="仿宋_GB2312" w:eastAsia="仿宋_GB2312" w:cs="仿宋_GB2312"/>
          <w:sz w:val="28"/>
          <w:szCs w:val="28"/>
          <w:lang w:eastAsia="en-US"/>
        </w:rPr>
        <w:t>采购经双方协商，达成如下</w:t>
      </w:r>
      <w:r>
        <w:rPr>
          <w:rFonts w:hint="eastAsia" w:ascii="仿宋_GB2312" w:hAnsi="仿宋_GB2312" w:eastAsia="仿宋_GB2312" w:cs="仿宋_GB2312"/>
          <w:sz w:val="28"/>
          <w:szCs w:val="28"/>
          <w:lang w:eastAsia="zh-CN"/>
        </w:rPr>
        <w:t>技术规格书</w:t>
      </w:r>
      <w:r>
        <w:rPr>
          <w:rFonts w:hint="eastAsia" w:ascii="仿宋_GB2312" w:hAnsi="仿宋_GB2312" w:eastAsia="仿宋_GB2312" w:cs="仿宋_GB2312"/>
          <w:sz w:val="28"/>
          <w:szCs w:val="28"/>
          <w:lang w:eastAsia="en-US"/>
        </w:rPr>
        <w:t>：</w:t>
      </w:r>
    </w:p>
    <w:p>
      <w:pPr>
        <w:spacing w:line="360" w:lineRule="auto"/>
        <w:outlineLvl w:val="0"/>
        <w:rPr>
          <w:rFonts w:hint="eastAsia" w:ascii="仿宋_GB2312" w:hAnsi="仿宋_GB2312" w:eastAsia="仿宋_GB2312" w:cs="仿宋_GB2312"/>
          <w:b/>
          <w:sz w:val="32"/>
          <w:szCs w:val="32"/>
          <w:u w:val="none"/>
        </w:rPr>
      </w:pPr>
      <w:r>
        <w:rPr>
          <w:rFonts w:hint="eastAsia" w:ascii="仿宋_GB2312" w:hAnsi="仿宋_GB2312" w:eastAsia="仿宋_GB2312" w:cs="仿宋_GB2312"/>
          <w:b/>
          <w:sz w:val="32"/>
          <w:szCs w:val="32"/>
          <w:u w:val="none"/>
        </w:rPr>
        <w:t>附件一  总则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eastAsia="en-US"/>
        </w:rPr>
        <w:t>本</w:t>
      </w:r>
      <w:r>
        <w:rPr>
          <w:rFonts w:hint="eastAsia" w:ascii="仿宋_GB2312" w:hAnsi="仿宋_GB2312" w:eastAsia="仿宋_GB2312" w:cs="仿宋_GB2312"/>
          <w:sz w:val="28"/>
          <w:szCs w:val="28"/>
          <w:lang w:eastAsia="zh-CN"/>
        </w:rPr>
        <w:t>技术规格书</w:t>
      </w:r>
      <w:r>
        <w:rPr>
          <w:rFonts w:hint="eastAsia" w:ascii="仿宋_GB2312" w:hAnsi="仿宋_GB2312" w:eastAsia="仿宋_GB2312" w:cs="仿宋_GB2312"/>
          <w:sz w:val="28"/>
          <w:szCs w:val="28"/>
          <w:lang w:eastAsia="en-US"/>
        </w:rPr>
        <w:t>作为甲方设备订货合同的附件，与订货合同同时生效，具有同等法律效力。合同执行期间双方再协商形成的补充协议和追加条款也具有同等法律效力。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 xml:space="preserve">1.1 </w:t>
      </w:r>
      <w:r>
        <w:rPr>
          <w:rFonts w:hint="eastAsia" w:ascii="仿宋_GB2312" w:hAnsi="仿宋_GB2312" w:eastAsia="仿宋_GB2312" w:cs="仿宋_GB2312"/>
          <w:sz w:val="28"/>
          <w:szCs w:val="28"/>
          <w:lang w:eastAsia="en-US"/>
        </w:rPr>
        <w:t>本</w:t>
      </w:r>
      <w:r>
        <w:rPr>
          <w:rFonts w:hint="eastAsia" w:ascii="仿宋_GB2312" w:hAnsi="仿宋_GB2312" w:eastAsia="仿宋_GB2312" w:cs="仿宋_GB2312"/>
          <w:sz w:val="28"/>
          <w:szCs w:val="28"/>
          <w:lang w:eastAsia="zh-CN"/>
        </w:rPr>
        <w:t>技术规格书</w:t>
      </w:r>
      <w:r>
        <w:rPr>
          <w:rFonts w:hint="eastAsia" w:ascii="仿宋_GB2312" w:hAnsi="仿宋_GB2312" w:eastAsia="仿宋_GB2312" w:cs="仿宋_GB2312"/>
          <w:sz w:val="28"/>
          <w:szCs w:val="28"/>
          <w:lang w:eastAsia="en-US"/>
        </w:rPr>
        <w:t>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 xml:space="preserve">1.2 </w:t>
      </w:r>
      <w:r>
        <w:rPr>
          <w:rFonts w:hint="eastAsia" w:ascii="仿宋_GB2312" w:hAnsi="仿宋_GB2312" w:eastAsia="仿宋_GB2312" w:cs="仿宋_GB2312"/>
          <w:sz w:val="28"/>
          <w:szCs w:val="28"/>
          <w:lang w:eastAsia="en-US"/>
        </w:rPr>
        <w:t>乙方提供的设备必须具有国内同行业近几年内的先进制造水平，采用先进工艺，合格材料，成熟的技术或专利技术。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 xml:space="preserve">1.3 </w:t>
      </w:r>
      <w:r>
        <w:rPr>
          <w:rFonts w:hint="eastAsia" w:ascii="仿宋_GB2312" w:hAnsi="仿宋_GB2312" w:eastAsia="仿宋_GB2312" w:cs="仿宋_GB2312"/>
          <w:sz w:val="28"/>
          <w:szCs w:val="28"/>
          <w:lang w:eastAsia="en-US"/>
        </w:rPr>
        <w:t>乙方提供的设备必须是全新、规范、先进的高质量可靠产品，能够确保连续稳定的工作。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 xml:space="preserve">1.4 </w:t>
      </w:r>
      <w:r>
        <w:rPr>
          <w:rFonts w:hint="eastAsia" w:ascii="仿宋_GB2312" w:hAnsi="仿宋_GB2312" w:eastAsia="仿宋_GB2312" w:cs="仿宋_GB2312"/>
          <w:sz w:val="28"/>
          <w:szCs w:val="28"/>
          <w:lang w:eastAsia="en-US"/>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 xml:space="preserve">1.5 </w:t>
      </w:r>
      <w:r>
        <w:rPr>
          <w:rFonts w:hint="eastAsia" w:ascii="仿宋_GB2312" w:hAnsi="仿宋_GB2312" w:eastAsia="仿宋_GB2312" w:cs="仿宋_GB2312"/>
          <w:sz w:val="28"/>
          <w:szCs w:val="28"/>
          <w:lang w:eastAsia="en-US"/>
        </w:rPr>
        <w:t>乙方须对设备设计的完整性、合理性和设计质量承担全部责任。保证设备满足系统工艺要求。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en-US"/>
        </w:rPr>
      </w:pPr>
      <w:r>
        <w:rPr>
          <w:rFonts w:hint="eastAsia" w:ascii="仿宋_GB2312" w:hAnsi="仿宋_GB2312" w:eastAsia="仿宋_GB2312" w:cs="仿宋_GB2312"/>
          <w:sz w:val="28"/>
          <w:szCs w:val="28"/>
          <w:lang w:val="en-US" w:eastAsia="zh-CN"/>
        </w:rPr>
        <w:t xml:space="preserve">1.6 </w:t>
      </w:r>
      <w:r>
        <w:rPr>
          <w:rFonts w:hint="eastAsia" w:ascii="仿宋_GB2312" w:hAnsi="仿宋_GB2312" w:eastAsia="仿宋_GB2312" w:cs="仿宋_GB2312"/>
          <w:sz w:val="28"/>
          <w:szCs w:val="28"/>
          <w:lang w:val="en-US" w:eastAsia="en-US"/>
        </w:rPr>
        <w:t>乙方在合同货物制造中，发生侵犯专利的行为时其侵权责任与甲方无关。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en-US"/>
        </w:rPr>
      </w:pPr>
      <w:r>
        <w:rPr>
          <w:rFonts w:hint="eastAsia" w:ascii="仿宋_GB2312" w:hAnsi="仿宋_GB2312" w:eastAsia="仿宋_GB2312" w:cs="仿宋_GB2312"/>
          <w:sz w:val="28"/>
          <w:szCs w:val="28"/>
          <w:lang w:val="en-US" w:eastAsia="zh-CN"/>
        </w:rPr>
        <w:t>1.7 乙方负责对消防泵设备的现场指导安装、调试，由于安装不合质量要求，造成的责任及损失由乙方负责。</w:t>
      </w:r>
    </w:p>
    <w:p>
      <w:pPr>
        <w:spacing w:line="360" w:lineRule="auto"/>
        <w:outlineLvl w:val="0"/>
        <w:rPr>
          <w:rFonts w:hint="eastAsia" w:ascii="仿宋_GB2312" w:hAnsi="仿宋_GB2312" w:eastAsia="仿宋_GB2312" w:cs="仿宋_GB2312"/>
          <w:b/>
          <w:sz w:val="32"/>
          <w:szCs w:val="32"/>
          <w:u w:val="none"/>
          <w:lang w:eastAsia="en-US"/>
        </w:rPr>
      </w:pPr>
      <w:r>
        <w:rPr>
          <w:rFonts w:hint="eastAsia" w:ascii="仿宋_GB2312" w:hAnsi="仿宋_GB2312" w:eastAsia="仿宋_GB2312" w:cs="仿宋_GB2312"/>
          <w:b/>
          <w:sz w:val="32"/>
          <w:szCs w:val="32"/>
          <w:u w:val="none"/>
          <w:lang w:eastAsia="en-US"/>
        </w:rPr>
        <w:t>附件二 制造要求</w:t>
      </w:r>
    </w:p>
    <w:p>
      <w:pPr>
        <w:spacing w:line="360" w:lineRule="auto"/>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设备主要性能参数及设备描述：</w:t>
      </w:r>
    </w:p>
    <w:tbl>
      <w:tblPr>
        <w:tblStyle w:val="4"/>
        <w:tblW w:w="8283" w:type="dxa"/>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2941"/>
        <w:gridCol w:w="5342"/>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941" w:type="dxa"/>
            <w:noWrap w:val="0"/>
            <w:vAlign w:val="center"/>
          </w:tcPr>
          <w:p>
            <w:pPr>
              <w:spacing w:line="300" w:lineRule="exact"/>
              <w:jc w:val="center"/>
              <w:rPr>
                <w:rFonts w:hint="eastAsia" w:ascii="宋体" w:hAnsi="宋体" w:eastAsia="宋体" w:cs="宋体"/>
                <w:b/>
                <w:bCs/>
                <w:kern w:val="2"/>
                <w:sz w:val="20"/>
                <w:szCs w:val="20"/>
              </w:rPr>
            </w:pPr>
            <w:r>
              <w:rPr>
                <w:rFonts w:hint="eastAsia" w:ascii="宋体" w:hAnsi="宋体" w:eastAsia="宋体" w:cs="宋体"/>
                <w:b/>
                <w:bCs/>
                <w:kern w:val="2"/>
                <w:sz w:val="20"/>
                <w:szCs w:val="20"/>
              </w:rPr>
              <w:t>技术指标</w:t>
            </w:r>
          </w:p>
        </w:tc>
        <w:tc>
          <w:tcPr>
            <w:tcW w:w="5342" w:type="dxa"/>
            <w:noWrap w:val="0"/>
            <w:vAlign w:val="bottom"/>
          </w:tcPr>
          <w:p>
            <w:pPr>
              <w:spacing w:line="400" w:lineRule="exact"/>
              <w:jc w:val="center"/>
              <w:rPr>
                <w:rFonts w:hint="eastAsia" w:ascii="宋体" w:hAnsi="宋体" w:eastAsia="宋体" w:cs="宋体"/>
                <w:b/>
                <w:bCs/>
                <w:kern w:val="2"/>
                <w:sz w:val="20"/>
                <w:szCs w:val="20"/>
              </w:rPr>
            </w:pPr>
            <w:r>
              <w:rPr>
                <w:rFonts w:hint="eastAsia" w:ascii="宋体" w:hAnsi="宋体" w:eastAsia="宋体" w:cs="宋体"/>
                <w:b/>
                <w:bCs/>
                <w:kern w:val="2"/>
                <w:sz w:val="20"/>
                <w:szCs w:val="20"/>
              </w:rPr>
              <w:t>参数</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名称</w:t>
            </w:r>
          </w:p>
        </w:tc>
        <w:tc>
          <w:tcPr>
            <w:tcW w:w="5342" w:type="dxa"/>
            <w:noWrap w:val="0"/>
            <w:vAlign w:val="center"/>
          </w:tcPr>
          <w:p>
            <w:pPr>
              <w:jc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消防泵</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额定转速</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2960r/min</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额定电压</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380V</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功率</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55kw</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扬程</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60m</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流量</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60L/s</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电机效率</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94.7</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重量</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790Kg</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电机型号及能效等级</w:t>
            </w:r>
          </w:p>
        </w:tc>
        <w:tc>
          <w:tcPr>
            <w:tcW w:w="5342" w:type="dxa"/>
            <w:noWrap w:val="0"/>
            <w:vAlign w:val="center"/>
          </w:tcPr>
          <w:p>
            <w:pPr>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YE5-250M-2一级能效</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使用场所</w:t>
            </w:r>
          </w:p>
        </w:tc>
        <w:tc>
          <w:tcPr>
            <w:tcW w:w="5342" w:type="dxa"/>
            <w:noWrap w:val="0"/>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动力一作业区全厂加压泵房消防泵</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outlineLvl w:val="0"/>
        <w:rPr>
          <w:rFonts w:hint="eastAsia" w:ascii="仿宋_GB2312" w:hAnsi="仿宋_GB2312" w:eastAsia="仿宋_GB2312" w:cs="仿宋_GB2312"/>
          <w:b/>
          <w:spacing w:val="-4"/>
          <w:kern w:val="28"/>
          <w:sz w:val="32"/>
          <w:szCs w:val="32"/>
        </w:rPr>
      </w:pPr>
      <w:r>
        <w:rPr>
          <w:rFonts w:hint="eastAsia" w:ascii="仿宋_GB2312" w:hAnsi="仿宋_GB2312" w:eastAsia="仿宋_GB2312" w:cs="仿宋_GB2312"/>
          <w:b/>
          <w:spacing w:val="-4"/>
          <w:kern w:val="28"/>
          <w:sz w:val="32"/>
          <w:szCs w:val="32"/>
        </w:rPr>
        <w:t>附件三  供货范围</w:t>
      </w:r>
    </w:p>
    <w:tbl>
      <w:tblPr>
        <w:tblStyle w:val="4"/>
        <w:tblW w:w="8280" w:type="dxa"/>
        <w:tblInd w:w="497" w:type="dxa"/>
        <w:tblLayout w:type="fixed"/>
        <w:tblCellMar>
          <w:top w:w="0" w:type="dxa"/>
          <w:left w:w="108" w:type="dxa"/>
          <w:bottom w:w="0" w:type="dxa"/>
          <w:right w:w="108" w:type="dxa"/>
        </w:tblCellMar>
      </w:tblPr>
      <w:tblGrid>
        <w:gridCol w:w="765"/>
        <w:gridCol w:w="2039"/>
        <w:gridCol w:w="2296"/>
        <w:gridCol w:w="795"/>
        <w:gridCol w:w="960"/>
        <w:gridCol w:w="675"/>
        <w:gridCol w:w="750"/>
      </w:tblGrid>
      <w:tr>
        <w:tblPrEx>
          <w:tblCellMar>
            <w:top w:w="0" w:type="dxa"/>
            <w:left w:w="108" w:type="dxa"/>
            <w:bottom w:w="0" w:type="dxa"/>
            <w:right w:w="108" w:type="dxa"/>
          </w:tblCellMar>
        </w:tblPrEx>
        <w:trPr>
          <w:trHeight w:val="285" w:hRule="atLeast"/>
        </w:trPr>
        <w:tc>
          <w:tcPr>
            <w:tcW w:w="765"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序号</w:t>
            </w:r>
          </w:p>
        </w:tc>
        <w:tc>
          <w:tcPr>
            <w:tcW w:w="2039"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物料编码</w:t>
            </w:r>
          </w:p>
        </w:tc>
        <w:tc>
          <w:tcPr>
            <w:tcW w:w="2296"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物料描述</w:t>
            </w:r>
          </w:p>
        </w:tc>
        <w:tc>
          <w:tcPr>
            <w:tcW w:w="795"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数量</w:t>
            </w:r>
          </w:p>
        </w:tc>
        <w:tc>
          <w:tcPr>
            <w:tcW w:w="9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单位</w:t>
            </w:r>
          </w:p>
        </w:tc>
        <w:tc>
          <w:tcPr>
            <w:tcW w:w="1425" w:type="dxa"/>
            <w:gridSpan w:val="2"/>
            <w:tcBorders>
              <w:top w:val="single" w:color="auto" w:sz="4" w:space="0"/>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总质量（kg）</w:t>
            </w:r>
          </w:p>
        </w:tc>
      </w:tr>
      <w:tr>
        <w:tblPrEx>
          <w:tblCellMar>
            <w:top w:w="0" w:type="dxa"/>
            <w:left w:w="108" w:type="dxa"/>
            <w:bottom w:w="0" w:type="dxa"/>
            <w:right w:w="108" w:type="dxa"/>
          </w:tblCellMar>
        </w:tblPrEx>
        <w:trPr>
          <w:trHeight w:val="285" w:hRule="atLeast"/>
        </w:trPr>
        <w:tc>
          <w:tcPr>
            <w:tcW w:w="76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20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229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79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96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675" w:type="dxa"/>
            <w:tcBorders>
              <w:top w:val="nil"/>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单重</w:t>
            </w:r>
          </w:p>
        </w:tc>
        <w:tc>
          <w:tcPr>
            <w:tcW w:w="750" w:type="dxa"/>
            <w:tcBorders>
              <w:top w:val="nil"/>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总重</w:t>
            </w:r>
          </w:p>
        </w:tc>
      </w:tr>
      <w:tr>
        <w:tblPrEx>
          <w:tblCellMar>
            <w:top w:w="0" w:type="dxa"/>
            <w:left w:w="108" w:type="dxa"/>
            <w:bottom w:w="0" w:type="dxa"/>
            <w:right w:w="108" w:type="dxa"/>
          </w:tblCellMar>
        </w:tblPrEx>
        <w:trPr>
          <w:trHeight w:val="1229" w:hRule="atLeast"/>
        </w:trPr>
        <w:tc>
          <w:tcPr>
            <w:tcW w:w="765" w:type="dxa"/>
            <w:tcBorders>
              <w:top w:val="nil"/>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1"/>
                <w:szCs w:val="21"/>
              </w:rPr>
            </w:pPr>
            <w:r>
              <w:rPr>
                <w:rFonts w:ascii="宋体" w:hAnsi="宋体" w:cs="宋体"/>
                <w:sz w:val="21"/>
                <w:szCs w:val="21"/>
              </w:rPr>
              <w:t>1</w:t>
            </w:r>
          </w:p>
        </w:tc>
        <w:tc>
          <w:tcPr>
            <w:tcW w:w="203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70409644</w:t>
            </w:r>
            <w:bookmarkStart w:id="2" w:name="_GoBack"/>
            <w:bookmarkEnd w:id="2"/>
          </w:p>
        </w:tc>
        <w:tc>
          <w:tcPr>
            <w:tcW w:w="2296"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sz w:val="21"/>
                <w:szCs w:val="21"/>
                <w:lang w:val="en-US" w:eastAsia="zh-CN"/>
              </w:rPr>
              <w:t>全流量无过载消防泵（含电机）\60L/s 60m 卧式离心泵 1台电动机 55KW一级能效 叶轮304 壳铸铁</w:t>
            </w:r>
          </w:p>
        </w:tc>
        <w:tc>
          <w:tcPr>
            <w:tcW w:w="795"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96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套</w:t>
            </w:r>
          </w:p>
        </w:tc>
        <w:tc>
          <w:tcPr>
            <w:tcW w:w="675" w:type="dxa"/>
            <w:tcBorders>
              <w:top w:val="nil"/>
              <w:left w:val="nil"/>
              <w:bottom w:val="single" w:color="auto" w:sz="4" w:space="0"/>
              <w:right w:val="single" w:color="auto" w:sz="4" w:space="0"/>
            </w:tcBorders>
            <w:noWrap/>
            <w:vAlign w:val="center"/>
          </w:tcPr>
          <w:p>
            <w:pPr>
              <w:spacing w:line="360" w:lineRule="auto"/>
              <w:jc w:val="center"/>
              <w:rPr>
                <w:rFonts w:hint="default" w:ascii="宋体" w:hAnsi="宋体" w:cs="宋体" w:eastAsiaTheme="minorEastAsia"/>
                <w:sz w:val="21"/>
                <w:szCs w:val="21"/>
                <w:lang w:val="en-US" w:eastAsia="zh-CN"/>
              </w:rPr>
            </w:pPr>
            <w:r>
              <w:rPr>
                <w:rFonts w:hint="eastAsia" w:ascii="宋体" w:hAnsi="宋体" w:cs="宋体"/>
                <w:sz w:val="21"/>
                <w:szCs w:val="21"/>
                <w:lang w:val="en-US" w:eastAsia="zh-CN"/>
              </w:rPr>
              <w:t>790</w:t>
            </w:r>
          </w:p>
        </w:tc>
        <w:tc>
          <w:tcPr>
            <w:tcW w:w="750" w:type="dxa"/>
            <w:tcBorders>
              <w:top w:val="nil"/>
              <w:left w:val="nil"/>
              <w:bottom w:val="single" w:color="auto" w:sz="4" w:space="0"/>
              <w:right w:val="single" w:color="auto" w:sz="4" w:space="0"/>
            </w:tcBorders>
            <w:noWrap/>
            <w:vAlign w:val="center"/>
          </w:tcPr>
          <w:p>
            <w:pPr>
              <w:spacing w:line="360" w:lineRule="auto"/>
              <w:jc w:val="center"/>
              <w:rPr>
                <w:rFonts w:hint="default" w:ascii="宋体" w:hAnsi="宋体" w:cs="宋体" w:eastAsiaTheme="minorEastAsia"/>
                <w:sz w:val="21"/>
                <w:szCs w:val="21"/>
                <w:lang w:val="en-US" w:eastAsia="zh-CN"/>
              </w:rPr>
            </w:pPr>
            <w:r>
              <w:rPr>
                <w:rFonts w:hint="eastAsia" w:ascii="宋体" w:hAnsi="宋体" w:cs="宋体"/>
                <w:sz w:val="21"/>
                <w:szCs w:val="21"/>
                <w:lang w:val="en-US" w:eastAsia="zh-CN"/>
              </w:rPr>
              <w:t>1580</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outlineLvl w:val="0"/>
        <w:rPr>
          <w:rFonts w:hint="eastAsia" w:ascii="仿宋_GB2312" w:hAnsi="仿宋_GB2312" w:eastAsia="仿宋_GB2312" w:cs="仿宋_GB2312"/>
          <w:b/>
          <w:spacing w:val="-4"/>
          <w:kern w:val="28"/>
          <w:sz w:val="32"/>
          <w:szCs w:val="32"/>
          <w:lang w:val="en-US" w:eastAsia="zh-CN"/>
        </w:rPr>
      </w:pPr>
      <w:r>
        <w:rPr>
          <w:rFonts w:hint="eastAsia" w:ascii="仿宋_GB2312" w:hAnsi="仿宋_GB2312" w:eastAsia="仿宋_GB2312" w:cs="仿宋_GB2312"/>
          <w:b/>
          <w:spacing w:val="-4"/>
          <w:kern w:val="28"/>
          <w:sz w:val="32"/>
          <w:szCs w:val="32"/>
        </w:rPr>
        <w:t>附件四</w:t>
      </w:r>
      <w:r>
        <w:rPr>
          <w:rFonts w:hint="eastAsia" w:ascii="仿宋_GB2312" w:hAnsi="仿宋_GB2312" w:eastAsia="仿宋_GB2312" w:cs="仿宋_GB2312"/>
          <w:b/>
          <w:spacing w:val="-4"/>
          <w:kern w:val="28"/>
          <w:sz w:val="32"/>
          <w:szCs w:val="32"/>
          <w:lang w:val="en-US" w:eastAsia="zh-CN"/>
        </w:rPr>
        <w:t xml:space="preserve">  具体要求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 乙方提供的全流量无过载消防泵、电机均按最新标准设计和制造，在系统正常合理工况下能满足安全和持续运行的要求。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 设备零部件均采用先进、可靠的加工制造技术，并有良好的表面几何形状及合适的公差配合。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4.3 水泵能满足在各种允许运行工况下平稳、安全地输送介质。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4.4 投标方确定泵的允许工作范围，并绘出性能曲线（扬程、效率、轴功率、汽蚀余量与流量的关系曲线）。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4.5 泵在技术规范要求的各种工况下运行时，水泵流量、扬程和效率等性能，都应予以保证，且无负偏差。流量在额定值时，扬程偏差符合行业标准和国标。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4.7 泵的振动在无汽蚀运转条件下测量，轴承处的振动值满足国家标准和规范要求，即轴承在各方向振动（双向振幅）值不大于0.03mm。</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4.8 同规格型号泵的所有部件和备品备件、专用工具能够相互替换。</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4.9 泵所配的电动机采用优质节能产品，达到一级能效等级。电气设备应符合IEC529标准，电动机性能应满足相关章节要求。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4.10 泵受压的壳体，包括轴封和填料压盖等能够承受规定的工作压力和环境温度下的水压试验压力。承受压力的元件应按工作压力的1.5倍作水压试验。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4.11 泵轴有足够的刚性，在计算确定挠度时，不应考虑机封的支撑作用。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4.12 运行时，水泵滚动轴承的温度不高于环境温度35℃，最高温度不高于120℃。</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4.13 所有铸件执行JB/T6880 《泵用铸钢件》、《泵用灰铸铁件》标准，铸件不得有缩孔、缩松、夹渣等现象。同时不影响力学性能的铸造缺陷，铸件表面光滑并清理干净。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4.14 所有设备及其附件的使用寿命，必须考虑到在设备使用期间经受各项环境条件的综合影响。投标方保证所供水泵及附件的连续使用寿命不少于10年。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bookmarkStart w:id="0" w:name="OLE_LINK67"/>
      <w:bookmarkStart w:id="1" w:name="OLE_LINK66"/>
      <w:r>
        <w:rPr>
          <w:rFonts w:hint="eastAsia" w:ascii="仿宋_GB2312" w:hAnsi="仿宋_GB2312" w:eastAsia="仿宋_GB2312" w:cs="仿宋_GB2312"/>
          <w:sz w:val="28"/>
          <w:szCs w:val="28"/>
          <w:lang w:val="en-US" w:eastAsia="zh-CN"/>
        </w:rPr>
        <w:t>4.15 所有水泵过流部分的材质应能防止过流介质的腐蚀，过流部分：叶轮、涡壳、轴套、泵盖、叶轮螺母材质必须满足协议要求。</w:t>
      </w:r>
    </w:p>
    <w:bookmarkEnd w:id="0"/>
    <w:bookmarkEnd w:id="1"/>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4.16 所有水泵出口配就地压力表, 表盘直径100mm，压力表精度等级应为1.6级、不锈钢，防振型，投标方还应提供仪表管、仪表阀等压力表安装所需的全部附件。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4.17 设备铭牌采用耐腐蚀的金属板制造，铭牌设置在操作人员易于看到的地方，并刻有下列内容：制造厂家名称、设备名称、设备型号、主要技术参数、出厂日期、产品出厂编号等。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4.18 所选用的电机为一线电机厂家。乙方应提供产品出厂合格证、装箱单、产品试验报告单、操作维护手册、技术说明书、设备编码（用于向厂家查询设备真伪）、“三包”保修卡、产品及相关材料的安全产品认定书和质量保证书等交甲方确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4.19 乙方所供水泵、电机的设计、生产、制造、检验过程中，应严格执行以下标准：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19.1 GB 6245-2006《消防泵》；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19.2 GB 6246-2001《消防泵性能试验方法和评定》；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19.3 GB/T 3216  《离心泵、混流泵、轴流泵和旋涡泵试验方法》；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19.4 JB/T 8097-2013 《泵的振动测量与评价方法》；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19.5 JB/T 8098-2013 《泵的噪声测量与评价方法》；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19.6 JB/T 4297-2008 《泵产品涂漆技术条件》；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19.7 GB/T 13006-2013 《离心泵、混流泵、轴流泵汽蚀余量》；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19.8 JB 2759-2008  《机电产品包装通用技术条件》；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19.9 IEC 34 (GB 755-2000)  《旋转电机基本技术要求》。</w:t>
      </w:r>
    </w:p>
    <w:p>
      <w:pPr>
        <w:widowControl/>
        <w:adjustRightInd w:val="0"/>
        <w:snapToGrid w:val="0"/>
        <w:spacing w:line="600" w:lineRule="atLeas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4.20水泵</w:t>
      </w:r>
      <w:r>
        <w:rPr>
          <w:rFonts w:hint="eastAsia" w:ascii="仿宋_GB2312" w:hAnsi="仿宋_GB2312" w:eastAsia="仿宋_GB2312" w:cs="仿宋_GB2312"/>
          <w:sz w:val="28"/>
          <w:szCs w:val="28"/>
        </w:rPr>
        <w:t>电机安装尺寸、涂装颜色必须保持和现场水泵、电机尺寸一致（包括地脚螺栓孔中心距、孔径大小、电机接线盒位置，进、出水管径，进、出水管中心高度，轴伸长度和轴径等尺寸），需要厂家现场测绘核实。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技术规格书提供的是最低限度的技术要求，并未对所有的技术细节作出规定，也未充分引述有关标准和规范的条文，供货方应根据技术规格书和行业标准，提供优质的产品，并保证产品的完整性，以实现设备的全部功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当供货方采用其它标准时，其标准应符合中华人民共和国国家标准（GB）或国际标准（IEC），若有标准不一致时，取最高值。</w:t>
      </w:r>
    </w:p>
    <w:p>
      <w:pPr>
        <w:widowControl w:val="0"/>
        <w:tabs>
          <w:tab w:val="left" w:pos="0"/>
          <w:tab w:val="left" w:pos="900"/>
          <w:tab w:val="left" w:pos="1080"/>
        </w:tabs>
        <w:spacing w:line="360" w:lineRule="auto"/>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附件</w:t>
      </w:r>
      <w:r>
        <w:rPr>
          <w:rFonts w:hint="eastAsia" w:ascii="仿宋_GB2312" w:hAnsi="仿宋_GB2312" w:eastAsia="仿宋_GB2312" w:cs="仿宋_GB2312"/>
          <w:b/>
          <w:bCs w:val="0"/>
          <w:kern w:val="2"/>
          <w:sz w:val="32"/>
          <w:szCs w:val="32"/>
          <w:lang w:eastAsia="zh-CN"/>
        </w:rPr>
        <w:t>五</w:t>
      </w:r>
      <w:r>
        <w:rPr>
          <w:rFonts w:hint="eastAsia" w:ascii="仿宋_GB2312" w:hAnsi="仿宋_GB2312" w:eastAsia="仿宋_GB2312" w:cs="仿宋_GB2312"/>
          <w:b/>
          <w:bCs w:val="0"/>
          <w:kern w:val="2"/>
          <w:sz w:val="32"/>
          <w:szCs w:val="32"/>
        </w:rPr>
        <w:t xml:space="preserve"> 提供资料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5.1 乙方向甲方提供以下资料：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5.2、提供出厂最终资料卧式消防泵出厂合格证、电机合格证等。</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附件</w:t>
      </w:r>
      <w:r>
        <w:rPr>
          <w:rFonts w:hint="eastAsia" w:ascii="仿宋_GB2312" w:hAnsi="仿宋_GB2312" w:eastAsia="仿宋_GB2312" w:cs="仿宋_GB2312"/>
          <w:b/>
          <w:bCs w:val="0"/>
          <w:kern w:val="2"/>
          <w:sz w:val="32"/>
          <w:szCs w:val="32"/>
          <w:lang w:eastAsia="zh-CN"/>
        </w:rPr>
        <w:t>六</w:t>
      </w:r>
      <w:r>
        <w:rPr>
          <w:rFonts w:hint="eastAsia" w:ascii="仿宋_GB2312" w:hAnsi="仿宋_GB2312" w:eastAsia="仿宋_GB2312" w:cs="仿宋_GB2312"/>
          <w:b/>
          <w:bCs w:val="0"/>
          <w:kern w:val="2"/>
          <w:sz w:val="32"/>
          <w:szCs w:val="32"/>
        </w:rPr>
        <w:t xml:space="preserve"> 质量保证及售后服务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6.1合同设备的保证期为现场投运使用之日起12个月。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6.2乙方应对所提供产品和附件的制造质量、技术规格负有完全责任。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6.3乙方保证所提供的产品全部都是经过厂家测试合格的产品，乙方保证所提供的产品是全新的，未被使用过的，是用一流的工艺生产的，并完全符合买方规定的质量规格和性能的要求。乙方应保证其设备在正确安装、正常使用和保养条件下，在其使用寿命内应具有良好的性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6.4在质保期内，因备件质量问题造成的备件损坏、乙方应及时免费更换损坏部件或更换新品，用来更换的部件应当是全新的，在质保期内，卖方应对设备自身设计、材料及生产工艺中的缺陷而产生的后果负责。</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附件</w:t>
      </w:r>
      <w:r>
        <w:rPr>
          <w:rFonts w:hint="eastAsia" w:ascii="仿宋_GB2312" w:hAnsi="仿宋_GB2312" w:eastAsia="仿宋_GB2312" w:cs="仿宋_GB2312"/>
          <w:b/>
          <w:bCs w:val="0"/>
          <w:kern w:val="2"/>
          <w:sz w:val="32"/>
          <w:szCs w:val="32"/>
          <w:lang w:eastAsia="zh-CN"/>
        </w:rPr>
        <w:t>七</w:t>
      </w:r>
      <w:r>
        <w:rPr>
          <w:rFonts w:hint="eastAsia" w:ascii="仿宋_GB2312" w:hAnsi="仿宋_GB2312" w:eastAsia="仿宋_GB2312" w:cs="仿宋_GB2312"/>
          <w:b/>
          <w:bCs w:val="0"/>
          <w:kern w:val="2"/>
          <w:sz w:val="32"/>
          <w:szCs w:val="32"/>
        </w:rPr>
        <w:t xml:space="preserve">  交货时间及地点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7.1 交货时间：具体以合同为准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7.2 交货地点：东兴铝业嘉峪关公司一期45万吨备件库房.</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7.3 设备出厂发运前用油漆按箱外标准运输标记（合同号、目的地、收件人单位、设备名称、箱号/捆号、毛净重、尺寸、吊装点）进行标注。箱内设备用标签做标记，注明设备名称、安装位置、并在设备上带有铭牌。 </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附件</w:t>
      </w:r>
      <w:r>
        <w:rPr>
          <w:rFonts w:hint="eastAsia" w:ascii="仿宋_GB2312" w:hAnsi="仿宋_GB2312" w:eastAsia="仿宋_GB2312" w:cs="仿宋_GB2312"/>
          <w:b/>
          <w:bCs w:val="0"/>
          <w:kern w:val="2"/>
          <w:sz w:val="32"/>
          <w:szCs w:val="32"/>
          <w:lang w:eastAsia="zh-CN"/>
        </w:rPr>
        <w:t>八</w:t>
      </w:r>
      <w:r>
        <w:rPr>
          <w:rFonts w:hint="eastAsia" w:ascii="仿宋_GB2312" w:hAnsi="仿宋_GB2312" w:eastAsia="仿宋_GB2312" w:cs="仿宋_GB2312"/>
          <w:b/>
          <w:bCs w:val="0"/>
          <w:kern w:val="2"/>
          <w:sz w:val="32"/>
          <w:szCs w:val="32"/>
        </w:rPr>
        <w:t xml:space="preserve">  其它</w:t>
      </w:r>
    </w:p>
    <w:p>
      <w:pPr>
        <w:widowControl/>
        <w:adjustRightInd w:val="0"/>
        <w:snapToGrid w:val="0"/>
        <w:spacing w:line="600" w:lineRule="atLeas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8.1 投标方在投标中所提供的系统必须是完整的、无缺项的。无论何时发现缺项、漏项，投标方都必须无偿补足。</w:t>
      </w:r>
    </w:p>
    <w:p>
      <w:pPr>
        <w:widowControl/>
        <w:adjustRightInd w:val="0"/>
        <w:snapToGrid w:val="0"/>
        <w:spacing w:line="600" w:lineRule="atLeas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8.2 本协议为合同附件，与合同具有同等法律效力。</w:t>
      </w:r>
    </w:p>
    <w:p>
      <w:pPr>
        <w:widowControl/>
        <w:adjustRightInd w:val="0"/>
        <w:snapToGrid w:val="0"/>
        <w:spacing w:line="600" w:lineRule="atLeas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8.3 提供中文操作说明手册。</w:t>
      </w:r>
    </w:p>
    <w:p>
      <w:pPr>
        <w:widowControl/>
        <w:adjustRightInd w:val="0"/>
        <w:snapToGrid w:val="0"/>
        <w:spacing w:line="600" w:lineRule="atLeas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8.4 其它未尽事宜，甲乙双方协商解决。</w:t>
      </w:r>
    </w:p>
    <w:p>
      <w:pPr>
        <w:keepNext w:val="0"/>
        <w:keepLines w:val="0"/>
        <w:pageBreakBefore w:val="0"/>
        <w:widowControl w:val="0"/>
        <w:wordWrap/>
        <w:overflowPunct/>
        <w:topLinePunct w:val="0"/>
        <w:bidi w:val="0"/>
        <w:spacing w:line="560" w:lineRule="exact"/>
        <w:ind w:firstLine="560" w:firstLineChars="200"/>
        <w:jc w:val="both"/>
        <w:rPr>
          <w:rFonts w:hint="eastAsia" w:ascii="仿宋_GB2312" w:hAnsi="仿宋_GB2312" w:eastAsia="仿宋_GB2312" w:cs="仿宋_GB2312"/>
          <w:kern w:val="2"/>
          <w:sz w:val="28"/>
          <w:szCs w:val="28"/>
        </w:rPr>
      </w:pPr>
      <w:r>
        <w:rPr>
          <w:rFonts w:hint="eastAsia" w:ascii="仿宋_GB2312" w:hAnsi="仿宋_GB2312" w:eastAsia="仿宋_GB2312" w:cs="仿宋_GB2312"/>
          <w:kern w:val="2"/>
          <w:sz w:val="28"/>
          <w:szCs w:val="28"/>
          <w:lang w:val="en-US" w:eastAsia="zh-CN"/>
        </w:rPr>
        <w:t>8</w:t>
      </w:r>
      <w:r>
        <w:rPr>
          <w:rFonts w:hint="eastAsia" w:ascii="仿宋_GB2312" w:hAnsi="仿宋_GB2312" w:eastAsia="仿宋_GB2312" w:cs="仿宋_GB2312"/>
          <w:kern w:val="2"/>
          <w:sz w:val="28"/>
          <w:szCs w:val="28"/>
        </w:rPr>
        <w:t>.5</w:t>
      </w:r>
      <w:r>
        <w:rPr>
          <w:rFonts w:hint="eastAsia" w:ascii="仿宋_GB2312" w:hAnsi="仿宋_GB2312" w:eastAsia="仿宋_GB2312" w:cs="仿宋_GB2312"/>
          <w:kern w:val="2"/>
          <w:sz w:val="28"/>
          <w:szCs w:val="28"/>
          <w:lang w:val="en-US" w:eastAsia="zh-CN"/>
        </w:rPr>
        <w:t xml:space="preserve"> </w:t>
      </w:r>
      <w:r>
        <w:rPr>
          <w:rFonts w:hint="eastAsia" w:ascii="仿宋_GB2312" w:hAnsi="仿宋_GB2312" w:eastAsia="仿宋_GB2312" w:cs="仿宋_GB2312"/>
          <w:sz w:val="28"/>
          <w:szCs w:val="28"/>
        </w:rPr>
        <w:t>本</w:t>
      </w:r>
      <w:r>
        <w:rPr>
          <w:rFonts w:hint="eastAsia" w:ascii="仿宋_GB2312" w:hAnsi="仿宋_GB2312" w:eastAsia="仿宋_GB2312" w:cs="仿宋_GB2312"/>
          <w:b w:val="0"/>
          <w:bCs/>
          <w:color w:val="auto"/>
          <w:sz w:val="28"/>
          <w:szCs w:val="28"/>
          <w:lang w:val="en-US" w:eastAsia="zh-CN"/>
        </w:rPr>
        <w:t>规格书</w:t>
      </w:r>
      <w:r>
        <w:rPr>
          <w:rFonts w:hint="eastAsia" w:ascii="仿宋_GB2312" w:hAnsi="仿宋_GB2312" w:eastAsia="仿宋_GB2312" w:cs="仿宋_GB2312"/>
          <w:sz w:val="28"/>
          <w:szCs w:val="28"/>
        </w:rPr>
        <w:t>一式</w:t>
      </w: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份，甲方</w:t>
      </w:r>
      <w:r>
        <w:rPr>
          <w:rFonts w:hint="eastAsia" w:ascii="仿宋_GB2312" w:hAnsi="仿宋_GB2312" w:eastAsia="仿宋_GB2312" w:cs="仿宋_GB2312"/>
          <w:sz w:val="28"/>
          <w:szCs w:val="28"/>
          <w:lang w:eastAsia="zh-CN"/>
        </w:rPr>
        <w:t>两</w:t>
      </w:r>
      <w:r>
        <w:rPr>
          <w:rFonts w:hint="eastAsia" w:ascii="仿宋_GB2312" w:hAnsi="仿宋_GB2312" w:eastAsia="仿宋_GB2312" w:cs="仿宋_GB2312"/>
          <w:sz w:val="28"/>
          <w:szCs w:val="28"/>
        </w:rPr>
        <w:t>份，乙方一份</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560" w:firstLineChars="200"/>
        <w:textAlignment w:val="baseline"/>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 xml:space="preserve">8.6 </w:t>
      </w:r>
      <w:r>
        <w:rPr>
          <w:rFonts w:hint="eastAsia" w:ascii="仿宋_GB2312" w:hAnsi="仿宋_GB2312" w:eastAsia="仿宋_GB2312" w:cs="仿宋_GB2312"/>
          <w:sz w:val="28"/>
          <w:szCs w:val="28"/>
          <w:lang w:val="en-US" w:eastAsia="zh-CN"/>
        </w:rPr>
        <w:t>本规格书自双方签字之日起生效，协议事项全部完成之日后失效。</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560" w:firstLineChars="200"/>
        <w:textAlignment w:val="baseline"/>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8.7 本规格书内容经由甲乙双方于 </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 年  </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月 </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日</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时至</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 时通过</w:t>
      </w:r>
      <w:r>
        <w:rPr>
          <w:rFonts w:hint="eastAsia" w:ascii="仿宋_GB2312" w:hAnsi="仿宋_GB2312" w:eastAsia="仿宋_GB2312" w:cs="仿宋_GB2312"/>
          <w:b w:val="0"/>
          <w:bCs/>
          <w:color w:val="auto"/>
          <w:sz w:val="28"/>
          <w:szCs w:val="28"/>
          <w:u w:val="single"/>
          <w:lang w:val="en-US" w:eastAsia="zh-CN"/>
        </w:rPr>
        <w:t xml:space="preserve">       </w:t>
      </w:r>
      <w:r>
        <w:rPr>
          <w:rFonts w:hint="eastAsia" w:ascii="仿宋_GB2312" w:hAnsi="仿宋_GB2312" w:eastAsia="仿宋_GB2312" w:cs="仿宋_GB2312"/>
          <w:b w:val="0"/>
          <w:bCs/>
          <w:color w:val="auto"/>
          <w:sz w:val="28"/>
          <w:szCs w:val="28"/>
          <w:lang w:val="en-US" w:eastAsia="zh-CN"/>
        </w:rPr>
        <w:t xml:space="preserve">  方式商定。 </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560" w:firstLineChars="200"/>
        <w:textAlignment w:val="baseline"/>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val="en-US" w:eastAsia="zh-CN"/>
        </w:rPr>
        <w:t>8.8 甲乙双方应当就签订本规格书的相关事宜保密，不得将签订主体、时间、内容等信息透露给其他第三人。</w:t>
      </w:r>
    </w:p>
    <w:p>
      <w:pPr>
        <w:tabs>
          <w:tab w:val="left" w:pos="540"/>
          <w:tab w:val="left" w:pos="840"/>
          <w:tab w:val="left" w:pos="1080"/>
        </w:tabs>
        <w:spacing w:line="560" w:lineRule="atLeas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color w:val="auto"/>
          <w:sz w:val="28"/>
          <w:szCs w:val="28"/>
          <w:lang w:val="en-US" w:eastAsia="zh-CN"/>
        </w:rPr>
        <w:t>8.9</w:t>
      </w:r>
      <w:r>
        <w:rPr>
          <w:rFonts w:hint="eastAsia" w:ascii="仿宋_GB2312" w:hAnsi="仿宋_GB2312" w:eastAsia="仿宋_GB2312" w:cs="仿宋_GB2312"/>
          <w:sz w:val="28"/>
          <w:szCs w:val="28"/>
          <w:lang w:val="en-US" w:eastAsia="zh-CN"/>
        </w:rPr>
        <w:t xml:space="preserve"> 若</w:t>
      </w:r>
      <w:r>
        <w:rPr>
          <w:rFonts w:hint="eastAsia" w:ascii="仿宋_GB2312" w:hAnsi="仿宋_GB2312" w:eastAsia="仿宋_GB2312" w:cs="仿宋_GB2312"/>
          <w:sz w:val="28"/>
          <w:szCs w:val="28"/>
          <w:u w:val="single"/>
          <w:lang w:val="en-US" w:eastAsia="zh-CN"/>
        </w:rPr>
        <w:t>                        </w:t>
      </w:r>
      <w:r>
        <w:rPr>
          <w:rFonts w:hint="eastAsia" w:ascii="仿宋_GB2312" w:hAnsi="仿宋_GB2312" w:eastAsia="仿宋_GB2312" w:cs="仿宋_GB2312"/>
          <w:sz w:val="28"/>
          <w:szCs w:val="28"/>
          <w:lang w:val="en-US" w:eastAsia="zh-CN"/>
        </w:rPr>
        <w:t>单位不中标，本技术规格书自动失效，双方互不承担任何责任。</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val="0"/>
          <w:bCs/>
          <w:color w:val="auto"/>
          <w:sz w:val="32"/>
          <w:szCs w:val="32"/>
          <w:lang w:val="en-US" w:eastAsia="zh-CN"/>
        </w:rPr>
      </w:pPr>
    </w:p>
    <w:p>
      <w:pPr>
        <w:tabs>
          <w:tab w:val="left" w:pos="540"/>
          <w:tab w:val="left" w:pos="840"/>
          <w:tab w:val="left" w:pos="1080"/>
        </w:tabs>
        <w:spacing w:line="360" w:lineRule="auto"/>
        <w:jc w:val="both"/>
        <w:rPr>
          <w:rFonts w:ascii="宋体"/>
          <w:sz w:val="21"/>
          <w:szCs w:val="21"/>
        </w:rPr>
      </w:pP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甲方：甘肃东兴铝业有限公司      乙方： </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嘉峪关分公司</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地址：嘉峪关市嘉北工业园区      地址：</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联系电话：                      联系电话：</w:t>
      </w:r>
    </w:p>
    <w:p>
      <w:pPr>
        <w:spacing w:line="360" w:lineRule="auto"/>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代表：                          代表： </w:t>
      </w:r>
    </w:p>
    <w:p>
      <w:pPr>
        <w:spacing w:line="360" w:lineRule="auto"/>
        <w:ind w:firstLine="560" w:firstLineChars="200"/>
      </w:pPr>
      <w:r>
        <w:rPr>
          <w:rFonts w:hint="eastAsia" w:ascii="仿宋_GB2312" w:hAnsi="仿宋_GB2312" w:eastAsia="仿宋_GB2312" w:cs="仿宋_GB2312"/>
          <w:kern w:val="0"/>
          <w:sz w:val="28"/>
          <w:szCs w:val="28"/>
        </w:rPr>
        <w:t>签订日期：</w:t>
      </w:r>
      <w:r>
        <w:rPr>
          <w:rFonts w:hint="eastAsia" w:ascii="仿宋_GB2312" w:hAnsi="仿宋_GB2312" w:eastAsia="仿宋_GB2312" w:cs="仿宋_GB2312"/>
          <w:kern w:val="0"/>
          <w:sz w:val="28"/>
          <w:szCs w:val="28"/>
        </w:rPr>
        <w:tab/>
      </w:r>
      <w:r>
        <w:rPr>
          <w:rFonts w:hint="eastAsia" w:ascii="仿宋_GB2312" w:hAnsi="仿宋_GB2312" w:eastAsia="仿宋_GB2312" w:cs="仿宋_GB2312"/>
          <w:kern w:val="0"/>
          <w:sz w:val="28"/>
          <w:szCs w:val="28"/>
        </w:rPr>
        <w:t xml:space="preserve"> 年  月   日        签订日期：   年  月  日</w:t>
      </w:r>
    </w:p>
    <w:sectPr>
      <w:headerReference r:id="rId3" w:type="default"/>
      <w:footerReference r:id="rId4" w:type="default"/>
      <w:pgSz w:w="11906" w:h="16838"/>
      <w:pgMar w:top="1417" w:right="1417" w:bottom="1417" w:left="141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3C49413E-C009-4FBA-933B-2D6B3731603C}"/>
  </w:font>
  <w:font w:name="仿宋_GB2312">
    <w:altName w:val="仿宋"/>
    <w:panose1 w:val="02010609060101010101"/>
    <w:charset w:val="86"/>
    <w:family w:val="modern"/>
    <w:pitch w:val="default"/>
    <w:sig w:usb0="00000000" w:usb1="00000000" w:usb2="00000016" w:usb3="00000000" w:csb0="00040001" w:csb1="00000000"/>
    <w:embedRegular r:id="rId2" w:fontKey="{36C9F5D9-48DD-47A1-9682-EB25D934AB89}"/>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页共</w:t>
                          </w:r>
                          <w:r>
                            <w:rPr>
                              <w:rFonts w:hint="eastAsia"/>
                              <w:lang w:val="en-US" w:eastAsia="zh-CN"/>
                            </w:rPr>
                            <w:t>7</w:t>
                          </w:r>
                          <w:r>
                            <w:rPr>
                              <w:rFonts w:hint="eastAsia"/>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页共</w:t>
                    </w:r>
                    <w:r>
                      <w:rPr>
                        <w:rFonts w:hint="eastAsia"/>
                        <w:lang w:val="en-US" w:eastAsia="zh-CN"/>
                      </w:rPr>
                      <w:t>7</w:t>
                    </w:r>
                    <w:r>
                      <w:rPr>
                        <w:rFonts w:hint="eastAsia"/>
                      </w:rPr>
                      <w:t>页</w:t>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s>
  <w:rsids>
    <w:rsidRoot w:val="6831344F"/>
    <w:rsid w:val="00955194"/>
    <w:rsid w:val="032F3953"/>
    <w:rsid w:val="063264EB"/>
    <w:rsid w:val="07732E9B"/>
    <w:rsid w:val="084367D4"/>
    <w:rsid w:val="0850687E"/>
    <w:rsid w:val="0BB73485"/>
    <w:rsid w:val="0CA47386"/>
    <w:rsid w:val="118539B9"/>
    <w:rsid w:val="14394331"/>
    <w:rsid w:val="15D33773"/>
    <w:rsid w:val="15D550F8"/>
    <w:rsid w:val="17183A17"/>
    <w:rsid w:val="173F0452"/>
    <w:rsid w:val="176C305A"/>
    <w:rsid w:val="17912096"/>
    <w:rsid w:val="187505B6"/>
    <w:rsid w:val="1A393818"/>
    <w:rsid w:val="1AD9759C"/>
    <w:rsid w:val="1CCB42F0"/>
    <w:rsid w:val="1D2A27D8"/>
    <w:rsid w:val="1DE303E5"/>
    <w:rsid w:val="1E3A2CFA"/>
    <w:rsid w:val="1EA23F48"/>
    <w:rsid w:val="1F1628E1"/>
    <w:rsid w:val="1F1B3D62"/>
    <w:rsid w:val="215201D9"/>
    <w:rsid w:val="23A451E2"/>
    <w:rsid w:val="25CF57B4"/>
    <w:rsid w:val="26BA4467"/>
    <w:rsid w:val="26C60B92"/>
    <w:rsid w:val="288051AE"/>
    <w:rsid w:val="28AA37E2"/>
    <w:rsid w:val="28E05E0E"/>
    <w:rsid w:val="2DAD32DC"/>
    <w:rsid w:val="2E7C7BD1"/>
    <w:rsid w:val="2EB37960"/>
    <w:rsid w:val="2FB1678D"/>
    <w:rsid w:val="2FE51A74"/>
    <w:rsid w:val="315A0C39"/>
    <w:rsid w:val="31EF121C"/>
    <w:rsid w:val="32857972"/>
    <w:rsid w:val="34562342"/>
    <w:rsid w:val="362D624A"/>
    <w:rsid w:val="37962C8D"/>
    <w:rsid w:val="3B3140E6"/>
    <w:rsid w:val="3BD72C57"/>
    <w:rsid w:val="3C5E5B09"/>
    <w:rsid w:val="3CB6033F"/>
    <w:rsid w:val="40D354C5"/>
    <w:rsid w:val="47555AD6"/>
    <w:rsid w:val="4ABD295D"/>
    <w:rsid w:val="4F8703D2"/>
    <w:rsid w:val="514C0107"/>
    <w:rsid w:val="54F97DB4"/>
    <w:rsid w:val="560C3AC8"/>
    <w:rsid w:val="57E11473"/>
    <w:rsid w:val="58992E6F"/>
    <w:rsid w:val="59033C70"/>
    <w:rsid w:val="5AB97822"/>
    <w:rsid w:val="5CDF7604"/>
    <w:rsid w:val="5D95163A"/>
    <w:rsid w:val="5ED63874"/>
    <w:rsid w:val="63923CAF"/>
    <w:rsid w:val="654E58DD"/>
    <w:rsid w:val="66844464"/>
    <w:rsid w:val="670F2970"/>
    <w:rsid w:val="677E2557"/>
    <w:rsid w:val="6831344F"/>
    <w:rsid w:val="696E56B1"/>
    <w:rsid w:val="6A1D28DB"/>
    <w:rsid w:val="6B567573"/>
    <w:rsid w:val="6C216B78"/>
    <w:rsid w:val="6EFF42FD"/>
    <w:rsid w:val="706F0C62"/>
    <w:rsid w:val="70A04396"/>
    <w:rsid w:val="70DA0086"/>
    <w:rsid w:val="72181581"/>
    <w:rsid w:val="72DC6AA4"/>
    <w:rsid w:val="731953DB"/>
    <w:rsid w:val="74244395"/>
    <w:rsid w:val="758F238A"/>
    <w:rsid w:val="7654095A"/>
    <w:rsid w:val="78ED4614"/>
    <w:rsid w:val="7A6209AC"/>
    <w:rsid w:val="7A6C7F1E"/>
    <w:rsid w:val="7AB15495"/>
    <w:rsid w:val="7BCE2C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kern w:val="2"/>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2930</Words>
  <Characters>3235</Characters>
  <Lines>0</Lines>
  <Paragraphs>0</Paragraphs>
  <TotalTime>6</TotalTime>
  <ScaleCrop>false</ScaleCrop>
  <LinksUpToDate>false</LinksUpToDate>
  <CharactersWithSpaces>3473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2020-05-22T09:35:00Z</dcterms:created>
  <dc:creator>万丽</dc:creator>
  <cp:lastModifiedBy>Lee 先森</cp:lastModifiedBy>
  <dcterms:modified xsi:type="dcterms:W3CDTF">2025-06-03T01:37:41Z</dcterms:modified>
  <dc:title>东兴铝业有限公司嘉峪关分公司</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1A3E1881A5A0463F8D1436099B2ED599_13</vt:lpwstr>
  </property>
  <property fmtid="{D5CDD505-2E9C-101B-9397-08002B2CF9AE}" pid="4" name="KSOTemplateDocerSaveRecord">
    <vt:lpwstr>eyJoZGlkIjoiZTc1MjlmNzYxY2JkN2MxNjgwMWRmZGZlMmQ3MWVjMWQiLCJ1c2VySWQiOiIzNjUwNDM3NDYifQ==</vt:lpwstr>
  </property>
</Properties>
</file>