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spacing w:line="360" w:lineRule="auto"/>
        <w:ind w:left="-240" w:leftChars="-100" w:firstLine="239" w:firstLineChars="54"/>
        <w:jc w:val="center"/>
        <w:rPr>
          <w:rFonts w:hint="eastAsia" w:ascii="仿宋" w:hAnsi="仿宋" w:eastAsia="仿宋" w:cs="仿宋"/>
          <w:b/>
          <w:color w:val="auto"/>
          <w:sz w:val="44"/>
          <w:szCs w:val="44"/>
          <w:highlight w:val="none"/>
        </w:rPr>
      </w:pPr>
    </w:p>
    <w:p>
      <w:pPr>
        <w:autoSpaceDE w:val="0"/>
        <w:autoSpaceDN w:val="0"/>
        <w:spacing w:line="360" w:lineRule="auto"/>
        <w:ind w:left="-240" w:leftChars="-100" w:firstLine="239" w:firstLineChars="54"/>
        <w:jc w:val="center"/>
        <w:rPr>
          <w:rFonts w:hint="eastAsia" w:ascii="仿宋" w:hAnsi="仿宋" w:eastAsia="仿宋" w:cs="仿宋"/>
          <w:b/>
          <w:color w:val="auto"/>
          <w:sz w:val="44"/>
          <w:szCs w:val="44"/>
          <w:highlight w:val="none"/>
        </w:rPr>
      </w:pPr>
    </w:p>
    <w:p>
      <w:pPr>
        <w:autoSpaceDE w:val="0"/>
        <w:autoSpaceDN w:val="0"/>
        <w:spacing w:line="360" w:lineRule="auto"/>
        <w:ind w:left="-240" w:leftChars="-100" w:firstLine="239" w:firstLineChars="54"/>
        <w:jc w:val="center"/>
        <w:rPr>
          <w:rFonts w:hint="eastAsia" w:ascii="仿宋" w:hAnsi="仿宋" w:eastAsia="仿宋" w:cs="仿宋"/>
          <w:b/>
          <w:color w:val="auto"/>
          <w:sz w:val="44"/>
          <w:szCs w:val="44"/>
          <w:highlight w:val="none"/>
        </w:rPr>
      </w:pPr>
      <w:r>
        <w:rPr>
          <w:rFonts w:hint="eastAsia" w:ascii="仿宋" w:hAnsi="仿宋" w:eastAsia="仿宋" w:cs="仿宋"/>
          <w:b/>
          <w:color w:val="auto"/>
          <w:sz w:val="44"/>
          <w:szCs w:val="44"/>
          <w:highlight w:val="none"/>
        </w:rPr>
        <w:t>甘肃酒钢集团宏兴钢铁股份有限公司</w:t>
      </w:r>
      <w:r>
        <w:rPr>
          <w:rFonts w:hint="eastAsia" w:ascii="仿宋" w:hAnsi="仿宋" w:eastAsia="仿宋" w:cs="仿宋"/>
          <w:b/>
          <w:color w:val="auto"/>
          <w:sz w:val="44"/>
          <w:szCs w:val="44"/>
          <w:highlight w:val="none"/>
          <w:lang w:eastAsia="zh-CN"/>
        </w:rPr>
        <w:t>炼铁</w:t>
      </w:r>
      <w:r>
        <w:rPr>
          <w:rFonts w:hint="eastAsia" w:ascii="仿宋" w:hAnsi="仿宋" w:eastAsia="仿宋" w:cs="仿宋"/>
          <w:b/>
          <w:color w:val="auto"/>
          <w:sz w:val="44"/>
          <w:szCs w:val="44"/>
          <w:highlight w:val="none"/>
        </w:rPr>
        <w:t>厂</w:t>
      </w:r>
    </w:p>
    <w:p>
      <w:pPr>
        <w:snapToGrid w:val="0"/>
        <w:spacing w:line="360" w:lineRule="auto"/>
        <w:ind w:right="-447"/>
        <w:jc w:val="center"/>
        <w:rPr>
          <w:rFonts w:hint="eastAsia" w:ascii="仿宋" w:hAnsi="仿宋" w:eastAsia="仿宋" w:cs="仿宋"/>
          <w:b/>
          <w:color w:val="auto"/>
          <w:sz w:val="36"/>
          <w:szCs w:val="48"/>
          <w:highlight w:val="none"/>
          <w:lang w:eastAsia="zh-CN"/>
        </w:rPr>
      </w:pPr>
      <w:r>
        <w:rPr>
          <w:rFonts w:hint="eastAsia" w:ascii="仿宋" w:hAnsi="仿宋" w:eastAsia="仿宋" w:cs="仿宋"/>
          <w:b/>
          <w:color w:val="auto"/>
          <w:sz w:val="36"/>
          <w:szCs w:val="48"/>
          <w:highlight w:val="none"/>
          <w:lang w:eastAsia="zh-CN"/>
        </w:rPr>
        <w:t>波纹补偿器\1.0MPa DN200 L=300 法兰 304+Q235A</w:t>
      </w:r>
    </w:p>
    <w:p>
      <w:pPr>
        <w:snapToGrid w:val="0"/>
        <w:spacing w:line="360" w:lineRule="auto"/>
        <w:ind w:right="-447"/>
        <w:jc w:val="center"/>
        <w:rPr>
          <w:rFonts w:hint="eastAsia" w:ascii="仿宋" w:hAnsi="仿宋" w:eastAsia="仿宋" w:cs="仿宋"/>
          <w:b/>
          <w:color w:val="auto"/>
          <w:sz w:val="36"/>
          <w:szCs w:val="48"/>
          <w:highlight w:val="none"/>
          <w:lang w:val="en-US" w:eastAsia="zh-CN"/>
        </w:rPr>
      </w:pPr>
      <w:r>
        <w:rPr>
          <w:rFonts w:hint="eastAsia" w:ascii="仿宋" w:hAnsi="仿宋" w:eastAsia="仿宋" w:cs="仿宋"/>
          <w:b/>
          <w:color w:val="auto"/>
          <w:sz w:val="36"/>
          <w:szCs w:val="48"/>
          <w:highlight w:val="none"/>
          <w:lang w:val="en-US" w:eastAsia="zh-CN"/>
        </w:rPr>
        <w:t>（70364423）</w:t>
      </w:r>
    </w:p>
    <w:p>
      <w:pPr>
        <w:snapToGrid w:val="0"/>
        <w:spacing w:line="360" w:lineRule="auto"/>
        <w:ind w:right="-447"/>
        <w:jc w:val="center"/>
        <w:rPr>
          <w:rFonts w:hint="eastAsia" w:ascii="仿宋" w:hAnsi="仿宋" w:eastAsia="仿宋" w:cs="仿宋"/>
          <w:b/>
          <w:color w:val="auto"/>
          <w:sz w:val="36"/>
          <w:szCs w:val="36"/>
          <w:highlight w:val="none"/>
        </w:rPr>
      </w:pPr>
      <w:r>
        <w:rPr>
          <w:rFonts w:hint="eastAsia" w:ascii="仿宋" w:hAnsi="仿宋" w:eastAsia="仿宋" w:cs="仿宋"/>
          <w:b/>
          <w:color w:val="auto"/>
          <w:sz w:val="36"/>
          <w:szCs w:val="48"/>
          <w:highlight w:val="none"/>
        </w:rPr>
        <w:t>采购技术</w:t>
      </w:r>
      <w:r>
        <w:rPr>
          <w:rFonts w:hint="eastAsia" w:ascii="仿宋" w:hAnsi="仿宋" w:eastAsia="仿宋" w:cs="仿宋"/>
          <w:b/>
          <w:color w:val="auto"/>
          <w:sz w:val="36"/>
          <w:szCs w:val="48"/>
          <w:highlight w:val="none"/>
          <w:lang w:val="en-US" w:eastAsia="zh-CN"/>
        </w:rPr>
        <w:t>规格书</w:t>
      </w:r>
    </w:p>
    <w:p>
      <w:pPr>
        <w:snapToGrid w:val="0"/>
        <w:spacing w:line="360" w:lineRule="auto"/>
        <w:ind w:right="-447"/>
        <w:jc w:val="center"/>
        <w:rPr>
          <w:rFonts w:hint="eastAsia" w:ascii="仿宋" w:hAnsi="仿宋" w:eastAsia="仿宋" w:cs="仿宋"/>
          <w:b/>
          <w:color w:val="auto"/>
          <w:sz w:val="36"/>
          <w:szCs w:val="48"/>
          <w:highlight w:val="none"/>
        </w:rPr>
      </w:pPr>
    </w:p>
    <w:p>
      <w:pPr>
        <w:snapToGrid w:val="0"/>
        <w:spacing w:line="360" w:lineRule="auto"/>
        <w:ind w:right="-447"/>
        <w:jc w:val="center"/>
        <w:rPr>
          <w:rFonts w:hint="eastAsia" w:ascii="仿宋" w:hAnsi="仿宋" w:eastAsia="仿宋" w:cs="仿宋"/>
          <w:b/>
          <w:color w:val="auto"/>
          <w:sz w:val="36"/>
          <w:szCs w:val="48"/>
          <w:highlight w:val="none"/>
        </w:rPr>
      </w:pPr>
    </w:p>
    <w:p>
      <w:pPr>
        <w:pStyle w:val="2"/>
        <w:rPr>
          <w:rFonts w:hint="eastAsia" w:ascii="仿宋" w:hAnsi="仿宋" w:eastAsia="仿宋" w:cs="仿宋"/>
          <w:color w:val="auto"/>
          <w:highlight w:val="none"/>
        </w:rPr>
      </w:pPr>
    </w:p>
    <w:p>
      <w:pPr>
        <w:snapToGrid w:val="0"/>
        <w:spacing w:line="360" w:lineRule="auto"/>
        <w:ind w:right="2" w:rightChars="1" w:firstLine="703" w:firstLineChars="250"/>
        <w:rPr>
          <w:rFonts w:hint="eastAsia" w:ascii="仿宋" w:hAnsi="仿宋" w:eastAsia="仿宋" w:cs="仿宋"/>
          <w:b/>
          <w:color w:val="auto"/>
          <w:sz w:val="28"/>
          <w:szCs w:val="28"/>
          <w:highlight w:val="none"/>
          <w:lang w:eastAsia="zh-CN"/>
        </w:rPr>
      </w:pPr>
      <w:r>
        <w:rPr>
          <w:rFonts w:hint="eastAsia" w:ascii="仿宋" w:hAnsi="仿宋" w:eastAsia="仿宋" w:cs="仿宋"/>
          <w:b/>
          <w:color w:val="auto"/>
          <w:sz w:val="28"/>
          <w:szCs w:val="28"/>
          <w:highlight w:val="none"/>
        </w:rPr>
        <w:t>甲方：甘肃酒钢集团宏兴钢铁股份有限公司</w:t>
      </w:r>
      <w:r>
        <w:rPr>
          <w:rFonts w:hint="eastAsia" w:ascii="仿宋" w:hAnsi="仿宋" w:eastAsia="仿宋" w:cs="仿宋"/>
          <w:b/>
          <w:color w:val="auto"/>
          <w:sz w:val="28"/>
          <w:szCs w:val="28"/>
          <w:highlight w:val="none"/>
          <w:lang w:eastAsia="zh-CN"/>
        </w:rPr>
        <w:t>炼铁厂</w:t>
      </w:r>
    </w:p>
    <w:p>
      <w:pPr>
        <w:spacing w:before="100" w:beforeAutospacing="1" w:after="100" w:afterAutospacing="1" w:line="360" w:lineRule="auto"/>
        <w:ind w:firstLine="722" w:firstLineChars="257"/>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甲方代表（签字）：</w:t>
      </w:r>
    </w:p>
    <w:p>
      <w:pPr>
        <w:spacing w:before="100" w:beforeAutospacing="1" w:after="100" w:afterAutospacing="1" w:line="360" w:lineRule="auto"/>
        <w:ind w:firstLine="722" w:firstLineChars="257"/>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乙方：</w:t>
      </w:r>
    </w:p>
    <w:p>
      <w:pPr>
        <w:snapToGrid w:val="0"/>
        <w:spacing w:before="100" w:beforeAutospacing="1" w:after="100" w:afterAutospacing="1" w:line="360" w:lineRule="auto"/>
        <w:ind w:right="-447" w:firstLine="722" w:firstLineChars="257"/>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乙方代表（签字）：</w:t>
      </w:r>
    </w:p>
    <w:p>
      <w:pPr>
        <w:snapToGrid w:val="0"/>
        <w:spacing w:before="100" w:beforeAutospacing="1" w:after="100" w:afterAutospacing="1" w:line="360" w:lineRule="auto"/>
        <w:ind w:right="-447" w:firstLine="1349" w:firstLineChars="420"/>
        <w:rPr>
          <w:rFonts w:hint="eastAsia" w:ascii="仿宋" w:hAnsi="仿宋" w:eastAsia="仿宋" w:cs="仿宋"/>
          <w:b/>
          <w:color w:val="auto"/>
          <w:sz w:val="32"/>
          <w:szCs w:val="32"/>
          <w:highlight w:val="none"/>
        </w:rPr>
      </w:pPr>
    </w:p>
    <w:p>
      <w:pPr>
        <w:snapToGrid w:val="0"/>
        <w:spacing w:before="100" w:beforeAutospacing="1" w:after="100" w:afterAutospacing="1" w:line="360" w:lineRule="auto"/>
        <w:ind w:right="-447"/>
        <w:rPr>
          <w:rFonts w:hint="eastAsia" w:ascii="仿宋" w:hAnsi="仿宋" w:eastAsia="仿宋" w:cs="仿宋"/>
          <w:b/>
          <w:color w:val="auto"/>
          <w:sz w:val="32"/>
          <w:szCs w:val="32"/>
          <w:highlight w:val="none"/>
        </w:rPr>
      </w:pPr>
    </w:p>
    <w:p>
      <w:pPr>
        <w:widowControl/>
        <w:spacing w:before="100" w:beforeAutospacing="1" w:after="100" w:afterAutospacing="1" w:line="360" w:lineRule="auto"/>
        <w:ind w:right="72" w:rightChars="30" w:firstLine="5409" w:firstLineChars="1796"/>
        <w:rPr>
          <w:rFonts w:hint="eastAsia" w:ascii="仿宋" w:hAnsi="仿宋" w:eastAsia="仿宋" w:cs="仿宋"/>
          <w:color w:val="auto"/>
          <w:sz w:val="48"/>
          <w:szCs w:val="48"/>
          <w:highlight w:val="none"/>
        </w:rPr>
      </w:pPr>
      <w:r>
        <w:rPr>
          <w:rFonts w:hint="eastAsia" w:ascii="仿宋" w:hAnsi="仿宋" w:eastAsia="仿宋" w:cs="仿宋"/>
          <w:b/>
          <w:color w:val="auto"/>
          <w:sz w:val="30"/>
          <w:szCs w:val="30"/>
          <w:highlight w:val="none"/>
        </w:rPr>
        <w:t>20</w:t>
      </w:r>
      <w:r>
        <w:rPr>
          <w:rFonts w:hint="eastAsia" w:ascii="仿宋" w:hAnsi="仿宋" w:eastAsia="仿宋" w:cs="仿宋"/>
          <w:b/>
          <w:color w:val="auto"/>
          <w:sz w:val="30"/>
          <w:szCs w:val="30"/>
          <w:highlight w:val="none"/>
          <w:lang w:val="en-US" w:eastAsia="zh-CN"/>
        </w:rPr>
        <w:t>25</w:t>
      </w:r>
      <w:r>
        <w:rPr>
          <w:rFonts w:hint="eastAsia" w:ascii="仿宋" w:hAnsi="仿宋" w:eastAsia="仿宋" w:cs="仿宋"/>
          <w:b/>
          <w:color w:val="auto"/>
          <w:sz w:val="30"/>
          <w:szCs w:val="30"/>
          <w:highlight w:val="none"/>
        </w:rPr>
        <w:t>年</w:t>
      </w:r>
      <w:r>
        <w:rPr>
          <w:rFonts w:hint="eastAsia" w:ascii="仿宋" w:hAnsi="仿宋" w:eastAsia="仿宋" w:cs="仿宋"/>
          <w:b/>
          <w:color w:val="auto"/>
          <w:sz w:val="30"/>
          <w:szCs w:val="30"/>
          <w:highlight w:val="none"/>
          <w:lang w:val="en-US" w:eastAsia="zh-CN"/>
        </w:rPr>
        <w:t>5</w:t>
      </w:r>
      <w:r>
        <w:rPr>
          <w:rFonts w:hint="eastAsia" w:ascii="仿宋" w:hAnsi="仿宋" w:eastAsia="仿宋" w:cs="仿宋"/>
          <w:b/>
          <w:color w:val="auto"/>
          <w:sz w:val="30"/>
          <w:szCs w:val="30"/>
          <w:highlight w:val="none"/>
        </w:rPr>
        <w:t>月</w:t>
      </w:r>
      <w:r>
        <w:rPr>
          <w:rFonts w:hint="eastAsia" w:ascii="仿宋" w:hAnsi="仿宋" w:eastAsia="仿宋" w:cs="仿宋"/>
          <w:b/>
          <w:color w:val="auto"/>
          <w:sz w:val="30"/>
          <w:szCs w:val="30"/>
          <w:highlight w:val="none"/>
          <w:lang w:val="en-US" w:eastAsia="zh-CN"/>
        </w:rPr>
        <w:t>27</w:t>
      </w:r>
      <w:r>
        <w:rPr>
          <w:rFonts w:hint="eastAsia" w:ascii="仿宋" w:hAnsi="仿宋" w:eastAsia="仿宋" w:cs="仿宋"/>
          <w:b/>
          <w:color w:val="auto"/>
          <w:sz w:val="30"/>
          <w:szCs w:val="30"/>
          <w:highlight w:val="none"/>
        </w:rPr>
        <w:t>日</w:t>
      </w:r>
    </w:p>
    <w:p>
      <w:pPr>
        <w:spacing w:line="360" w:lineRule="auto"/>
        <w:rPr>
          <w:rFonts w:hint="eastAsia" w:ascii="仿宋" w:hAnsi="仿宋" w:eastAsia="仿宋" w:cs="仿宋"/>
          <w:bCs/>
          <w:color w:val="auto"/>
          <w:highlight w:val="none"/>
        </w:rPr>
      </w:pPr>
    </w:p>
    <w:p>
      <w:pPr>
        <w:spacing w:line="360" w:lineRule="auto"/>
        <w:ind w:firstLine="3791" w:firstLineChars="1049"/>
        <w:rPr>
          <w:rFonts w:hint="eastAsia" w:ascii="仿宋" w:hAnsi="仿宋" w:eastAsia="仿宋" w:cs="仿宋"/>
          <w:b/>
          <w:color w:val="auto"/>
          <w:sz w:val="36"/>
          <w:szCs w:val="36"/>
          <w:highlight w:val="none"/>
        </w:rPr>
      </w:pPr>
      <w:r>
        <w:rPr>
          <w:rFonts w:hint="eastAsia" w:ascii="仿宋" w:hAnsi="仿宋" w:eastAsia="仿宋" w:cs="仿宋"/>
          <w:b/>
          <w:color w:val="auto"/>
          <w:sz w:val="36"/>
          <w:szCs w:val="36"/>
          <w:highlight w:val="none"/>
        </w:rPr>
        <w:t>目    录</w:t>
      </w:r>
    </w:p>
    <w:p>
      <w:pPr>
        <w:spacing w:line="360" w:lineRule="auto"/>
        <w:ind w:firstLine="3791" w:firstLineChars="1049"/>
        <w:rPr>
          <w:rFonts w:hint="eastAsia" w:ascii="仿宋" w:hAnsi="仿宋" w:eastAsia="仿宋" w:cs="仿宋"/>
          <w:b/>
          <w:color w:val="auto"/>
          <w:sz w:val="36"/>
          <w:szCs w:val="36"/>
          <w:highlight w:val="none"/>
        </w:rPr>
      </w:pPr>
    </w:p>
    <w:p>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附件一    总则</w:t>
      </w:r>
    </w:p>
    <w:p>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附件二    制造要求</w:t>
      </w:r>
    </w:p>
    <w:p>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附件三    系统设备设施供货范围</w:t>
      </w:r>
    </w:p>
    <w:p>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附件四    提供资料</w:t>
      </w:r>
    </w:p>
    <w:p>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附件五    售后服务</w:t>
      </w:r>
    </w:p>
    <w:p>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附件六    交货时间及地点</w:t>
      </w:r>
    </w:p>
    <w:p>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附件七    其它</w:t>
      </w:r>
    </w:p>
    <w:p>
      <w:pPr>
        <w:snapToGrid w:val="0"/>
        <w:spacing w:line="360" w:lineRule="auto"/>
        <w:ind w:right="-447"/>
        <w:jc w:val="both"/>
        <w:rPr>
          <w:rFonts w:hint="eastAsia" w:ascii="仿宋" w:hAnsi="仿宋" w:eastAsia="仿宋" w:cs="仿宋"/>
          <w:b/>
          <w:color w:val="auto"/>
          <w:sz w:val="28"/>
          <w:szCs w:val="28"/>
          <w:highlight w:val="none"/>
        </w:rPr>
      </w:pPr>
    </w:p>
    <w:p>
      <w:pPr>
        <w:snapToGrid w:val="0"/>
        <w:spacing w:line="360" w:lineRule="auto"/>
        <w:ind w:right="-447"/>
        <w:jc w:val="both"/>
        <w:rPr>
          <w:rFonts w:hint="eastAsia" w:ascii="仿宋" w:hAnsi="仿宋" w:eastAsia="仿宋" w:cs="仿宋"/>
          <w:b/>
          <w:color w:val="auto"/>
          <w:sz w:val="28"/>
          <w:szCs w:val="28"/>
          <w:highlight w:val="none"/>
        </w:rPr>
      </w:pPr>
    </w:p>
    <w:p>
      <w:pPr>
        <w:snapToGrid w:val="0"/>
        <w:spacing w:line="360" w:lineRule="auto"/>
        <w:ind w:right="-447"/>
        <w:jc w:val="both"/>
        <w:rPr>
          <w:rFonts w:hint="eastAsia" w:ascii="仿宋" w:hAnsi="仿宋" w:eastAsia="仿宋" w:cs="仿宋"/>
          <w:b/>
          <w:color w:val="auto"/>
          <w:sz w:val="28"/>
          <w:szCs w:val="28"/>
          <w:highlight w:val="none"/>
        </w:rPr>
      </w:pPr>
    </w:p>
    <w:p>
      <w:pPr>
        <w:snapToGrid w:val="0"/>
        <w:spacing w:line="360" w:lineRule="auto"/>
        <w:ind w:right="-447"/>
        <w:jc w:val="both"/>
        <w:rPr>
          <w:rFonts w:hint="eastAsia" w:ascii="仿宋" w:hAnsi="仿宋" w:eastAsia="仿宋" w:cs="仿宋"/>
          <w:b/>
          <w:color w:val="auto"/>
          <w:sz w:val="28"/>
          <w:szCs w:val="28"/>
          <w:highlight w:val="none"/>
        </w:rPr>
      </w:pPr>
    </w:p>
    <w:p>
      <w:pPr>
        <w:snapToGrid w:val="0"/>
        <w:spacing w:line="360" w:lineRule="auto"/>
        <w:ind w:right="-447"/>
        <w:jc w:val="both"/>
        <w:rPr>
          <w:rFonts w:hint="eastAsia" w:ascii="仿宋" w:hAnsi="仿宋" w:eastAsia="仿宋" w:cs="仿宋"/>
          <w:b/>
          <w:color w:val="auto"/>
          <w:sz w:val="28"/>
          <w:szCs w:val="28"/>
          <w:highlight w:val="none"/>
        </w:rPr>
      </w:pPr>
    </w:p>
    <w:p>
      <w:pPr>
        <w:snapToGrid w:val="0"/>
        <w:spacing w:line="360" w:lineRule="auto"/>
        <w:ind w:right="-447"/>
        <w:jc w:val="both"/>
        <w:rPr>
          <w:rFonts w:hint="eastAsia" w:ascii="仿宋" w:hAnsi="仿宋" w:eastAsia="仿宋" w:cs="仿宋"/>
          <w:b/>
          <w:color w:val="auto"/>
          <w:sz w:val="28"/>
          <w:szCs w:val="28"/>
          <w:highlight w:val="none"/>
        </w:rPr>
      </w:pPr>
    </w:p>
    <w:p>
      <w:pPr>
        <w:snapToGrid w:val="0"/>
        <w:spacing w:line="360" w:lineRule="auto"/>
        <w:ind w:right="-447"/>
        <w:jc w:val="both"/>
        <w:rPr>
          <w:rFonts w:hint="eastAsia" w:ascii="仿宋" w:hAnsi="仿宋" w:eastAsia="仿宋" w:cs="仿宋"/>
          <w:b/>
          <w:color w:val="auto"/>
          <w:sz w:val="28"/>
          <w:szCs w:val="28"/>
          <w:highlight w:val="none"/>
        </w:rPr>
      </w:pPr>
    </w:p>
    <w:p>
      <w:pPr>
        <w:widowControl/>
        <w:autoSpaceDE w:val="0"/>
        <w:autoSpaceDN w:val="0"/>
        <w:adjustRightInd/>
        <w:spacing w:line="360" w:lineRule="auto"/>
        <w:ind w:firstLine="420" w:firstLineChars="200"/>
        <w:jc w:val="left"/>
        <w:textAlignment w:val="auto"/>
        <w:rPr>
          <w:rFonts w:hint="eastAsia" w:ascii="仿宋" w:hAnsi="仿宋" w:eastAsia="仿宋" w:cs="仿宋"/>
          <w:color w:val="auto"/>
          <w:sz w:val="21"/>
          <w:szCs w:val="21"/>
          <w:highlight w:val="none"/>
        </w:rPr>
      </w:pPr>
    </w:p>
    <w:p>
      <w:pPr>
        <w:widowControl/>
        <w:autoSpaceDE w:val="0"/>
        <w:autoSpaceDN w:val="0"/>
        <w:adjustRightInd/>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甘肃酒钢集团宏兴钢铁股份有限公司</w:t>
      </w:r>
      <w:r>
        <w:rPr>
          <w:rFonts w:hint="eastAsia" w:ascii="仿宋" w:hAnsi="仿宋" w:eastAsia="仿宋" w:cs="仿宋"/>
          <w:color w:val="auto"/>
          <w:sz w:val="21"/>
          <w:szCs w:val="21"/>
          <w:highlight w:val="none"/>
          <w:lang w:eastAsia="zh-CN"/>
        </w:rPr>
        <w:t>炼铁</w:t>
      </w:r>
      <w:r>
        <w:rPr>
          <w:rFonts w:hint="eastAsia" w:ascii="仿宋" w:hAnsi="仿宋" w:eastAsia="仿宋" w:cs="仿宋"/>
          <w:color w:val="auto"/>
          <w:sz w:val="21"/>
          <w:szCs w:val="21"/>
          <w:highlight w:val="none"/>
        </w:rPr>
        <w:t>厂（以下称甲方）与</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（以下称乙方）就甲方</w:t>
      </w:r>
      <w:r>
        <w:rPr>
          <w:rFonts w:hint="eastAsia" w:ascii="仿宋" w:hAnsi="仿宋" w:eastAsia="仿宋" w:cs="仿宋"/>
          <w:color w:val="auto"/>
          <w:sz w:val="21"/>
          <w:szCs w:val="21"/>
          <w:highlight w:val="none"/>
          <w:lang w:eastAsia="zh-CN"/>
        </w:rPr>
        <w:t>炼铁厂波纹补偿器\1.0MPa DN200 L=300 法兰 304+Q235A</w:t>
      </w:r>
      <w:r>
        <w:rPr>
          <w:rFonts w:hint="eastAsia" w:ascii="仿宋" w:hAnsi="仿宋" w:eastAsia="仿宋" w:cs="仿宋"/>
          <w:color w:val="auto"/>
          <w:sz w:val="21"/>
          <w:szCs w:val="21"/>
          <w:highlight w:val="none"/>
        </w:rPr>
        <w:t>采购经双方协商，达成如下技术协议：</w:t>
      </w:r>
    </w:p>
    <w:p>
      <w:pPr>
        <w:widowControl/>
        <w:adjustRightInd/>
        <w:spacing w:line="360" w:lineRule="auto"/>
        <w:textAlignment w:val="auto"/>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附件一</w:t>
      </w:r>
      <w:r>
        <w:rPr>
          <w:rFonts w:hint="eastAsia" w:ascii="仿宋" w:hAnsi="仿宋" w:eastAsia="仿宋" w:cs="仿宋"/>
          <w:b/>
          <w:color w:val="auto"/>
          <w:sz w:val="21"/>
          <w:szCs w:val="21"/>
          <w:highlight w:val="none"/>
          <w:lang w:val="en-US" w:eastAsia="zh-CN"/>
        </w:rPr>
        <w:t xml:space="preserve"> </w:t>
      </w:r>
      <w:r>
        <w:rPr>
          <w:rFonts w:hint="eastAsia" w:ascii="仿宋" w:hAnsi="仿宋" w:eastAsia="仿宋" w:cs="仿宋"/>
          <w:b/>
          <w:color w:val="auto"/>
          <w:sz w:val="21"/>
          <w:szCs w:val="21"/>
          <w:highlight w:val="none"/>
        </w:rPr>
        <w:t>总则</w:t>
      </w:r>
    </w:p>
    <w:p>
      <w:pPr>
        <w:tabs>
          <w:tab w:val="left" w:pos="1080"/>
        </w:tabs>
        <w:spacing w:line="360" w:lineRule="auto"/>
        <w:ind w:firstLine="525" w:firstLineChars="25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本技术协议作为甲方设备订货合同的附件，与订货合同同时生效，具有同等法律效力。合同执行期间双方再协商形成的补充协议和追加条款也具有同等法律效力。</w:t>
      </w:r>
    </w:p>
    <w:p>
      <w:pPr>
        <w:keepNext w:val="0"/>
        <w:keepLines w:val="0"/>
        <w:pageBreakBefore w:val="0"/>
        <w:widowControl/>
        <w:tabs>
          <w:tab w:val="left" w:pos="1080"/>
        </w:tabs>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val="en-US" w:eastAsia="zh-CN"/>
        </w:rPr>
        <w:t>1.1</w:t>
      </w:r>
      <w:r>
        <w:rPr>
          <w:rFonts w:hint="eastAsia" w:ascii="仿宋" w:hAnsi="仿宋" w:eastAsia="仿宋" w:cs="仿宋"/>
          <w:color w:val="auto"/>
          <w:sz w:val="21"/>
          <w:szCs w:val="21"/>
          <w:highlight w:val="none"/>
        </w:rPr>
        <w:t>本技术协议所提出的是最低标准的技术要求，并未对一切技术细节做出规定，也未充分引述有关标准和规范的条文，乙方应保证提供符合有关标准和技术文件的优质产品</w:t>
      </w:r>
      <w:r>
        <w:rPr>
          <w:rFonts w:hint="eastAsia" w:ascii="仿宋" w:hAnsi="仿宋" w:eastAsia="仿宋" w:cs="仿宋"/>
          <w:color w:val="auto"/>
          <w:sz w:val="21"/>
          <w:szCs w:val="21"/>
          <w:highlight w:val="none"/>
          <w:lang w:eastAsia="zh-CN"/>
        </w:rPr>
        <w:t>。</w:t>
      </w:r>
    </w:p>
    <w:p>
      <w:pPr>
        <w:keepNext w:val="0"/>
        <w:keepLines w:val="0"/>
        <w:pageBreakBefore w:val="0"/>
        <w:widowControl/>
        <w:tabs>
          <w:tab w:val="left" w:pos="1080"/>
        </w:tabs>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val="en-US" w:eastAsia="zh-CN"/>
        </w:rPr>
        <w:t>1.2</w:t>
      </w:r>
      <w:r>
        <w:rPr>
          <w:rFonts w:hint="eastAsia" w:ascii="仿宋" w:hAnsi="仿宋" w:eastAsia="仿宋" w:cs="仿宋"/>
          <w:color w:val="auto"/>
          <w:sz w:val="21"/>
          <w:szCs w:val="21"/>
          <w:highlight w:val="none"/>
        </w:rPr>
        <w:t>乙方提供的设备必须具有国内同行业近几年内的先进制造水平，采用先进工艺，合格材料，成熟的技术或专利技术</w:t>
      </w:r>
      <w:r>
        <w:rPr>
          <w:rFonts w:hint="eastAsia" w:ascii="仿宋" w:hAnsi="仿宋" w:eastAsia="仿宋" w:cs="仿宋"/>
          <w:color w:val="auto"/>
          <w:sz w:val="21"/>
          <w:szCs w:val="21"/>
          <w:highlight w:val="none"/>
          <w:lang w:eastAsia="zh-CN"/>
        </w:rPr>
        <w:t>。</w:t>
      </w:r>
    </w:p>
    <w:p>
      <w:pPr>
        <w:keepNext w:val="0"/>
        <w:keepLines w:val="0"/>
        <w:pageBreakBefore w:val="0"/>
        <w:widowControl/>
        <w:tabs>
          <w:tab w:val="left" w:pos="1080"/>
        </w:tabs>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val="en-US" w:eastAsia="zh-CN"/>
        </w:rPr>
        <w:t>1.3</w:t>
      </w:r>
      <w:r>
        <w:rPr>
          <w:rFonts w:hint="eastAsia" w:ascii="仿宋" w:hAnsi="仿宋" w:eastAsia="仿宋" w:cs="仿宋"/>
          <w:color w:val="auto"/>
          <w:sz w:val="21"/>
          <w:szCs w:val="21"/>
          <w:highlight w:val="none"/>
        </w:rPr>
        <w:t>乙方提供的设备必须是全新、规范、先进的高质量可靠产品，能够确保连续稳定的工作</w:t>
      </w:r>
      <w:r>
        <w:rPr>
          <w:rFonts w:hint="eastAsia" w:ascii="仿宋" w:hAnsi="仿宋" w:eastAsia="仿宋" w:cs="仿宋"/>
          <w:color w:val="auto"/>
          <w:sz w:val="21"/>
          <w:szCs w:val="21"/>
          <w:highlight w:val="none"/>
          <w:lang w:eastAsia="zh-CN"/>
        </w:rPr>
        <w:t>。</w:t>
      </w:r>
    </w:p>
    <w:p>
      <w:pPr>
        <w:keepNext w:val="0"/>
        <w:keepLines w:val="0"/>
        <w:pageBreakBefore w:val="0"/>
        <w:widowControl/>
        <w:tabs>
          <w:tab w:val="left" w:pos="1080"/>
        </w:tabs>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val="en-US" w:eastAsia="zh-CN"/>
        </w:rPr>
        <w:t>1.4</w:t>
      </w:r>
      <w:r>
        <w:rPr>
          <w:rFonts w:hint="eastAsia" w:ascii="仿宋" w:hAnsi="仿宋" w:eastAsia="仿宋" w:cs="仿宋"/>
          <w:color w:val="auto"/>
          <w:sz w:val="21"/>
          <w:szCs w:val="21"/>
          <w:highlight w:val="none"/>
        </w:rPr>
        <w:t>乙方提供货物的制造、材料的选择，都应按照国内外通用的现行标准和相应的技术规范执行，而这些标准和技术规范应为合同签字日为止最新公布发问的标准和技术规范</w:t>
      </w:r>
      <w:r>
        <w:rPr>
          <w:rFonts w:hint="eastAsia" w:ascii="仿宋" w:hAnsi="仿宋" w:eastAsia="仿宋" w:cs="仿宋"/>
          <w:color w:val="auto"/>
          <w:sz w:val="21"/>
          <w:szCs w:val="21"/>
          <w:highlight w:val="none"/>
          <w:lang w:eastAsia="zh-CN"/>
        </w:rPr>
        <w:t>。</w:t>
      </w:r>
    </w:p>
    <w:p>
      <w:pPr>
        <w:keepNext w:val="0"/>
        <w:keepLines w:val="0"/>
        <w:pageBreakBefore w:val="0"/>
        <w:widowControl/>
        <w:tabs>
          <w:tab w:val="left" w:pos="1080"/>
        </w:tabs>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1.5乙方须对振动电动机的完整性、合理性和设计质量承担全部责任。保证设备满足系统工艺要求。</w:t>
      </w:r>
    </w:p>
    <w:p>
      <w:pPr>
        <w:keepNext w:val="0"/>
        <w:keepLines w:val="0"/>
        <w:pageBreakBefore w:val="0"/>
        <w:numPr>
          <w:ilvl w:val="0"/>
          <w:numId w:val="0"/>
        </w:numPr>
        <w:tabs>
          <w:tab w:val="left" w:pos="360"/>
        </w:tabs>
        <w:kinsoku/>
        <w:wordWrap/>
        <w:overflowPunct/>
        <w:topLinePunct w:val="0"/>
        <w:autoSpaceDE/>
        <w:autoSpaceDN/>
        <w:bidi w:val="0"/>
        <w:snapToGrid/>
        <w:spacing w:line="360" w:lineRule="auto"/>
        <w:ind w:firstLine="420" w:firstLineChars="200"/>
        <w:jc w:val="both"/>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1.6</w:t>
      </w:r>
      <w:r>
        <w:rPr>
          <w:rFonts w:hint="eastAsia" w:ascii="仿宋" w:hAnsi="仿宋" w:eastAsia="仿宋" w:cs="仿宋"/>
          <w:color w:val="auto"/>
          <w:sz w:val="21"/>
          <w:szCs w:val="21"/>
          <w:highlight w:val="none"/>
        </w:rPr>
        <w:t>乙方在合同货物制造中，发生侵犯专利的行为时其侵权责任与甲方无关。</w:t>
      </w:r>
    </w:p>
    <w:p>
      <w:pPr>
        <w:keepNext w:val="0"/>
        <w:keepLines w:val="0"/>
        <w:pageBreakBefore w:val="0"/>
        <w:kinsoku/>
        <w:wordWrap/>
        <w:overflowPunct/>
        <w:topLinePunct w:val="0"/>
        <w:autoSpaceDE/>
        <w:autoSpaceDN/>
        <w:bidi w:val="0"/>
        <w:snapToGrid/>
        <w:spacing w:line="360" w:lineRule="auto"/>
        <w:ind w:firstLine="420" w:firstLineChars="200"/>
        <w:rPr>
          <w:rFonts w:hint="eastAsia" w:ascii="仿宋" w:hAnsi="仿宋" w:eastAsia="仿宋" w:cs="仿宋"/>
          <w:b/>
          <w:color w:val="auto"/>
          <w:sz w:val="21"/>
          <w:szCs w:val="21"/>
          <w:highlight w:val="none"/>
        </w:rPr>
      </w:pPr>
      <w:r>
        <w:rPr>
          <w:rFonts w:hint="eastAsia" w:ascii="仿宋" w:hAnsi="仿宋" w:eastAsia="仿宋" w:cs="仿宋"/>
          <w:b w:val="0"/>
          <w:bCs/>
          <w:color w:val="auto"/>
          <w:sz w:val="21"/>
          <w:szCs w:val="21"/>
          <w:highlight w:val="none"/>
          <w:lang w:val="en-US" w:eastAsia="zh-CN"/>
        </w:rPr>
        <w:t>1.7乙方在投标前，按照本技术协议所规定的技术参数与甲方技术人员充分技术交流，并签订标签技术协议后，方可具备投标资质参标。</w:t>
      </w:r>
    </w:p>
    <w:p>
      <w:pPr>
        <w:spacing w:line="360" w:lineRule="auto"/>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附件二</w:t>
      </w:r>
      <w:r>
        <w:rPr>
          <w:rFonts w:hint="eastAsia" w:ascii="仿宋" w:hAnsi="仿宋" w:eastAsia="仿宋" w:cs="仿宋"/>
          <w:b/>
          <w:color w:val="auto"/>
          <w:sz w:val="21"/>
          <w:szCs w:val="21"/>
          <w:highlight w:val="none"/>
          <w:lang w:val="en-US" w:eastAsia="zh-CN"/>
        </w:rPr>
        <w:t xml:space="preserve"> </w:t>
      </w:r>
      <w:r>
        <w:rPr>
          <w:rFonts w:hint="eastAsia" w:ascii="仿宋" w:hAnsi="仿宋" w:eastAsia="仿宋" w:cs="仿宋"/>
          <w:b/>
          <w:color w:val="auto"/>
          <w:sz w:val="21"/>
          <w:szCs w:val="21"/>
          <w:highlight w:val="none"/>
        </w:rPr>
        <w:t>制造要求</w:t>
      </w:r>
    </w:p>
    <w:p>
      <w:pPr>
        <w:spacing w:line="360" w:lineRule="auto"/>
        <w:ind w:firstLine="413" w:firstLineChars="196"/>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2.1 使用环境</w:t>
      </w:r>
    </w:p>
    <w:p>
      <w:pPr>
        <w:spacing w:line="360" w:lineRule="auto"/>
        <w:ind w:firstLine="411" w:firstLineChars="196"/>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2.1.1</w:t>
      </w:r>
      <w:r>
        <w:rPr>
          <w:rFonts w:hint="eastAsia" w:ascii="仿宋" w:hAnsi="仿宋" w:eastAsia="仿宋" w:cs="仿宋"/>
          <w:color w:val="auto"/>
          <w:sz w:val="21"/>
          <w:szCs w:val="21"/>
          <w:highlight w:val="none"/>
        </w:rPr>
        <w:t>安装地点：户外型、高粉尘、爆炸危险场所2区、工业大气环境</w:t>
      </w:r>
      <w:r>
        <w:rPr>
          <w:rFonts w:hint="eastAsia" w:ascii="仿宋" w:hAnsi="仿宋" w:eastAsia="仿宋" w:cs="仿宋"/>
          <w:color w:val="auto"/>
          <w:sz w:val="21"/>
          <w:szCs w:val="21"/>
          <w:highlight w:val="none"/>
          <w:lang w:eastAsia="zh-CN"/>
        </w:rPr>
        <w:t>、工作温度</w:t>
      </w:r>
      <w:r>
        <w:rPr>
          <w:rFonts w:hint="eastAsia" w:ascii="仿宋" w:hAnsi="仿宋" w:eastAsia="仿宋" w:cs="仿宋"/>
          <w:color w:val="auto"/>
          <w:sz w:val="21"/>
          <w:szCs w:val="21"/>
          <w:highlight w:val="none"/>
          <w:lang w:val="en-US" w:eastAsia="zh-CN"/>
        </w:rPr>
        <w:t>-20℃-500℃</w:t>
      </w:r>
      <w:r>
        <w:rPr>
          <w:rFonts w:hint="eastAsia" w:ascii="仿宋" w:hAnsi="仿宋" w:eastAsia="仿宋" w:cs="仿宋"/>
          <w:color w:val="auto"/>
          <w:sz w:val="21"/>
          <w:szCs w:val="21"/>
          <w:highlight w:val="none"/>
        </w:rPr>
        <w:t>。</w:t>
      </w:r>
    </w:p>
    <w:p>
      <w:pPr>
        <w:spacing w:line="360" w:lineRule="auto"/>
        <w:ind w:left="475" w:leftChars="175" w:hanging="55" w:hangingChars="26"/>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2.3 相关技术要求</w:t>
      </w:r>
    </w:p>
    <w:p>
      <w:pPr>
        <w:spacing w:line="360" w:lineRule="auto"/>
        <w:ind w:firstLine="478" w:firstLineChars="228"/>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2.3.1 相关参数</w:t>
      </w:r>
    </w:p>
    <w:tbl>
      <w:tblPr>
        <w:tblStyle w:val="12"/>
        <w:tblW w:w="0" w:type="auto"/>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9"/>
        <w:gridCol w:w="29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1529" w:type="dxa"/>
            <w:tcBorders>
              <w:tl2br w:val="nil"/>
              <w:tr2bl w:val="nil"/>
            </w:tcBorders>
            <w:noWrap w:val="0"/>
            <w:vAlign w:val="center"/>
          </w:tcPr>
          <w:p>
            <w:pPr>
              <w:keepNext w:val="0"/>
              <w:keepLines w:val="0"/>
              <w:pageBreakBefore w:val="0"/>
              <w:widowControl w:val="0"/>
              <w:numPr>
                <w:ilvl w:val="0"/>
                <w:numId w:val="0"/>
              </w:numPr>
              <w:tabs>
                <w:tab w:val="left" w:pos="540"/>
                <w:tab w:val="left" w:pos="720"/>
                <w:tab w:val="left" w:pos="1080"/>
              </w:tabs>
              <w:kinsoku/>
              <w:wordWrap/>
              <w:overflowPunct/>
              <w:topLinePunct w:val="0"/>
              <w:autoSpaceDE/>
              <w:autoSpaceDN/>
              <w:bidi w:val="0"/>
              <w:adjustRightInd/>
              <w:snapToGrid/>
              <w:spacing w:line="240" w:lineRule="auto"/>
              <w:jc w:val="both"/>
              <w:textAlignment w:val="auto"/>
              <w:rPr>
                <w:rFonts w:hint="eastAsia" w:ascii="宋体" w:hAnsi="宋体" w:eastAsia="宋体" w:cs="Times New Roman"/>
                <w:color w:val="auto"/>
                <w:sz w:val="21"/>
                <w:szCs w:val="21"/>
                <w:highlight w:val="none"/>
                <w:lang w:val="en-US" w:eastAsia="zh-CN"/>
              </w:rPr>
            </w:pPr>
            <w:r>
              <w:rPr>
                <w:rFonts w:hint="eastAsia" w:ascii="宋体" w:hAnsi="宋体" w:eastAsia="宋体" w:cs="Times New Roman"/>
                <w:color w:val="auto"/>
                <w:sz w:val="21"/>
                <w:szCs w:val="21"/>
                <w:highlight w:val="none"/>
                <w:lang w:eastAsia="zh-CN"/>
              </w:rPr>
              <w:t>参数名称</w:t>
            </w:r>
          </w:p>
        </w:tc>
        <w:tc>
          <w:tcPr>
            <w:tcW w:w="2986" w:type="dxa"/>
            <w:tcBorders>
              <w:tl2br w:val="nil"/>
              <w:tr2bl w:val="nil"/>
            </w:tcBorders>
            <w:noWrap w:val="0"/>
            <w:vAlign w:val="center"/>
          </w:tcPr>
          <w:p>
            <w:pPr>
              <w:keepNext w:val="0"/>
              <w:keepLines w:val="0"/>
              <w:pageBreakBefore w:val="0"/>
              <w:widowControl w:val="0"/>
              <w:numPr>
                <w:ilvl w:val="0"/>
                <w:numId w:val="0"/>
              </w:numPr>
              <w:tabs>
                <w:tab w:val="left" w:pos="540"/>
                <w:tab w:val="left" w:pos="720"/>
                <w:tab w:val="left" w:pos="1080"/>
              </w:tabs>
              <w:kinsoku/>
              <w:wordWrap/>
              <w:overflowPunct/>
              <w:topLinePunct w:val="0"/>
              <w:autoSpaceDE/>
              <w:autoSpaceDN/>
              <w:bidi w:val="0"/>
              <w:adjustRightInd/>
              <w:snapToGrid/>
              <w:spacing w:line="240" w:lineRule="auto"/>
              <w:jc w:val="both"/>
              <w:textAlignment w:val="auto"/>
              <w:rPr>
                <w:rFonts w:hint="eastAsia" w:ascii="宋体" w:hAnsi="宋体" w:eastAsia="宋体" w:cs="Times New Roman"/>
                <w:color w:val="auto"/>
                <w:sz w:val="21"/>
                <w:szCs w:val="21"/>
                <w:highlight w:val="none"/>
                <w:lang w:val="en-US" w:eastAsia="zh-CN"/>
              </w:rPr>
            </w:pPr>
            <w:r>
              <w:rPr>
                <w:rFonts w:hint="eastAsia" w:ascii="宋体" w:hAnsi="宋体" w:eastAsia="宋体" w:cs="Times New Roman"/>
                <w:color w:val="auto"/>
                <w:sz w:val="21"/>
                <w:szCs w:val="21"/>
                <w:highlight w:val="none"/>
                <w:lang w:eastAsia="zh-CN"/>
              </w:rPr>
              <w:t>工作参数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1529" w:type="dxa"/>
            <w:tcBorders>
              <w:tl2br w:val="nil"/>
              <w:tr2bl w:val="nil"/>
            </w:tcBorders>
            <w:noWrap w:val="0"/>
            <w:vAlign w:val="center"/>
          </w:tcPr>
          <w:p>
            <w:pPr>
              <w:keepNext w:val="0"/>
              <w:keepLines w:val="0"/>
              <w:pageBreakBefore w:val="0"/>
              <w:widowControl w:val="0"/>
              <w:numPr>
                <w:ilvl w:val="0"/>
                <w:numId w:val="0"/>
              </w:numPr>
              <w:tabs>
                <w:tab w:val="left" w:pos="540"/>
                <w:tab w:val="left" w:pos="720"/>
                <w:tab w:val="left" w:pos="1080"/>
              </w:tabs>
              <w:kinsoku/>
              <w:wordWrap/>
              <w:overflowPunct/>
              <w:topLinePunct w:val="0"/>
              <w:autoSpaceDE/>
              <w:autoSpaceDN/>
              <w:bidi w:val="0"/>
              <w:adjustRightInd/>
              <w:snapToGrid/>
              <w:spacing w:line="240" w:lineRule="auto"/>
              <w:jc w:val="both"/>
              <w:textAlignment w:val="auto"/>
              <w:rPr>
                <w:rFonts w:hint="eastAsia" w:ascii="宋体" w:hAnsi="宋体" w:eastAsia="宋体" w:cs="Times New Roman"/>
                <w:color w:val="auto"/>
                <w:sz w:val="21"/>
                <w:szCs w:val="21"/>
                <w:highlight w:val="none"/>
              </w:rPr>
            </w:pPr>
            <w:r>
              <w:rPr>
                <w:rFonts w:hint="eastAsia" w:ascii="宋体" w:hAnsi="宋体" w:cs="Times New Roman"/>
                <w:color w:val="auto"/>
                <w:sz w:val="20"/>
                <w:szCs w:val="20"/>
                <w:highlight w:val="none"/>
                <w:lang w:eastAsia="zh-CN"/>
              </w:rPr>
              <w:t>波纹补偿器</w:t>
            </w:r>
          </w:p>
        </w:tc>
        <w:tc>
          <w:tcPr>
            <w:tcW w:w="2986" w:type="dxa"/>
            <w:tcBorders>
              <w:tl2br w:val="nil"/>
              <w:tr2bl w:val="nil"/>
            </w:tcBorders>
            <w:noWrap w:val="0"/>
            <w:vAlign w:val="center"/>
          </w:tcPr>
          <w:p>
            <w:pPr>
              <w:keepNext w:val="0"/>
              <w:keepLines w:val="0"/>
              <w:pageBreakBefore w:val="0"/>
              <w:widowControl w:val="0"/>
              <w:numPr>
                <w:ilvl w:val="0"/>
                <w:numId w:val="0"/>
              </w:numPr>
              <w:tabs>
                <w:tab w:val="left" w:pos="540"/>
                <w:tab w:val="left" w:pos="720"/>
                <w:tab w:val="left" w:pos="1080"/>
              </w:tabs>
              <w:kinsoku/>
              <w:wordWrap/>
              <w:overflowPunct/>
              <w:topLinePunct w:val="0"/>
              <w:autoSpaceDE/>
              <w:autoSpaceDN/>
              <w:bidi w:val="0"/>
              <w:adjustRightInd/>
              <w:snapToGrid/>
              <w:spacing w:line="240" w:lineRule="auto"/>
              <w:jc w:val="both"/>
              <w:textAlignment w:val="auto"/>
              <w:rPr>
                <w:rFonts w:hint="default" w:ascii="宋体" w:hAnsi="宋体" w:eastAsia="宋体" w:cs="Times New Roman"/>
                <w:color w:val="auto"/>
                <w:sz w:val="21"/>
                <w:szCs w:val="21"/>
                <w:highlight w:val="none"/>
                <w:lang w:val="en-US" w:eastAsia="zh-CN"/>
              </w:rPr>
            </w:pPr>
            <w:r>
              <w:rPr>
                <w:rFonts w:hint="eastAsia" w:ascii="宋体" w:hAnsi="宋体" w:cs="Times New Roman"/>
                <w:color w:val="auto"/>
                <w:sz w:val="20"/>
                <w:szCs w:val="20"/>
                <w:highlight w:val="none"/>
                <w:lang w:eastAsia="zh-CN"/>
              </w:rPr>
              <w:t>波纹补偿器\1.0MPa DN200 L=300 法兰 304+Q235A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1529" w:type="dxa"/>
            <w:tcBorders>
              <w:tl2br w:val="nil"/>
              <w:tr2bl w:val="nil"/>
            </w:tcBorders>
            <w:noWrap w:val="0"/>
            <w:vAlign w:val="center"/>
          </w:tcPr>
          <w:p>
            <w:pPr>
              <w:keepNext w:val="0"/>
              <w:keepLines w:val="0"/>
              <w:pageBreakBefore w:val="0"/>
              <w:widowControl w:val="0"/>
              <w:numPr>
                <w:ilvl w:val="0"/>
                <w:numId w:val="0"/>
              </w:numPr>
              <w:tabs>
                <w:tab w:val="left" w:pos="540"/>
                <w:tab w:val="left" w:pos="720"/>
                <w:tab w:val="left" w:pos="1080"/>
              </w:tabs>
              <w:kinsoku/>
              <w:wordWrap/>
              <w:overflowPunct/>
              <w:topLinePunct w:val="0"/>
              <w:autoSpaceDE/>
              <w:autoSpaceDN/>
              <w:bidi w:val="0"/>
              <w:adjustRightInd/>
              <w:snapToGrid/>
              <w:spacing w:line="240" w:lineRule="auto"/>
              <w:jc w:val="both"/>
              <w:textAlignment w:val="auto"/>
              <w:rPr>
                <w:rFonts w:hint="default" w:ascii="宋体" w:hAnsi="宋体" w:eastAsia="宋体" w:cs="Times New Roman"/>
                <w:color w:val="auto"/>
                <w:sz w:val="21"/>
                <w:szCs w:val="21"/>
                <w:highlight w:val="none"/>
                <w:lang w:val="en-US" w:eastAsia="zh-CN"/>
              </w:rPr>
            </w:pPr>
            <w:r>
              <w:rPr>
                <w:rFonts w:hint="eastAsia" w:ascii="宋体" w:hAnsi="宋体" w:eastAsia="宋体" w:cs="Times New Roman"/>
                <w:color w:val="auto"/>
                <w:sz w:val="21"/>
                <w:szCs w:val="21"/>
                <w:highlight w:val="none"/>
                <w:lang w:val="en-US" w:eastAsia="zh-CN"/>
              </w:rPr>
              <w:t>实际内径</w:t>
            </w:r>
          </w:p>
        </w:tc>
        <w:tc>
          <w:tcPr>
            <w:tcW w:w="2986" w:type="dxa"/>
            <w:tcBorders>
              <w:tl2br w:val="nil"/>
              <w:tr2bl w:val="nil"/>
            </w:tcBorders>
            <w:noWrap w:val="0"/>
            <w:vAlign w:val="center"/>
          </w:tcPr>
          <w:p>
            <w:pPr>
              <w:keepNext w:val="0"/>
              <w:keepLines w:val="0"/>
              <w:pageBreakBefore w:val="0"/>
              <w:widowControl w:val="0"/>
              <w:numPr>
                <w:ilvl w:val="0"/>
                <w:numId w:val="0"/>
              </w:numPr>
              <w:tabs>
                <w:tab w:val="left" w:pos="540"/>
                <w:tab w:val="left" w:pos="720"/>
                <w:tab w:val="left" w:pos="1080"/>
              </w:tabs>
              <w:kinsoku/>
              <w:wordWrap/>
              <w:overflowPunct/>
              <w:topLinePunct w:val="0"/>
              <w:autoSpaceDE/>
              <w:autoSpaceDN/>
              <w:bidi w:val="0"/>
              <w:adjustRightInd/>
              <w:snapToGrid/>
              <w:spacing w:line="240" w:lineRule="auto"/>
              <w:jc w:val="both"/>
              <w:textAlignment w:val="auto"/>
              <w:rPr>
                <w:rFonts w:hint="default" w:ascii="宋体" w:hAnsi="宋体" w:eastAsia="宋体" w:cs="Times New Roman"/>
                <w:color w:val="auto"/>
                <w:sz w:val="21"/>
                <w:szCs w:val="21"/>
                <w:highlight w:val="none"/>
                <w:lang w:val="en-US" w:eastAsia="zh-CN"/>
              </w:rPr>
            </w:pPr>
            <w:r>
              <w:rPr>
                <w:rFonts w:hint="eastAsia" w:ascii="宋体" w:hAnsi="宋体" w:cs="Times New Roman"/>
                <w:color w:val="auto"/>
                <w:sz w:val="21"/>
                <w:szCs w:val="21"/>
                <w:highlight w:val="none"/>
                <w:lang w:val="en-US" w:eastAsia="zh-CN"/>
              </w:rPr>
              <w:t>200</w:t>
            </w:r>
            <w:r>
              <w:rPr>
                <w:rFonts w:hint="eastAsia" w:ascii="宋体" w:hAnsi="宋体" w:eastAsia="宋体" w:cs="Times New Roman"/>
                <w:color w:val="auto"/>
                <w:sz w:val="21"/>
                <w:szCs w:val="21"/>
                <w:highlight w:val="none"/>
                <w:lang w:val="en-US" w:eastAsia="zh-CN"/>
              </w:rPr>
              <w:t>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1529" w:type="dxa"/>
            <w:tcBorders>
              <w:tl2br w:val="nil"/>
              <w:tr2bl w:val="nil"/>
            </w:tcBorders>
            <w:noWrap w:val="0"/>
            <w:vAlign w:val="center"/>
          </w:tcPr>
          <w:p>
            <w:pPr>
              <w:keepNext w:val="0"/>
              <w:keepLines w:val="0"/>
              <w:pageBreakBefore w:val="0"/>
              <w:widowControl w:val="0"/>
              <w:numPr>
                <w:ilvl w:val="0"/>
                <w:numId w:val="0"/>
              </w:numPr>
              <w:tabs>
                <w:tab w:val="left" w:pos="540"/>
                <w:tab w:val="left" w:pos="720"/>
                <w:tab w:val="left" w:pos="1080"/>
              </w:tabs>
              <w:kinsoku/>
              <w:wordWrap/>
              <w:overflowPunct/>
              <w:topLinePunct w:val="0"/>
              <w:autoSpaceDE/>
              <w:autoSpaceDN/>
              <w:bidi w:val="0"/>
              <w:adjustRightInd/>
              <w:snapToGrid/>
              <w:spacing w:line="240" w:lineRule="auto"/>
              <w:jc w:val="both"/>
              <w:textAlignment w:val="auto"/>
              <w:rPr>
                <w:rFonts w:hint="eastAsia" w:ascii="宋体" w:hAnsi="宋体" w:eastAsia="宋体" w:cs="Times New Roman"/>
                <w:color w:val="auto"/>
                <w:sz w:val="21"/>
                <w:szCs w:val="21"/>
                <w:highlight w:val="none"/>
              </w:rPr>
            </w:pPr>
            <w:r>
              <w:rPr>
                <w:rFonts w:hint="eastAsia" w:ascii="宋体" w:hAnsi="宋体"/>
                <w:sz w:val="21"/>
                <w:szCs w:val="21"/>
                <w:lang w:eastAsia="zh-CN"/>
              </w:rPr>
              <w:t>工作介质</w:t>
            </w:r>
          </w:p>
        </w:tc>
        <w:tc>
          <w:tcPr>
            <w:tcW w:w="2986" w:type="dxa"/>
            <w:tcBorders>
              <w:tl2br w:val="nil"/>
              <w:tr2bl w:val="nil"/>
            </w:tcBorders>
            <w:noWrap w:val="0"/>
            <w:vAlign w:val="center"/>
          </w:tcPr>
          <w:p>
            <w:pPr>
              <w:keepNext w:val="0"/>
              <w:keepLines w:val="0"/>
              <w:pageBreakBefore w:val="0"/>
              <w:widowControl w:val="0"/>
              <w:numPr>
                <w:ilvl w:val="0"/>
                <w:numId w:val="0"/>
              </w:numPr>
              <w:tabs>
                <w:tab w:val="left" w:pos="540"/>
                <w:tab w:val="left" w:pos="720"/>
                <w:tab w:val="left" w:pos="1080"/>
              </w:tabs>
              <w:kinsoku/>
              <w:wordWrap/>
              <w:overflowPunct/>
              <w:topLinePunct w:val="0"/>
              <w:autoSpaceDE/>
              <w:autoSpaceDN/>
              <w:bidi w:val="0"/>
              <w:adjustRightInd/>
              <w:snapToGrid/>
              <w:spacing w:line="240" w:lineRule="auto"/>
              <w:jc w:val="both"/>
              <w:textAlignment w:val="auto"/>
              <w:rPr>
                <w:rFonts w:hint="default" w:ascii="宋体" w:hAnsi="宋体" w:eastAsia="宋体" w:cs="Times New Roman"/>
                <w:color w:val="auto"/>
                <w:sz w:val="21"/>
                <w:szCs w:val="21"/>
                <w:highlight w:val="none"/>
                <w:lang w:val="en-US" w:eastAsia="zh-CN"/>
              </w:rPr>
            </w:pPr>
            <w:r>
              <w:rPr>
                <w:rFonts w:hint="eastAsia" w:ascii="宋体" w:hAnsi="宋体"/>
                <w:sz w:val="21"/>
                <w:szCs w:val="21"/>
                <w:lang w:eastAsia="zh-CN"/>
              </w:rPr>
              <w:t>压缩空气、氮气、除尘灰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1529" w:type="dxa"/>
            <w:tcBorders>
              <w:tl2br w:val="nil"/>
              <w:tr2bl w:val="nil"/>
            </w:tcBorders>
            <w:noWrap w:val="0"/>
            <w:vAlign w:val="center"/>
          </w:tcPr>
          <w:p>
            <w:pPr>
              <w:keepNext w:val="0"/>
              <w:keepLines w:val="0"/>
              <w:pageBreakBefore w:val="0"/>
              <w:widowControl w:val="0"/>
              <w:numPr>
                <w:ilvl w:val="0"/>
                <w:numId w:val="0"/>
              </w:numPr>
              <w:tabs>
                <w:tab w:val="left" w:pos="540"/>
                <w:tab w:val="left" w:pos="720"/>
                <w:tab w:val="left" w:pos="1080"/>
              </w:tabs>
              <w:kinsoku/>
              <w:wordWrap/>
              <w:overflowPunct/>
              <w:topLinePunct w:val="0"/>
              <w:autoSpaceDE/>
              <w:autoSpaceDN/>
              <w:bidi w:val="0"/>
              <w:adjustRightInd/>
              <w:snapToGrid/>
              <w:spacing w:line="240" w:lineRule="auto"/>
              <w:jc w:val="both"/>
              <w:textAlignment w:val="auto"/>
              <w:rPr>
                <w:rFonts w:hint="eastAsia" w:ascii="宋体" w:hAnsi="宋体" w:eastAsia="宋体" w:cs="Times New Roman"/>
                <w:color w:val="auto"/>
                <w:sz w:val="21"/>
                <w:szCs w:val="21"/>
                <w:highlight w:val="none"/>
                <w:lang w:eastAsia="zh-CN"/>
              </w:rPr>
            </w:pPr>
            <w:r>
              <w:rPr>
                <w:rFonts w:hint="eastAsia" w:ascii="宋体" w:hAnsi="宋体" w:eastAsia="宋体" w:cs="Times New Roman"/>
                <w:color w:val="auto"/>
                <w:sz w:val="21"/>
                <w:szCs w:val="21"/>
                <w:highlight w:val="none"/>
                <w:lang w:eastAsia="zh-CN"/>
              </w:rPr>
              <w:t>公称压力</w:t>
            </w:r>
          </w:p>
        </w:tc>
        <w:tc>
          <w:tcPr>
            <w:tcW w:w="2986" w:type="dxa"/>
            <w:tcBorders>
              <w:tl2br w:val="nil"/>
              <w:tr2bl w:val="nil"/>
            </w:tcBorders>
            <w:noWrap w:val="0"/>
            <w:vAlign w:val="center"/>
          </w:tcPr>
          <w:p>
            <w:pPr>
              <w:keepNext w:val="0"/>
              <w:keepLines w:val="0"/>
              <w:pageBreakBefore w:val="0"/>
              <w:widowControl w:val="0"/>
              <w:numPr>
                <w:ilvl w:val="0"/>
                <w:numId w:val="0"/>
              </w:numPr>
              <w:tabs>
                <w:tab w:val="left" w:pos="540"/>
                <w:tab w:val="left" w:pos="720"/>
                <w:tab w:val="left" w:pos="1080"/>
              </w:tabs>
              <w:kinsoku/>
              <w:wordWrap/>
              <w:overflowPunct/>
              <w:topLinePunct w:val="0"/>
              <w:autoSpaceDE/>
              <w:autoSpaceDN/>
              <w:bidi w:val="0"/>
              <w:adjustRightInd/>
              <w:snapToGrid/>
              <w:spacing w:line="240" w:lineRule="auto"/>
              <w:jc w:val="both"/>
              <w:textAlignment w:val="auto"/>
              <w:rPr>
                <w:rFonts w:hint="default" w:ascii="宋体" w:hAnsi="宋体" w:eastAsia="宋体" w:cs="Times New Roman"/>
                <w:color w:val="auto"/>
                <w:sz w:val="21"/>
                <w:szCs w:val="21"/>
                <w:highlight w:val="none"/>
                <w:lang w:val="en-US" w:eastAsia="zh-CN"/>
              </w:rPr>
            </w:pPr>
            <w:r>
              <w:rPr>
                <w:rFonts w:hint="eastAsia" w:ascii="宋体" w:hAnsi="宋体" w:cs="Times New Roman"/>
                <w:color w:val="auto"/>
                <w:sz w:val="21"/>
                <w:szCs w:val="21"/>
                <w:highlight w:val="none"/>
                <w:lang w:val="en-US" w:eastAsia="zh-CN"/>
              </w:rPr>
              <w:t>1</w:t>
            </w:r>
            <w:r>
              <w:rPr>
                <w:rFonts w:hint="eastAsia" w:ascii="宋体" w:hAnsi="宋体" w:eastAsia="宋体" w:cs="Times New Roman"/>
                <w:color w:val="auto"/>
                <w:sz w:val="21"/>
                <w:szCs w:val="21"/>
                <w:highlight w:val="none"/>
                <w:lang w:val="en-US" w:eastAsia="zh-CN"/>
              </w:rPr>
              <w:t>.</w:t>
            </w:r>
            <w:r>
              <w:rPr>
                <w:rFonts w:hint="eastAsia" w:ascii="宋体" w:hAnsi="宋体" w:cs="Times New Roman"/>
                <w:color w:val="auto"/>
                <w:sz w:val="21"/>
                <w:szCs w:val="21"/>
                <w:highlight w:val="none"/>
                <w:lang w:val="en-US" w:eastAsia="zh-CN"/>
              </w:rPr>
              <w:t>0</w:t>
            </w:r>
            <w:r>
              <w:rPr>
                <w:rFonts w:hint="eastAsia" w:ascii="宋体" w:hAnsi="宋体" w:eastAsia="宋体" w:cs="Times New Roman"/>
                <w:color w:val="auto"/>
                <w:sz w:val="21"/>
                <w:szCs w:val="21"/>
                <w:highlight w:val="none"/>
                <w:lang w:val="en-US" w:eastAsia="zh-CN"/>
              </w:rPr>
              <w:t>MPa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1529" w:type="dxa"/>
            <w:tcBorders>
              <w:tl2br w:val="nil"/>
              <w:tr2bl w:val="nil"/>
            </w:tcBorders>
            <w:noWrap w:val="0"/>
            <w:vAlign w:val="center"/>
          </w:tcPr>
          <w:p>
            <w:pPr>
              <w:keepNext w:val="0"/>
              <w:keepLines w:val="0"/>
              <w:pageBreakBefore w:val="0"/>
              <w:widowControl w:val="0"/>
              <w:numPr>
                <w:ilvl w:val="0"/>
                <w:numId w:val="0"/>
              </w:numPr>
              <w:tabs>
                <w:tab w:val="left" w:pos="540"/>
                <w:tab w:val="left" w:pos="720"/>
                <w:tab w:val="left" w:pos="1080"/>
              </w:tabs>
              <w:kinsoku/>
              <w:wordWrap/>
              <w:overflowPunct/>
              <w:topLinePunct w:val="0"/>
              <w:autoSpaceDE/>
              <w:autoSpaceDN/>
              <w:bidi w:val="0"/>
              <w:adjustRightInd/>
              <w:snapToGrid/>
              <w:spacing w:line="240" w:lineRule="auto"/>
              <w:jc w:val="both"/>
              <w:textAlignment w:val="auto"/>
              <w:rPr>
                <w:rFonts w:hint="eastAsia" w:ascii="宋体" w:hAnsi="宋体" w:eastAsia="宋体" w:cs="Times New Roman"/>
                <w:color w:val="auto"/>
                <w:sz w:val="21"/>
                <w:szCs w:val="21"/>
                <w:highlight w:val="none"/>
                <w:lang w:eastAsia="zh-CN"/>
              </w:rPr>
            </w:pPr>
            <w:r>
              <w:rPr>
                <w:rFonts w:hint="eastAsia" w:ascii="宋体" w:hAnsi="宋体"/>
                <w:sz w:val="24"/>
                <w:lang w:eastAsia="zh-CN"/>
              </w:rPr>
              <w:t>材质要求</w:t>
            </w:r>
          </w:p>
        </w:tc>
        <w:tc>
          <w:tcPr>
            <w:tcW w:w="2986" w:type="dxa"/>
            <w:tcBorders>
              <w:tl2br w:val="nil"/>
              <w:tr2bl w:val="nil"/>
            </w:tcBorders>
            <w:noWrap w:val="0"/>
            <w:vAlign w:val="center"/>
          </w:tcPr>
          <w:p>
            <w:pPr>
              <w:keepNext w:val="0"/>
              <w:keepLines w:val="0"/>
              <w:pageBreakBefore w:val="0"/>
              <w:widowControl w:val="0"/>
              <w:numPr>
                <w:ilvl w:val="0"/>
                <w:numId w:val="0"/>
              </w:numPr>
              <w:tabs>
                <w:tab w:val="left" w:pos="540"/>
                <w:tab w:val="left" w:pos="720"/>
                <w:tab w:val="left" w:pos="1080"/>
              </w:tabs>
              <w:kinsoku/>
              <w:wordWrap/>
              <w:overflowPunct/>
              <w:topLinePunct w:val="0"/>
              <w:autoSpaceDE/>
              <w:autoSpaceDN/>
              <w:bidi w:val="0"/>
              <w:adjustRightInd/>
              <w:snapToGrid/>
              <w:spacing w:line="240" w:lineRule="auto"/>
              <w:jc w:val="both"/>
              <w:textAlignment w:val="auto"/>
              <w:rPr>
                <w:rFonts w:hint="default" w:ascii="宋体" w:hAnsi="宋体" w:eastAsia="宋体" w:cs="Times New Roman"/>
                <w:color w:val="auto"/>
                <w:sz w:val="21"/>
                <w:szCs w:val="21"/>
                <w:highlight w:val="none"/>
                <w:lang w:val="en-US" w:eastAsia="zh-CN"/>
              </w:rPr>
            </w:pPr>
            <w:r>
              <w:rPr>
                <w:rFonts w:hint="eastAsia" w:ascii="宋体" w:hAnsi="宋体" w:cs="Times New Roman"/>
                <w:color w:val="auto"/>
                <w:sz w:val="20"/>
                <w:szCs w:val="20"/>
                <w:highlight w:val="none"/>
                <w:lang w:eastAsia="zh-CN"/>
              </w:rPr>
              <w:t>304+Q235A</w:t>
            </w:r>
          </w:p>
        </w:tc>
      </w:tr>
    </w:tbl>
    <w:p>
      <w:pPr>
        <w:spacing w:line="360" w:lineRule="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rPr>
        <w:t>2.3.</w:t>
      </w:r>
      <w:r>
        <w:rPr>
          <w:rFonts w:hint="eastAsia" w:ascii="仿宋" w:hAnsi="仿宋" w:eastAsia="仿宋" w:cs="仿宋"/>
          <w:color w:val="auto"/>
          <w:sz w:val="21"/>
          <w:szCs w:val="21"/>
          <w:highlight w:val="none"/>
          <w:lang w:val="en-US" w:eastAsia="zh-CN"/>
        </w:rPr>
        <w:t>2</w:t>
      </w:r>
      <w:r>
        <w:rPr>
          <w:rFonts w:hint="eastAsia" w:ascii="仿宋" w:hAnsi="仿宋" w:eastAsia="仿宋" w:cs="仿宋"/>
          <w:color w:val="auto"/>
          <w:sz w:val="21"/>
          <w:szCs w:val="21"/>
          <w:highlight w:val="none"/>
        </w:rPr>
        <w:t xml:space="preserve"> </w:t>
      </w:r>
      <w:r>
        <w:rPr>
          <w:rFonts w:hint="eastAsia" w:ascii="仿宋" w:hAnsi="仿宋" w:eastAsia="仿宋" w:cs="仿宋"/>
          <w:color w:val="auto"/>
          <w:sz w:val="21"/>
          <w:szCs w:val="21"/>
          <w:highlight w:val="none"/>
          <w:lang w:val="en-US" w:eastAsia="zh-CN"/>
        </w:rPr>
        <w:t>波纹补偿器</w:t>
      </w:r>
      <w:r>
        <w:rPr>
          <w:rFonts w:hint="eastAsia" w:ascii="仿宋" w:hAnsi="仿宋" w:eastAsia="仿宋" w:cs="仿宋"/>
          <w:color w:val="auto"/>
          <w:sz w:val="21"/>
          <w:szCs w:val="21"/>
          <w:highlight w:val="none"/>
          <w:lang w:eastAsia="zh-CN"/>
        </w:rPr>
        <w:t>其他主要技术要求</w:t>
      </w:r>
    </w:p>
    <w:p>
      <w:pPr>
        <w:spacing w:line="360" w:lineRule="auto"/>
        <w:rPr>
          <w:rFonts w:hint="eastAsia" w:ascii="宋体" w:hAnsi="宋体" w:cs="Times New Roman"/>
          <w:color w:val="auto"/>
          <w:sz w:val="20"/>
          <w:szCs w:val="20"/>
          <w:highlight w:val="none"/>
          <w:lang w:val="en-GB" w:eastAsia="zh-CN"/>
        </w:rPr>
      </w:pPr>
      <w:r>
        <w:rPr>
          <w:rFonts w:hint="eastAsia" w:ascii="仿宋" w:hAnsi="仿宋" w:eastAsia="仿宋" w:cs="仿宋"/>
          <w:color w:val="auto"/>
          <w:sz w:val="21"/>
          <w:szCs w:val="21"/>
          <w:highlight w:val="none"/>
        </w:rPr>
        <w:t>2.3.</w:t>
      </w:r>
      <w:r>
        <w:rPr>
          <w:rFonts w:hint="eastAsia" w:ascii="宋体" w:hAnsi="宋体" w:eastAsia="宋体" w:cs="Times New Roman"/>
          <w:color w:val="auto"/>
          <w:sz w:val="20"/>
          <w:szCs w:val="20"/>
          <w:highlight w:val="none"/>
          <w:lang w:val="en-US" w:eastAsia="zh-CN"/>
        </w:rPr>
        <w:t>2.1</w:t>
      </w:r>
      <w:r>
        <w:rPr>
          <w:rFonts w:hint="eastAsia" w:ascii="宋体" w:hAnsi="宋体" w:cs="Times New Roman"/>
          <w:color w:val="auto"/>
          <w:sz w:val="20"/>
          <w:szCs w:val="20"/>
          <w:highlight w:val="none"/>
          <w:lang w:eastAsia="zh-CN"/>
        </w:rPr>
        <w:t>材质要求：不锈钢304+Q235A；外观要求：内外表面应无尖锐凹坑、压痕、划伤（不大于单层壁厚负偏差）、裂纹等缺陷，内表面无毛刺，密封面处焊缝应打磨平滑，碳钢法兰外表面无尖角、毛刺，各相关面圆滑过渡。尺寸精度要求：内径与所连接管道的外径匹配，产品的各部分尺寸应符合设计及相关标准要求，保证与管道连接时的同轴度和法兰面的平行度。强度与压力要求：本体应能承受1.5倍公称压力，保压5min，不得有渗漏和明显的塑性变形；在可挠量、偏心量和1.25倍公称压力下，不得有泄漏。密封性能要求：密封垫安装后要确保良好的密封效果，在工作压力和温度范围内，防止管道内介质泄漏。</w:t>
      </w:r>
      <w:r>
        <w:rPr>
          <w:rFonts w:hint="eastAsia" w:ascii="宋体" w:hAnsi="宋体" w:cs="Times New Roman"/>
          <w:color w:val="auto"/>
          <w:sz w:val="20"/>
          <w:szCs w:val="20"/>
          <w:highlight w:val="none"/>
          <w:lang w:eastAsia="zh-CN"/>
        </w:rPr>
        <w:br w:type="textWrapping"/>
      </w:r>
      <w:r>
        <w:rPr>
          <w:rFonts w:hint="eastAsia" w:ascii="宋体" w:hAnsi="宋体" w:cs="Times New Roman"/>
          <w:color w:val="auto"/>
          <w:sz w:val="20"/>
          <w:szCs w:val="20"/>
          <w:highlight w:val="none"/>
          <w:lang w:eastAsia="zh-CN"/>
        </w:rPr>
        <w:t>2.3.</w:t>
      </w:r>
      <w:r>
        <w:rPr>
          <w:rFonts w:hint="eastAsia" w:ascii="宋体" w:hAnsi="宋体" w:cs="Times New Roman"/>
          <w:color w:val="auto"/>
          <w:sz w:val="20"/>
          <w:szCs w:val="20"/>
          <w:highlight w:val="none"/>
          <w:lang w:val="en-US" w:eastAsia="zh-CN"/>
        </w:rPr>
        <w:t>2.2</w:t>
      </w:r>
      <w:r>
        <w:rPr>
          <w:rFonts w:hint="eastAsia" w:ascii="宋体" w:hAnsi="宋体" w:cs="Times New Roman"/>
          <w:color w:val="auto"/>
          <w:sz w:val="20"/>
          <w:szCs w:val="20"/>
          <w:highlight w:val="none"/>
          <w:lang w:val="en-GB" w:eastAsia="zh-CN"/>
        </w:rPr>
        <w:t>乙方需甲方参与的检验的项目，由乙方在检验前1周书面通知甲方。通知送达后1周，甲方未到且无书面答复时，视为甲方认可乙方自检结果。</w:t>
      </w:r>
    </w:p>
    <w:p>
      <w:pPr>
        <w:spacing w:line="360" w:lineRule="auto"/>
        <w:rPr>
          <w:rFonts w:hint="eastAsia" w:ascii="宋体" w:hAnsi="宋体" w:cs="Times New Roman"/>
          <w:color w:val="auto"/>
          <w:sz w:val="20"/>
          <w:szCs w:val="20"/>
          <w:highlight w:val="none"/>
          <w:lang w:val="en-GB" w:eastAsia="zh-CN"/>
        </w:rPr>
      </w:pPr>
      <w:r>
        <w:rPr>
          <w:rFonts w:hint="eastAsia" w:ascii="宋体" w:hAnsi="宋体" w:cs="Times New Roman"/>
          <w:color w:val="auto"/>
          <w:sz w:val="20"/>
          <w:szCs w:val="20"/>
          <w:highlight w:val="none"/>
          <w:lang w:eastAsia="zh-CN"/>
        </w:rPr>
        <w:t>2.3.</w:t>
      </w:r>
      <w:r>
        <w:rPr>
          <w:rFonts w:hint="eastAsia" w:ascii="宋体" w:hAnsi="宋体" w:cs="Times New Roman"/>
          <w:color w:val="auto"/>
          <w:sz w:val="20"/>
          <w:szCs w:val="20"/>
          <w:highlight w:val="none"/>
          <w:lang w:val="en-US" w:eastAsia="zh-CN"/>
        </w:rPr>
        <w:t>2.3</w:t>
      </w:r>
      <w:r>
        <w:rPr>
          <w:rFonts w:hint="eastAsia" w:ascii="宋体" w:hAnsi="宋体" w:cs="Times New Roman"/>
          <w:color w:val="auto"/>
          <w:sz w:val="20"/>
          <w:szCs w:val="20"/>
          <w:highlight w:val="none"/>
          <w:lang w:val="en-GB" w:eastAsia="zh-CN"/>
        </w:rPr>
        <w:t>乙方负责按甲方需求及时发货,并对运输过程中造成的丢失、损坏等负责，不能以任何理由影响预定的交货期。</w:t>
      </w:r>
    </w:p>
    <w:p>
      <w:pPr>
        <w:spacing w:line="360" w:lineRule="auto"/>
        <w:rPr>
          <w:rFonts w:hint="eastAsia" w:ascii="宋体" w:hAnsi="宋体" w:cs="Times New Roman"/>
          <w:color w:val="auto"/>
          <w:sz w:val="20"/>
          <w:szCs w:val="20"/>
          <w:highlight w:val="none"/>
          <w:lang w:val="en-GB" w:eastAsia="zh-CN"/>
        </w:rPr>
      </w:pPr>
      <w:r>
        <w:rPr>
          <w:rFonts w:hint="eastAsia" w:ascii="宋体" w:hAnsi="宋体" w:cs="Times New Roman"/>
          <w:color w:val="auto"/>
          <w:sz w:val="20"/>
          <w:szCs w:val="20"/>
          <w:highlight w:val="none"/>
          <w:lang w:eastAsia="zh-CN"/>
        </w:rPr>
        <w:t>2.3.</w:t>
      </w:r>
      <w:r>
        <w:rPr>
          <w:rFonts w:hint="eastAsia" w:ascii="宋体" w:hAnsi="宋体" w:cs="Times New Roman"/>
          <w:color w:val="auto"/>
          <w:sz w:val="20"/>
          <w:szCs w:val="20"/>
          <w:highlight w:val="none"/>
          <w:lang w:val="en-US" w:eastAsia="zh-CN"/>
        </w:rPr>
        <w:t>2.4</w:t>
      </w:r>
      <w:r>
        <w:rPr>
          <w:rFonts w:hint="eastAsia" w:ascii="宋体" w:hAnsi="宋体" w:cs="Times New Roman"/>
          <w:color w:val="auto"/>
          <w:sz w:val="20"/>
          <w:szCs w:val="20"/>
          <w:highlight w:val="none"/>
          <w:lang w:val="en-GB" w:eastAsia="zh-CN"/>
        </w:rPr>
        <w:t>此</w:t>
      </w:r>
      <w:r>
        <w:rPr>
          <w:rFonts w:hint="eastAsia" w:ascii="宋体" w:hAnsi="宋体" w:cs="Times New Roman"/>
          <w:color w:val="auto"/>
          <w:sz w:val="20"/>
          <w:szCs w:val="20"/>
          <w:highlight w:val="none"/>
          <w:lang w:eastAsia="zh-CN"/>
        </w:rPr>
        <w:t>波纹补偿器</w:t>
      </w:r>
      <w:r>
        <w:rPr>
          <w:rFonts w:hint="eastAsia" w:ascii="宋体" w:hAnsi="宋体" w:cs="Times New Roman"/>
          <w:color w:val="auto"/>
          <w:sz w:val="20"/>
          <w:szCs w:val="20"/>
          <w:highlight w:val="none"/>
          <w:lang w:val="en-GB" w:eastAsia="zh-CN"/>
        </w:rPr>
        <w:t>要求乙方使用包装箱包装，运输过程中不能散架，不蹦变形，不允许散装输送至现场，否则以包装质量不合格提报质量异议。包装上要求标明货物名称、制造厂家。</w:t>
      </w:r>
    </w:p>
    <w:p>
      <w:pPr>
        <w:spacing w:line="360" w:lineRule="auto"/>
        <w:rPr>
          <w:rFonts w:hint="eastAsia" w:ascii="宋体" w:hAnsi="宋体" w:cs="Times New Roman"/>
          <w:color w:val="auto"/>
          <w:sz w:val="20"/>
          <w:szCs w:val="20"/>
          <w:highlight w:val="none"/>
          <w:lang w:val="en-US" w:eastAsia="zh-CN"/>
        </w:rPr>
      </w:pPr>
      <w:r>
        <w:rPr>
          <w:rFonts w:hint="eastAsia" w:ascii="宋体" w:hAnsi="宋体" w:cs="Times New Roman"/>
          <w:color w:val="auto"/>
          <w:sz w:val="20"/>
          <w:szCs w:val="20"/>
          <w:highlight w:val="none"/>
          <w:lang w:eastAsia="zh-CN"/>
        </w:rPr>
        <w:t>2.3.</w:t>
      </w:r>
      <w:r>
        <w:rPr>
          <w:rFonts w:hint="eastAsia" w:ascii="宋体" w:hAnsi="宋体" w:cs="Times New Roman"/>
          <w:color w:val="auto"/>
          <w:sz w:val="20"/>
          <w:szCs w:val="20"/>
          <w:highlight w:val="none"/>
          <w:lang w:val="en-US" w:eastAsia="zh-CN"/>
        </w:rPr>
        <w:t>2.5</w:t>
      </w:r>
      <w:r>
        <w:rPr>
          <w:rFonts w:hint="eastAsia" w:ascii="宋体" w:hAnsi="宋体" w:cs="Times New Roman"/>
          <w:color w:val="auto"/>
          <w:sz w:val="20"/>
          <w:szCs w:val="20"/>
          <w:highlight w:val="none"/>
          <w:lang w:val="en-GB" w:eastAsia="zh-CN"/>
        </w:rPr>
        <w:t xml:space="preserve"> 乙方货物运抵甲方指定现场物资总库，转运及仓储保管。</w:t>
      </w:r>
    </w:p>
    <w:p>
      <w:pPr>
        <w:spacing w:line="360" w:lineRule="auto"/>
        <w:rPr>
          <w:rFonts w:hint="eastAsia" w:ascii="宋体" w:hAnsi="宋体" w:cs="Times New Roman"/>
          <w:color w:val="auto"/>
          <w:sz w:val="20"/>
          <w:szCs w:val="20"/>
          <w:highlight w:val="none"/>
          <w:lang w:eastAsia="zh-CN"/>
        </w:rPr>
      </w:pPr>
      <w:r>
        <w:rPr>
          <w:rFonts w:hint="eastAsia" w:ascii="宋体" w:hAnsi="宋体" w:cs="Times New Roman"/>
          <w:color w:val="auto"/>
          <w:sz w:val="20"/>
          <w:szCs w:val="20"/>
          <w:highlight w:val="none"/>
          <w:lang w:val="en-US" w:eastAsia="zh-CN"/>
        </w:rPr>
        <w:t xml:space="preserve"> </w:t>
      </w:r>
      <w:r>
        <w:rPr>
          <w:rFonts w:hint="eastAsia" w:ascii="宋体" w:hAnsi="宋体" w:cs="Times New Roman"/>
          <w:color w:val="auto"/>
          <w:sz w:val="20"/>
          <w:szCs w:val="20"/>
          <w:highlight w:val="none"/>
          <w:lang w:eastAsia="zh-CN"/>
        </w:rPr>
        <w:t>产品使用要求</w:t>
      </w:r>
    </w:p>
    <w:p>
      <w:pPr>
        <w:spacing w:line="360" w:lineRule="auto"/>
        <w:rPr>
          <w:rFonts w:hint="eastAsia" w:ascii="宋体" w:hAnsi="宋体" w:cs="Times New Roman"/>
          <w:color w:val="auto"/>
          <w:sz w:val="20"/>
          <w:szCs w:val="20"/>
          <w:highlight w:val="none"/>
          <w:lang w:eastAsia="zh-CN"/>
        </w:rPr>
      </w:pPr>
      <w:r>
        <w:rPr>
          <w:rFonts w:hint="eastAsia" w:ascii="宋体" w:hAnsi="宋体" w:cs="Times New Roman"/>
          <w:color w:val="auto"/>
          <w:sz w:val="20"/>
          <w:szCs w:val="20"/>
          <w:highlight w:val="none"/>
          <w:lang w:val="en-US" w:eastAsia="zh-CN"/>
        </w:rPr>
        <w:t>1、</w:t>
      </w:r>
      <w:r>
        <w:rPr>
          <w:rFonts w:hint="eastAsia" w:ascii="宋体" w:hAnsi="宋体" w:cs="Times New Roman"/>
          <w:color w:val="auto"/>
          <w:sz w:val="20"/>
          <w:szCs w:val="20"/>
          <w:highlight w:val="none"/>
          <w:lang w:eastAsia="zh-CN"/>
        </w:rPr>
        <w:t>波纹补偿器正常使用寿命＞</w:t>
      </w:r>
      <w:r>
        <w:rPr>
          <w:rFonts w:hint="eastAsia" w:ascii="宋体" w:hAnsi="宋体" w:cs="Times New Roman"/>
          <w:color w:val="auto"/>
          <w:sz w:val="20"/>
          <w:szCs w:val="20"/>
          <w:highlight w:val="none"/>
          <w:lang w:val="en-US" w:eastAsia="zh-CN"/>
        </w:rPr>
        <w:t>2</w:t>
      </w:r>
      <w:r>
        <w:rPr>
          <w:rFonts w:hint="eastAsia" w:ascii="宋体" w:hAnsi="宋体" w:cs="Times New Roman"/>
          <w:color w:val="auto"/>
          <w:sz w:val="20"/>
          <w:szCs w:val="20"/>
          <w:highlight w:val="none"/>
          <w:lang w:eastAsia="zh-CN"/>
        </w:rPr>
        <w:t>年（从安装之日起算）。</w:t>
      </w:r>
    </w:p>
    <w:p>
      <w:pPr>
        <w:spacing w:line="360" w:lineRule="auto"/>
        <w:rPr>
          <w:rFonts w:hint="default" w:ascii="宋体" w:hAnsi="宋体" w:cs="Times New Roman"/>
          <w:color w:val="auto"/>
          <w:sz w:val="20"/>
          <w:szCs w:val="20"/>
          <w:highlight w:val="none"/>
          <w:lang w:val="en-US" w:eastAsia="zh-CN"/>
        </w:rPr>
      </w:pPr>
      <w:r>
        <w:rPr>
          <w:rFonts w:hint="eastAsia" w:ascii="宋体" w:hAnsi="宋体" w:cs="Times New Roman"/>
          <w:color w:val="auto"/>
          <w:sz w:val="20"/>
          <w:szCs w:val="20"/>
          <w:highlight w:val="none"/>
          <w:lang w:val="en-US" w:eastAsia="zh-CN"/>
        </w:rPr>
        <w:t>2、</w:t>
      </w:r>
      <w:r>
        <w:rPr>
          <w:rFonts w:hint="eastAsia" w:ascii="宋体" w:hAnsi="宋体" w:cs="Times New Roman"/>
          <w:color w:val="auto"/>
          <w:sz w:val="20"/>
          <w:szCs w:val="20"/>
          <w:highlight w:val="none"/>
          <w:lang w:eastAsia="zh-CN"/>
        </w:rPr>
        <w:t>波纹补偿器</w:t>
      </w:r>
      <w:r>
        <w:rPr>
          <w:rFonts w:hint="eastAsia" w:ascii="宋体" w:hAnsi="宋体" w:cs="Times New Roman"/>
          <w:color w:val="auto"/>
          <w:sz w:val="20"/>
          <w:szCs w:val="20"/>
          <w:highlight w:val="none"/>
          <w:lang w:val="en-US" w:eastAsia="zh-CN"/>
        </w:rPr>
        <w:t>使用2</w:t>
      </w:r>
      <w:r>
        <w:rPr>
          <w:rFonts w:hint="eastAsia" w:ascii="宋体" w:hAnsi="宋体" w:cs="Times New Roman"/>
          <w:color w:val="auto"/>
          <w:sz w:val="20"/>
          <w:szCs w:val="20"/>
          <w:highlight w:val="none"/>
          <w:lang w:eastAsia="zh-CN"/>
        </w:rPr>
        <w:t>年</w:t>
      </w:r>
      <w:r>
        <w:rPr>
          <w:rFonts w:hint="eastAsia" w:ascii="宋体" w:hAnsi="宋体" w:cs="Times New Roman"/>
          <w:color w:val="auto"/>
          <w:sz w:val="20"/>
          <w:szCs w:val="20"/>
          <w:highlight w:val="none"/>
          <w:lang w:val="en-US" w:eastAsia="zh-CN"/>
        </w:rPr>
        <w:t>内不得出现表面裂纹、断裂、泄漏、密封损坏等质量问题。</w:t>
      </w:r>
    </w:p>
    <w:p>
      <w:pPr>
        <w:spacing w:line="360" w:lineRule="auto"/>
        <w:rPr>
          <w:rFonts w:hint="eastAsia" w:ascii="宋体" w:hAnsi="宋体" w:cs="Times New Roman"/>
          <w:color w:val="auto"/>
          <w:sz w:val="20"/>
          <w:szCs w:val="20"/>
          <w:highlight w:val="none"/>
          <w:lang w:eastAsia="zh-CN"/>
        </w:rPr>
      </w:pPr>
      <w:r>
        <w:rPr>
          <w:rFonts w:hint="eastAsia" w:ascii="宋体" w:hAnsi="宋体" w:cs="Times New Roman"/>
          <w:color w:val="auto"/>
          <w:sz w:val="20"/>
          <w:szCs w:val="20"/>
          <w:highlight w:val="none"/>
          <w:lang w:val="en-US" w:eastAsia="zh-CN"/>
        </w:rPr>
        <w:t>3、</w:t>
      </w:r>
      <w:r>
        <w:rPr>
          <w:rFonts w:hint="eastAsia" w:ascii="宋体" w:hAnsi="宋体" w:cs="Times New Roman"/>
          <w:color w:val="auto"/>
          <w:sz w:val="20"/>
          <w:szCs w:val="20"/>
          <w:highlight w:val="none"/>
          <w:lang w:eastAsia="zh-CN"/>
        </w:rPr>
        <w:t>保质期内，凡是由于设备质量问题引起的损坏，乙方在接到通知</w:t>
      </w:r>
      <w:r>
        <w:rPr>
          <w:rFonts w:hint="eastAsia" w:ascii="宋体" w:hAnsi="宋体" w:cs="Times New Roman"/>
          <w:color w:val="auto"/>
          <w:sz w:val="20"/>
          <w:szCs w:val="20"/>
          <w:highlight w:val="none"/>
          <w:lang w:val="en-US" w:eastAsia="zh-CN"/>
        </w:rPr>
        <w:t>一周</w:t>
      </w:r>
      <w:r>
        <w:rPr>
          <w:rFonts w:hint="eastAsia" w:ascii="宋体" w:hAnsi="宋体" w:cs="Times New Roman"/>
          <w:color w:val="auto"/>
          <w:sz w:val="20"/>
          <w:szCs w:val="20"/>
          <w:highlight w:val="none"/>
          <w:lang w:eastAsia="zh-CN"/>
        </w:rPr>
        <w:t>内到达现场，无偿提供波纹补偿器供甲方更换。</w:t>
      </w:r>
    </w:p>
    <w:p>
      <w:pPr>
        <w:spacing w:line="360" w:lineRule="auto"/>
        <w:rPr>
          <w:rFonts w:hint="eastAsia" w:ascii="宋体" w:hAnsi="宋体" w:cs="Times New Roman"/>
          <w:color w:val="auto"/>
          <w:sz w:val="20"/>
          <w:szCs w:val="20"/>
          <w:highlight w:val="none"/>
          <w:lang w:val="en-US" w:eastAsia="zh-CN"/>
        </w:rPr>
      </w:pPr>
      <w:r>
        <w:rPr>
          <w:rFonts w:hint="eastAsia" w:ascii="宋体" w:hAnsi="宋体" w:cs="Times New Roman"/>
          <w:color w:val="auto"/>
          <w:sz w:val="20"/>
          <w:szCs w:val="20"/>
          <w:highlight w:val="none"/>
          <w:lang w:val="en-US" w:eastAsia="zh-CN"/>
        </w:rPr>
        <w:t>4、</w:t>
      </w:r>
      <w:r>
        <w:rPr>
          <w:rFonts w:hint="eastAsia" w:ascii="宋体" w:hAnsi="宋体" w:cs="Times New Roman"/>
          <w:color w:val="auto"/>
          <w:sz w:val="20"/>
          <w:szCs w:val="20"/>
          <w:highlight w:val="none"/>
          <w:lang w:eastAsia="zh-CN"/>
        </w:rPr>
        <w:t>波纹补偿器在运输过程中不能出现包装散开、合格证丢失缺陷。</w:t>
      </w:r>
    </w:p>
    <w:p>
      <w:pPr>
        <w:spacing w:line="360" w:lineRule="auto"/>
        <w:rPr>
          <w:rFonts w:hint="default" w:ascii="宋体" w:hAnsi="宋体" w:cs="Times New Roman"/>
          <w:color w:val="auto"/>
          <w:sz w:val="20"/>
          <w:szCs w:val="20"/>
          <w:highlight w:val="none"/>
          <w:lang w:val="en-US" w:eastAsia="zh-CN"/>
        </w:rPr>
      </w:pPr>
      <w:r>
        <w:rPr>
          <w:rFonts w:hint="eastAsia" w:ascii="宋体" w:hAnsi="宋体" w:cs="Times New Roman"/>
          <w:color w:val="auto"/>
          <w:sz w:val="20"/>
          <w:szCs w:val="20"/>
          <w:highlight w:val="none"/>
          <w:lang w:val="en-US" w:eastAsia="zh-CN"/>
        </w:rPr>
        <w:t>5、</w:t>
      </w:r>
      <w:r>
        <w:rPr>
          <w:rFonts w:hint="eastAsia" w:ascii="宋体" w:hAnsi="宋体" w:cs="Times New Roman"/>
          <w:color w:val="auto"/>
          <w:sz w:val="20"/>
          <w:szCs w:val="20"/>
          <w:highlight w:val="none"/>
          <w:lang w:eastAsia="zh-CN"/>
        </w:rPr>
        <w:t>乙方制造的波纹补偿器在出厂前必须进行测试，乙方在交付设备时应同时提交以下书面报告： 提供出厂质检报告、出厂合格证、还应提供材质验收单。</w:t>
      </w:r>
    </w:p>
    <w:p>
      <w:pPr>
        <w:spacing w:line="360" w:lineRule="auto"/>
        <w:ind w:firstLine="462" w:firstLineChars="228"/>
        <w:jc w:val="left"/>
        <w:rPr>
          <w:rFonts w:hint="eastAsia" w:ascii="仿宋" w:hAnsi="仿宋" w:eastAsia="仿宋" w:cs="仿宋"/>
          <w:b/>
          <w:color w:val="auto"/>
          <w:spacing w:val="-4"/>
          <w:kern w:val="28"/>
          <w:sz w:val="21"/>
          <w:szCs w:val="21"/>
          <w:highlight w:val="none"/>
        </w:rPr>
      </w:pPr>
      <w:r>
        <w:rPr>
          <w:rFonts w:hint="eastAsia" w:ascii="仿宋" w:hAnsi="仿宋" w:eastAsia="仿宋" w:cs="仿宋"/>
          <w:b/>
          <w:color w:val="auto"/>
          <w:spacing w:val="-4"/>
          <w:kern w:val="28"/>
          <w:sz w:val="21"/>
          <w:szCs w:val="21"/>
          <w:highlight w:val="none"/>
        </w:rPr>
        <w:t>附件三</w:t>
      </w:r>
      <w:r>
        <w:rPr>
          <w:rFonts w:hint="eastAsia" w:ascii="仿宋" w:hAnsi="仿宋" w:eastAsia="仿宋" w:cs="仿宋"/>
          <w:b/>
          <w:color w:val="auto"/>
          <w:spacing w:val="-4"/>
          <w:kern w:val="28"/>
          <w:sz w:val="21"/>
          <w:szCs w:val="21"/>
          <w:highlight w:val="none"/>
          <w:lang w:val="en-US" w:eastAsia="zh-CN"/>
        </w:rPr>
        <w:t xml:space="preserve"> </w:t>
      </w:r>
      <w:r>
        <w:rPr>
          <w:rFonts w:hint="eastAsia" w:ascii="仿宋" w:hAnsi="仿宋" w:eastAsia="仿宋" w:cs="仿宋"/>
          <w:b/>
          <w:color w:val="auto"/>
          <w:spacing w:val="-4"/>
          <w:kern w:val="28"/>
          <w:sz w:val="21"/>
          <w:szCs w:val="21"/>
          <w:highlight w:val="none"/>
        </w:rPr>
        <w:t>供货范围</w:t>
      </w:r>
    </w:p>
    <w:p>
      <w:pPr>
        <w:spacing w:line="360" w:lineRule="auto"/>
        <w:ind w:left="0" w:leftChars="0" w:firstLine="0" w:firstLineChars="0"/>
        <w:rPr>
          <w:rFonts w:hint="eastAsia" w:ascii="仿宋" w:hAnsi="仿宋" w:eastAsia="仿宋" w:cs="仿宋"/>
          <w:b/>
          <w:color w:val="auto"/>
          <w:spacing w:val="-4"/>
          <w:kern w:val="28"/>
          <w:sz w:val="21"/>
          <w:szCs w:val="21"/>
          <w:highlight w:val="none"/>
        </w:rPr>
      </w:pPr>
    </w:p>
    <w:tbl>
      <w:tblPr>
        <w:tblStyle w:val="12"/>
        <w:tblW w:w="4998" w:type="pct"/>
        <w:tblInd w:w="0" w:type="dxa"/>
        <w:tblLayout w:type="autofit"/>
        <w:tblCellMar>
          <w:top w:w="0" w:type="dxa"/>
          <w:left w:w="108" w:type="dxa"/>
          <w:bottom w:w="0" w:type="dxa"/>
          <w:right w:w="108" w:type="dxa"/>
        </w:tblCellMar>
      </w:tblPr>
      <w:tblGrid>
        <w:gridCol w:w="597"/>
        <w:gridCol w:w="1159"/>
        <w:gridCol w:w="2395"/>
        <w:gridCol w:w="1190"/>
        <w:gridCol w:w="1649"/>
        <w:gridCol w:w="1218"/>
        <w:gridCol w:w="1364"/>
      </w:tblGrid>
      <w:tr>
        <w:tblPrEx>
          <w:tblCellMar>
            <w:top w:w="0" w:type="dxa"/>
            <w:left w:w="108" w:type="dxa"/>
            <w:bottom w:w="0" w:type="dxa"/>
            <w:right w:w="108" w:type="dxa"/>
          </w:tblCellMar>
        </w:tblPrEx>
        <w:trPr>
          <w:trHeight w:val="400" w:hRule="atLeast"/>
        </w:trPr>
        <w:tc>
          <w:tcPr>
            <w:tcW w:w="312"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0"/>
                <w:szCs w:val="20"/>
                <w:highlight w:val="none"/>
              </w:rPr>
              <w:t>序号</w:t>
            </w:r>
          </w:p>
        </w:tc>
        <w:tc>
          <w:tcPr>
            <w:tcW w:w="605"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代号</w:t>
            </w:r>
          </w:p>
        </w:tc>
        <w:tc>
          <w:tcPr>
            <w:tcW w:w="1250"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名称</w:t>
            </w:r>
          </w:p>
        </w:tc>
        <w:tc>
          <w:tcPr>
            <w:tcW w:w="621"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数量</w:t>
            </w:r>
          </w:p>
        </w:tc>
        <w:tc>
          <w:tcPr>
            <w:tcW w:w="861"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材料</w:t>
            </w:r>
          </w:p>
        </w:tc>
        <w:tc>
          <w:tcPr>
            <w:tcW w:w="1348" w:type="pct"/>
            <w:gridSpan w:val="2"/>
            <w:tcBorders>
              <w:top w:val="single" w:color="auto" w:sz="4" w:space="0"/>
              <w:left w:val="nil"/>
              <w:bottom w:val="single" w:color="auto" w:sz="4" w:space="0"/>
              <w:right w:val="single" w:color="auto" w:sz="4" w:space="0"/>
            </w:tcBorders>
            <w:noWrap w:val="0"/>
            <w:vAlign w:val="center"/>
          </w:tcPr>
          <w:p>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总质量（kg）</w:t>
            </w:r>
          </w:p>
        </w:tc>
      </w:tr>
      <w:tr>
        <w:tblPrEx>
          <w:tblCellMar>
            <w:top w:w="0" w:type="dxa"/>
            <w:left w:w="108" w:type="dxa"/>
            <w:bottom w:w="0" w:type="dxa"/>
            <w:right w:w="108" w:type="dxa"/>
          </w:tblCellMar>
        </w:tblPrEx>
        <w:trPr>
          <w:trHeight w:val="400" w:hRule="atLeast"/>
        </w:trPr>
        <w:tc>
          <w:tcPr>
            <w:tcW w:w="312"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eastAsia" w:ascii="仿宋" w:hAnsi="仿宋" w:eastAsia="仿宋" w:cs="仿宋"/>
                <w:color w:val="auto"/>
                <w:sz w:val="21"/>
                <w:szCs w:val="21"/>
                <w:highlight w:val="none"/>
              </w:rPr>
            </w:pPr>
          </w:p>
        </w:tc>
        <w:tc>
          <w:tcPr>
            <w:tcW w:w="605"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eastAsia" w:ascii="仿宋" w:hAnsi="仿宋" w:eastAsia="仿宋" w:cs="仿宋"/>
                <w:color w:val="auto"/>
                <w:sz w:val="21"/>
                <w:szCs w:val="21"/>
                <w:highlight w:val="none"/>
              </w:rPr>
            </w:pPr>
          </w:p>
        </w:tc>
        <w:tc>
          <w:tcPr>
            <w:tcW w:w="1250"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eastAsia" w:ascii="仿宋" w:hAnsi="仿宋" w:eastAsia="仿宋" w:cs="仿宋"/>
                <w:color w:val="auto"/>
                <w:sz w:val="21"/>
                <w:szCs w:val="21"/>
                <w:highlight w:val="none"/>
              </w:rPr>
            </w:pPr>
          </w:p>
        </w:tc>
        <w:tc>
          <w:tcPr>
            <w:tcW w:w="621"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eastAsia" w:ascii="仿宋" w:hAnsi="仿宋" w:eastAsia="仿宋" w:cs="仿宋"/>
                <w:color w:val="auto"/>
                <w:sz w:val="21"/>
                <w:szCs w:val="21"/>
                <w:highlight w:val="none"/>
              </w:rPr>
            </w:pPr>
          </w:p>
        </w:tc>
        <w:tc>
          <w:tcPr>
            <w:tcW w:w="861"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eastAsia" w:ascii="仿宋" w:hAnsi="仿宋" w:eastAsia="仿宋" w:cs="仿宋"/>
                <w:color w:val="auto"/>
                <w:sz w:val="21"/>
                <w:szCs w:val="21"/>
                <w:highlight w:val="none"/>
              </w:rPr>
            </w:pPr>
          </w:p>
        </w:tc>
        <w:tc>
          <w:tcPr>
            <w:tcW w:w="636" w:type="pct"/>
            <w:tcBorders>
              <w:top w:val="nil"/>
              <w:left w:val="nil"/>
              <w:bottom w:val="single" w:color="auto" w:sz="4" w:space="0"/>
              <w:right w:val="single" w:color="auto" w:sz="4" w:space="0"/>
            </w:tcBorders>
            <w:noWrap w:val="0"/>
            <w:vAlign w:val="center"/>
          </w:tcPr>
          <w:p>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单重</w:t>
            </w:r>
          </w:p>
        </w:tc>
        <w:tc>
          <w:tcPr>
            <w:tcW w:w="711" w:type="pct"/>
            <w:tcBorders>
              <w:top w:val="nil"/>
              <w:left w:val="nil"/>
              <w:bottom w:val="single" w:color="auto" w:sz="4" w:space="0"/>
              <w:right w:val="single" w:color="auto" w:sz="4" w:space="0"/>
            </w:tcBorders>
            <w:noWrap w:val="0"/>
            <w:vAlign w:val="center"/>
          </w:tcPr>
          <w:p>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总重</w:t>
            </w:r>
          </w:p>
        </w:tc>
      </w:tr>
      <w:tr>
        <w:tblPrEx>
          <w:tblCellMar>
            <w:top w:w="0" w:type="dxa"/>
            <w:left w:w="108" w:type="dxa"/>
            <w:bottom w:w="0" w:type="dxa"/>
            <w:right w:w="108" w:type="dxa"/>
          </w:tblCellMar>
        </w:tblPrEx>
        <w:trPr>
          <w:trHeight w:val="573" w:hRule="atLeast"/>
        </w:trPr>
        <w:tc>
          <w:tcPr>
            <w:tcW w:w="312" w:type="pct"/>
            <w:tcBorders>
              <w:top w:val="nil"/>
              <w:left w:val="single" w:color="auto" w:sz="4" w:space="0"/>
              <w:bottom w:val="single" w:color="auto" w:sz="4" w:space="0"/>
              <w:right w:val="single" w:color="auto" w:sz="4" w:space="0"/>
            </w:tcBorders>
            <w:noWrap w:val="0"/>
            <w:vAlign w:val="center"/>
          </w:tcPr>
          <w:p>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w:t>
            </w:r>
          </w:p>
        </w:tc>
        <w:tc>
          <w:tcPr>
            <w:tcW w:w="605" w:type="pct"/>
            <w:tcBorders>
              <w:top w:val="nil"/>
              <w:left w:val="nil"/>
              <w:bottom w:val="single" w:color="auto" w:sz="4" w:space="0"/>
              <w:right w:val="single" w:color="auto" w:sz="4" w:space="0"/>
            </w:tcBorders>
            <w:noWrap w:val="0"/>
            <w:vAlign w:val="center"/>
          </w:tcPr>
          <w:p>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70364423</w:t>
            </w:r>
          </w:p>
        </w:tc>
        <w:tc>
          <w:tcPr>
            <w:tcW w:w="1250" w:type="pct"/>
            <w:tcBorders>
              <w:top w:val="nil"/>
              <w:left w:val="nil"/>
              <w:bottom w:val="single" w:color="auto" w:sz="4" w:space="0"/>
              <w:right w:val="single" w:color="auto" w:sz="4" w:space="0"/>
            </w:tcBorders>
            <w:noWrap w:val="0"/>
            <w:vAlign w:val="center"/>
          </w:tcPr>
          <w:p>
            <w:pPr>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eastAsia="zh-CN"/>
              </w:rPr>
              <w:t>波纹补偿器\1.0MPa DN200 L=300 法兰 304+Q235A</w:t>
            </w:r>
          </w:p>
        </w:tc>
        <w:tc>
          <w:tcPr>
            <w:tcW w:w="621" w:type="pct"/>
            <w:tcBorders>
              <w:top w:val="nil"/>
              <w:left w:val="nil"/>
              <w:bottom w:val="single" w:color="auto" w:sz="4" w:space="0"/>
              <w:right w:val="single" w:color="auto" w:sz="4" w:space="0"/>
            </w:tcBorders>
            <w:noWrap w:val="0"/>
            <w:vAlign w:val="center"/>
          </w:tcPr>
          <w:p>
            <w:pPr>
              <w:widowControl/>
              <w:spacing w:line="360" w:lineRule="auto"/>
              <w:ind w:firstLine="210" w:firstLineChars="100"/>
              <w:jc w:val="center"/>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20台</w:t>
            </w:r>
          </w:p>
        </w:tc>
        <w:tc>
          <w:tcPr>
            <w:tcW w:w="861" w:type="pct"/>
            <w:tcBorders>
              <w:top w:val="nil"/>
              <w:left w:val="nil"/>
              <w:bottom w:val="single" w:color="auto" w:sz="4" w:space="0"/>
              <w:right w:val="single" w:color="auto" w:sz="4" w:space="0"/>
            </w:tcBorders>
            <w:noWrap w:val="0"/>
            <w:vAlign w:val="center"/>
          </w:tcPr>
          <w:p>
            <w:pPr>
              <w:widowControl/>
              <w:spacing w:line="360" w:lineRule="auto"/>
              <w:jc w:val="center"/>
              <w:rPr>
                <w:rFonts w:hint="eastAsia" w:ascii="仿宋" w:hAnsi="仿宋" w:eastAsia="仿宋" w:cs="仿宋"/>
                <w:color w:val="auto"/>
                <w:sz w:val="21"/>
                <w:szCs w:val="21"/>
                <w:highlight w:val="none"/>
                <w:lang w:eastAsia="zh-CN"/>
              </w:rPr>
            </w:pPr>
            <w:r>
              <w:rPr>
                <w:rFonts w:hint="eastAsia" w:ascii="宋体" w:hAnsi="宋体" w:cs="Times New Roman"/>
                <w:color w:val="auto"/>
                <w:sz w:val="20"/>
                <w:szCs w:val="20"/>
                <w:highlight w:val="none"/>
                <w:lang w:eastAsia="zh-CN"/>
              </w:rPr>
              <w:t>304+Q235A</w:t>
            </w:r>
          </w:p>
        </w:tc>
        <w:tc>
          <w:tcPr>
            <w:tcW w:w="636" w:type="pct"/>
            <w:tcBorders>
              <w:top w:val="nil"/>
              <w:left w:val="nil"/>
              <w:bottom w:val="single" w:color="auto" w:sz="4" w:space="0"/>
              <w:right w:val="single" w:color="auto" w:sz="4" w:space="0"/>
            </w:tcBorders>
            <w:noWrap w:val="0"/>
            <w:vAlign w:val="center"/>
          </w:tcPr>
          <w:p>
            <w:pPr>
              <w:widowControl/>
              <w:spacing w:line="360" w:lineRule="auto"/>
              <w:jc w:val="center"/>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w:t>
            </w:r>
          </w:p>
        </w:tc>
        <w:tc>
          <w:tcPr>
            <w:tcW w:w="711" w:type="pct"/>
            <w:tcBorders>
              <w:top w:val="nil"/>
              <w:left w:val="nil"/>
              <w:bottom w:val="single" w:color="auto" w:sz="4" w:space="0"/>
              <w:right w:val="single" w:color="auto" w:sz="4" w:space="0"/>
            </w:tcBorders>
            <w:noWrap w:val="0"/>
            <w:vAlign w:val="center"/>
          </w:tcPr>
          <w:p>
            <w:pPr>
              <w:widowControl/>
              <w:spacing w:line="360" w:lineRule="auto"/>
              <w:jc w:val="center"/>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w:t>
            </w:r>
          </w:p>
        </w:tc>
      </w:tr>
    </w:tbl>
    <w:p>
      <w:pPr>
        <w:spacing w:line="360" w:lineRule="auto"/>
        <w:ind w:left="0" w:leftChars="0" w:firstLine="0" w:firstLineChars="0"/>
        <w:rPr>
          <w:rFonts w:hint="eastAsia" w:ascii="仿宋" w:hAnsi="仿宋" w:eastAsia="仿宋" w:cs="仿宋"/>
          <w:b/>
          <w:color w:val="auto"/>
          <w:spacing w:val="-4"/>
          <w:kern w:val="28"/>
          <w:sz w:val="21"/>
          <w:szCs w:val="21"/>
          <w:highlight w:val="none"/>
        </w:rPr>
      </w:pPr>
      <w:r>
        <w:rPr>
          <w:rFonts w:hint="eastAsia" w:ascii="仿宋" w:hAnsi="仿宋" w:eastAsia="仿宋" w:cs="仿宋"/>
          <w:b/>
          <w:color w:val="auto"/>
          <w:spacing w:val="-4"/>
          <w:kern w:val="28"/>
          <w:sz w:val="21"/>
          <w:szCs w:val="21"/>
          <w:highlight w:val="none"/>
        </w:rPr>
        <w:t>附件四</w:t>
      </w:r>
      <w:r>
        <w:rPr>
          <w:rFonts w:hint="eastAsia" w:ascii="仿宋" w:hAnsi="仿宋" w:eastAsia="仿宋" w:cs="仿宋"/>
          <w:b/>
          <w:color w:val="auto"/>
          <w:spacing w:val="-4"/>
          <w:kern w:val="28"/>
          <w:sz w:val="21"/>
          <w:szCs w:val="21"/>
          <w:highlight w:val="none"/>
          <w:lang w:val="en-US" w:eastAsia="zh-CN"/>
        </w:rPr>
        <w:t xml:space="preserve"> </w:t>
      </w:r>
      <w:r>
        <w:rPr>
          <w:rFonts w:hint="eastAsia" w:ascii="仿宋" w:hAnsi="仿宋" w:eastAsia="仿宋" w:cs="仿宋"/>
          <w:b/>
          <w:color w:val="auto"/>
          <w:spacing w:val="-4"/>
          <w:kern w:val="28"/>
          <w:sz w:val="21"/>
          <w:szCs w:val="21"/>
          <w:highlight w:val="none"/>
        </w:rPr>
        <w:t>提供资料</w:t>
      </w:r>
    </w:p>
    <w:p>
      <w:pPr>
        <w:widowControl w:val="0"/>
        <w:tabs>
          <w:tab w:val="left" w:pos="540"/>
          <w:tab w:val="left" w:pos="1080"/>
        </w:tabs>
        <w:spacing w:line="360" w:lineRule="auto"/>
        <w:jc w:val="both"/>
        <w:outlineLvl w:val="0"/>
        <w:rPr>
          <w:rFonts w:hint="eastAsia" w:ascii="仿宋" w:hAnsi="仿宋" w:eastAsia="仿宋" w:cs="仿宋"/>
          <w:color w:val="auto"/>
          <w:kern w:val="2"/>
          <w:sz w:val="21"/>
          <w:szCs w:val="21"/>
          <w:highlight w:val="none"/>
          <w:lang w:eastAsia="zh-CN"/>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.1</w:t>
      </w:r>
      <w:r>
        <w:rPr>
          <w:rFonts w:hint="eastAsia" w:ascii="仿宋" w:hAnsi="仿宋" w:eastAsia="仿宋" w:cs="仿宋"/>
          <w:color w:val="auto"/>
          <w:kern w:val="2"/>
          <w:sz w:val="21"/>
          <w:szCs w:val="21"/>
          <w:highlight w:val="none"/>
          <w:lang w:eastAsia="zh-CN"/>
        </w:rPr>
        <w:t>乙方</w:t>
      </w:r>
      <w:r>
        <w:rPr>
          <w:rFonts w:hint="eastAsia" w:ascii="仿宋" w:hAnsi="仿宋" w:eastAsia="仿宋" w:cs="仿宋"/>
          <w:color w:val="auto"/>
          <w:kern w:val="2"/>
          <w:sz w:val="21"/>
          <w:szCs w:val="21"/>
          <w:highlight w:val="none"/>
        </w:rPr>
        <w:t>在</w:t>
      </w:r>
      <w:r>
        <w:rPr>
          <w:rFonts w:hint="eastAsia" w:ascii="仿宋" w:hAnsi="仿宋" w:eastAsia="仿宋" w:cs="仿宋"/>
          <w:color w:val="auto"/>
          <w:kern w:val="2"/>
          <w:sz w:val="21"/>
          <w:szCs w:val="21"/>
          <w:highlight w:val="none"/>
          <w:lang w:eastAsia="zh-CN"/>
        </w:rPr>
        <w:t>投标前可到甲</w:t>
      </w:r>
      <w:r>
        <w:rPr>
          <w:rFonts w:hint="eastAsia" w:ascii="仿宋" w:hAnsi="仿宋" w:eastAsia="仿宋" w:cs="仿宋"/>
          <w:color w:val="auto"/>
          <w:kern w:val="2"/>
          <w:sz w:val="21"/>
          <w:szCs w:val="21"/>
          <w:highlight w:val="none"/>
        </w:rPr>
        <w:t>方</w:t>
      </w:r>
      <w:r>
        <w:rPr>
          <w:rFonts w:hint="eastAsia" w:ascii="仿宋" w:hAnsi="仿宋" w:eastAsia="仿宋" w:cs="仿宋"/>
          <w:color w:val="auto"/>
          <w:kern w:val="2"/>
          <w:sz w:val="21"/>
          <w:szCs w:val="21"/>
          <w:highlight w:val="none"/>
          <w:lang w:eastAsia="zh-CN"/>
        </w:rPr>
        <w:t>现场现场勘察，并查看甲方在线设备资料和现场环境。</w:t>
      </w:r>
    </w:p>
    <w:p>
      <w:pPr>
        <w:widowControl w:val="0"/>
        <w:spacing w:line="360" w:lineRule="auto"/>
        <w:jc w:val="both"/>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 xml:space="preserve">.2乙方在中标后 </w:t>
      </w:r>
      <w:r>
        <w:rPr>
          <w:rFonts w:hint="eastAsia" w:ascii="仿宋" w:hAnsi="仿宋" w:eastAsia="仿宋" w:cs="仿宋"/>
          <w:color w:val="auto"/>
          <w:kern w:val="2"/>
          <w:sz w:val="21"/>
          <w:szCs w:val="21"/>
          <w:highlight w:val="none"/>
          <w:lang w:val="en-US" w:eastAsia="zh-CN"/>
        </w:rPr>
        <w:t>7</w:t>
      </w:r>
      <w:r>
        <w:rPr>
          <w:rFonts w:hint="eastAsia" w:ascii="仿宋" w:hAnsi="仿宋" w:eastAsia="仿宋" w:cs="仿宋"/>
          <w:color w:val="auto"/>
          <w:kern w:val="2"/>
          <w:sz w:val="21"/>
          <w:szCs w:val="21"/>
          <w:highlight w:val="none"/>
        </w:rPr>
        <w:t>天内将</w:t>
      </w:r>
      <w:r>
        <w:rPr>
          <w:rFonts w:hint="eastAsia" w:ascii="仿宋" w:hAnsi="仿宋" w:eastAsia="仿宋" w:cs="仿宋"/>
          <w:color w:val="auto"/>
          <w:kern w:val="2"/>
          <w:sz w:val="21"/>
          <w:szCs w:val="21"/>
          <w:highlight w:val="none"/>
          <w:lang w:eastAsia="zh-CN"/>
        </w:rPr>
        <w:t>确认</w:t>
      </w:r>
      <w:r>
        <w:rPr>
          <w:rFonts w:hint="eastAsia" w:ascii="仿宋" w:hAnsi="仿宋" w:eastAsia="仿宋" w:cs="仿宋"/>
          <w:color w:val="auto"/>
          <w:kern w:val="2"/>
          <w:sz w:val="21"/>
          <w:szCs w:val="21"/>
          <w:highlight w:val="none"/>
        </w:rPr>
        <w:t>的纸版和电子版如下资料提供给甲方：</w:t>
      </w:r>
    </w:p>
    <w:p>
      <w:pPr>
        <w:widowControl w:val="0"/>
        <w:tabs>
          <w:tab w:val="left" w:pos="1080"/>
        </w:tabs>
        <w:spacing w:line="360" w:lineRule="auto"/>
        <w:ind w:firstLine="420" w:firstLineChars="200"/>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.2.1</w:t>
      </w:r>
      <w:r>
        <w:rPr>
          <w:rFonts w:hint="eastAsia" w:ascii="仿宋" w:hAnsi="仿宋" w:eastAsia="仿宋" w:cs="仿宋"/>
          <w:color w:val="auto"/>
          <w:kern w:val="2"/>
          <w:sz w:val="21"/>
          <w:szCs w:val="21"/>
          <w:highlight w:val="none"/>
          <w:lang w:val="en-US" w:eastAsia="zh-CN"/>
        </w:rPr>
        <w:t xml:space="preserve"> </w:t>
      </w:r>
      <w:r>
        <w:rPr>
          <w:rFonts w:hint="eastAsia" w:ascii="仿宋" w:hAnsi="仿宋" w:eastAsia="仿宋" w:cs="仿宋"/>
          <w:color w:val="auto"/>
          <w:kern w:val="2"/>
          <w:sz w:val="21"/>
          <w:szCs w:val="21"/>
          <w:highlight w:val="none"/>
        </w:rPr>
        <w:t>外购件明细表</w:t>
      </w:r>
    </w:p>
    <w:p>
      <w:pPr>
        <w:widowControl w:val="0"/>
        <w:tabs>
          <w:tab w:val="left" w:pos="1080"/>
        </w:tabs>
        <w:spacing w:line="360" w:lineRule="auto"/>
        <w:ind w:firstLine="420" w:firstLineChars="200"/>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.2.2</w:t>
      </w:r>
      <w:r>
        <w:rPr>
          <w:rFonts w:hint="eastAsia" w:ascii="仿宋" w:hAnsi="仿宋" w:eastAsia="仿宋" w:cs="仿宋"/>
          <w:color w:val="auto"/>
          <w:kern w:val="2"/>
          <w:sz w:val="21"/>
          <w:szCs w:val="21"/>
          <w:highlight w:val="none"/>
          <w:lang w:val="en-US" w:eastAsia="zh-CN"/>
        </w:rPr>
        <w:t xml:space="preserve"> </w:t>
      </w:r>
      <w:r>
        <w:rPr>
          <w:rFonts w:hint="eastAsia" w:ascii="仿宋" w:hAnsi="仿宋" w:eastAsia="仿宋" w:cs="仿宋"/>
          <w:color w:val="auto"/>
          <w:kern w:val="2"/>
          <w:sz w:val="21"/>
          <w:szCs w:val="21"/>
          <w:highlight w:val="none"/>
        </w:rPr>
        <w:t>备件、附件明细表</w:t>
      </w:r>
    </w:p>
    <w:p>
      <w:pPr>
        <w:widowControl w:val="0"/>
        <w:tabs>
          <w:tab w:val="left" w:pos="1080"/>
        </w:tabs>
        <w:spacing w:line="360" w:lineRule="auto"/>
        <w:ind w:firstLine="420" w:firstLineChars="200"/>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.2.3</w:t>
      </w:r>
      <w:r>
        <w:rPr>
          <w:rFonts w:hint="eastAsia" w:ascii="仿宋" w:hAnsi="仿宋" w:eastAsia="仿宋" w:cs="仿宋"/>
          <w:color w:val="auto"/>
          <w:kern w:val="2"/>
          <w:sz w:val="21"/>
          <w:szCs w:val="21"/>
          <w:highlight w:val="none"/>
          <w:lang w:val="en-US" w:eastAsia="zh-CN"/>
        </w:rPr>
        <w:t xml:space="preserve"> </w:t>
      </w:r>
      <w:r>
        <w:rPr>
          <w:rFonts w:hint="eastAsia" w:ascii="仿宋" w:hAnsi="仿宋" w:eastAsia="仿宋" w:cs="仿宋"/>
          <w:color w:val="auto"/>
          <w:kern w:val="2"/>
          <w:sz w:val="21"/>
          <w:szCs w:val="21"/>
          <w:highlight w:val="none"/>
        </w:rPr>
        <w:t>各部分总图、装配图及零件图</w:t>
      </w:r>
    </w:p>
    <w:p>
      <w:pPr>
        <w:widowControl w:val="0"/>
        <w:tabs>
          <w:tab w:val="left" w:pos="1080"/>
        </w:tabs>
        <w:spacing w:line="360" w:lineRule="auto"/>
        <w:ind w:firstLine="420" w:firstLineChars="200"/>
        <w:rPr>
          <w:rFonts w:hint="eastAsia" w:ascii="仿宋" w:hAnsi="仿宋" w:eastAsia="仿宋" w:cs="仿宋"/>
          <w:color w:val="auto"/>
          <w:kern w:val="2"/>
          <w:sz w:val="21"/>
          <w:szCs w:val="21"/>
          <w:highlight w:val="none"/>
          <w:lang w:val="en-US" w:eastAsia="zh-CN"/>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.2.4</w:t>
      </w:r>
      <w:r>
        <w:rPr>
          <w:rFonts w:hint="eastAsia" w:ascii="仿宋" w:hAnsi="仿宋" w:eastAsia="仿宋" w:cs="仿宋"/>
          <w:color w:val="auto"/>
          <w:kern w:val="2"/>
          <w:sz w:val="21"/>
          <w:szCs w:val="21"/>
          <w:highlight w:val="none"/>
          <w:lang w:val="en-US" w:eastAsia="zh-CN"/>
        </w:rPr>
        <w:t xml:space="preserve"> 产品合格证、使用说明书、备件图纸；</w:t>
      </w:r>
    </w:p>
    <w:p>
      <w:pPr>
        <w:widowControl w:val="0"/>
        <w:tabs>
          <w:tab w:val="left" w:pos="1080"/>
        </w:tabs>
        <w:spacing w:line="360" w:lineRule="auto"/>
        <w:ind w:firstLine="420" w:firstLineChars="200"/>
        <w:rPr>
          <w:rFonts w:hint="eastAsia" w:ascii="仿宋" w:hAnsi="仿宋" w:eastAsia="仿宋" w:cs="仿宋"/>
          <w:color w:val="auto"/>
          <w:kern w:val="2"/>
          <w:sz w:val="21"/>
          <w:szCs w:val="21"/>
          <w:highlight w:val="none"/>
          <w:lang w:val="en-US" w:eastAsia="zh-CN"/>
        </w:rPr>
      </w:pPr>
      <w:r>
        <w:rPr>
          <w:rFonts w:hint="eastAsia" w:ascii="仿宋" w:hAnsi="仿宋" w:eastAsia="仿宋" w:cs="仿宋"/>
          <w:color w:val="auto"/>
          <w:kern w:val="2"/>
          <w:sz w:val="21"/>
          <w:szCs w:val="21"/>
          <w:highlight w:val="none"/>
          <w:lang w:val="en-US" w:eastAsia="zh-CN"/>
        </w:rPr>
        <w:t xml:space="preserve">4.2.5 </w:t>
      </w:r>
      <w:r>
        <w:rPr>
          <w:rFonts w:hint="eastAsia" w:ascii="仿宋" w:hAnsi="仿宋" w:eastAsia="仿宋" w:cs="仿宋"/>
          <w:color w:val="auto"/>
          <w:sz w:val="21"/>
          <w:szCs w:val="21"/>
          <w:highlight w:val="none"/>
          <w:lang w:eastAsia="zh-CN"/>
        </w:rPr>
        <w:t>波纹补偿器</w:t>
      </w:r>
      <w:r>
        <w:rPr>
          <w:rFonts w:hint="eastAsia" w:ascii="仿宋" w:hAnsi="仿宋" w:eastAsia="仿宋" w:cs="仿宋"/>
          <w:color w:val="auto"/>
          <w:kern w:val="2"/>
          <w:sz w:val="21"/>
          <w:szCs w:val="21"/>
          <w:highlight w:val="none"/>
          <w:lang w:val="en-US" w:eastAsia="zh-CN"/>
        </w:rPr>
        <w:t>检验报告书；</w:t>
      </w:r>
    </w:p>
    <w:p>
      <w:pPr>
        <w:widowControl w:val="0"/>
        <w:tabs>
          <w:tab w:val="left" w:pos="1080"/>
        </w:tabs>
        <w:spacing w:line="360" w:lineRule="auto"/>
        <w:ind w:firstLine="420" w:firstLineChars="200"/>
        <w:rPr>
          <w:rFonts w:hint="eastAsia" w:ascii="仿宋" w:hAnsi="仿宋" w:eastAsia="仿宋" w:cs="仿宋"/>
          <w:color w:val="auto"/>
          <w:kern w:val="2"/>
          <w:sz w:val="21"/>
          <w:szCs w:val="21"/>
          <w:highlight w:val="none"/>
          <w:lang w:val="en-US" w:eastAsia="zh-CN"/>
        </w:rPr>
      </w:pPr>
      <w:r>
        <w:rPr>
          <w:rFonts w:hint="eastAsia" w:ascii="仿宋" w:hAnsi="仿宋" w:eastAsia="仿宋" w:cs="仿宋"/>
          <w:color w:val="auto"/>
          <w:kern w:val="2"/>
          <w:sz w:val="21"/>
          <w:szCs w:val="21"/>
          <w:highlight w:val="none"/>
          <w:lang w:val="en-US" w:eastAsia="zh-CN"/>
        </w:rPr>
        <w:t xml:space="preserve">4.2.6 </w:t>
      </w:r>
      <w:r>
        <w:rPr>
          <w:rFonts w:hint="eastAsia" w:ascii="仿宋" w:hAnsi="仿宋" w:eastAsia="仿宋" w:cs="仿宋"/>
          <w:color w:val="auto"/>
          <w:sz w:val="21"/>
          <w:szCs w:val="21"/>
          <w:highlight w:val="none"/>
          <w:lang w:eastAsia="zh-CN"/>
        </w:rPr>
        <w:t>波纹补偿器</w:t>
      </w:r>
      <w:r>
        <w:rPr>
          <w:rFonts w:hint="eastAsia" w:ascii="仿宋" w:hAnsi="仿宋" w:eastAsia="仿宋" w:cs="仿宋"/>
          <w:color w:val="auto"/>
          <w:kern w:val="2"/>
          <w:sz w:val="21"/>
          <w:szCs w:val="21"/>
          <w:highlight w:val="none"/>
          <w:lang w:val="en-US" w:eastAsia="zh-CN"/>
        </w:rPr>
        <w:t>质量保证书。</w:t>
      </w:r>
    </w:p>
    <w:p>
      <w:pPr>
        <w:widowControl w:val="0"/>
        <w:spacing w:line="360" w:lineRule="auto"/>
        <w:ind w:firstLine="119" w:firstLineChars="57"/>
        <w:jc w:val="both"/>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w:t>
      </w:r>
      <w:r>
        <w:rPr>
          <w:rFonts w:hint="eastAsia" w:ascii="仿宋" w:hAnsi="仿宋" w:eastAsia="仿宋" w:cs="仿宋"/>
          <w:color w:val="auto"/>
          <w:kern w:val="2"/>
          <w:sz w:val="21"/>
          <w:szCs w:val="21"/>
          <w:highlight w:val="none"/>
          <w:lang w:val="en-US" w:eastAsia="zh-CN"/>
        </w:rPr>
        <w:t xml:space="preserve">3 </w:t>
      </w:r>
      <w:r>
        <w:rPr>
          <w:rFonts w:hint="eastAsia" w:ascii="仿宋" w:hAnsi="仿宋" w:eastAsia="仿宋" w:cs="仿宋"/>
          <w:color w:val="auto"/>
          <w:kern w:val="2"/>
          <w:sz w:val="21"/>
          <w:szCs w:val="21"/>
          <w:highlight w:val="none"/>
        </w:rPr>
        <w:t>邮寄地址</w:t>
      </w:r>
    </w:p>
    <w:p>
      <w:pPr>
        <w:widowControl w:val="0"/>
        <w:spacing w:line="360" w:lineRule="auto"/>
        <w:ind w:firstLine="539" w:firstLineChars="257"/>
        <w:jc w:val="both"/>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rPr>
        <w:t xml:space="preserve">甲方邮寄信息： </w:t>
      </w:r>
    </w:p>
    <w:p>
      <w:pPr>
        <w:widowControl w:val="0"/>
        <w:spacing w:line="360" w:lineRule="auto"/>
        <w:ind w:firstLine="539" w:firstLineChars="257"/>
        <w:jc w:val="both"/>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rPr>
        <w:t>邮政编码：735100；</w:t>
      </w:r>
    </w:p>
    <w:p>
      <w:pPr>
        <w:pStyle w:val="9"/>
        <w:spacing w:line="360" w:lineRule="auto"/>
        <w:ind w:firstLine="525" w:firstLineChars="250"/>
        <w:rPr>
          <w:rFonts w:hint="eastAsia" w:ascii="仿宋" w:hAnsi="仿宋" w:eastAsia="仿宋" w:cs="仿宋"/>
          <w:color w:val="auto"/>
          <w:szCs w:val="21"/>
          <w:highlight w:val="none"/>
        </w:rPr>
      </w:pPr>
      <w:r>
        <w:rPr>
          <w:rFonts w:hint="eastAsia" w:ascii="仿宋" w:hAnsi="仿宋" w:eastAsia="仿宋" w:cs="仿宋"/>
          <w:color w:val="auto"/>
          <w:szCs w:val="21"/>
          <w:highlight w:val="none"/>
        </w:rPr>
        <w:t>收件人</w:t>
      </w:r>
      <w:r>
        <w:rPr>
          <w:rFonts w:hint="eastAsia" w:ascii="仿宋" w:hAnsi="仿宋" w:eastAsia="仿宋" w:cs="仿宋"/>
          <w:color w:val="auto"/>
          <w:szCs w:val="21"/>
          <w:highlight w:val="none"/>
          <w:lang w:eastAsia="zh-CN"/>
        </w:rPr>
        <w:t>：李银喜</w:t>
      </w:r>
      <w:r>
        <w:rPr>
          <w:rFonts w:hint="eastAsia" w:ascii="仿宋" w:hAnsi="仿宋" w:eastAsia="仿宋" w:cs="仿宋"/>
          <w:color w:val="auto"/>
          <w:szCs w:val="21"/>
          <w:highlight w:val="none"/>
          <w:lang w:val="en-US" w:eastAsia="zh-CN"/>
        </w:rPr>
        <w:t>；</w:t>
      </w:r>
      <w:r>
        <w:rPr>
          <w:rFonts w:hint="eastAsia" w:ascii="仿宋" w:hAnsi="仿宋" w:eastAsia="仿宋" w:cs="仿宋"/>
          <w:color w:val="auto"/>
          <w:szCs w:val="21"/>
          <w:highlight w:val="none"/>
        </w:rPr>
        <w:t>联系电话：</w:t>
      </w:r>
      <w:r>
        <w:rPr>
          <w:rFonts w:hint="eastAsia" w:ascii="仿宋" w:hAnsi="仿宋" w:eastAsia="仿宋" w:cs="仿宋"/>
          <w:color w:val="auto"/>
          <w:szCs w:val="21"/>
          <w:highlight w:val="none"/>
          <w:lang w:val="en-US" w:eastAsia="zh-CN"/>
        </w:rPr>
        <w:t xml:space="preserve">18093738790 </w:t>
      </w:r>
    </w:p>
    <w:p>
      <w:pPr>
        <w:pStyle w:val="9"/>
        <w:spacing w:line="360" w:lineRule="auto"/>
        <w:ind w:firstLine="2205" w:firstLineChars="1050"/>
        <w:rPr>
          <w:rFonts w:hint="eastAsia" w:ascii="仿宋" w:hAnsi="仿宋" w:eastAsia="仿宋" w:cs="仿宋"/>
          <w:color w:val="auto"/>
          <w:szCs w:val="21"/>
          <w:highlight w:val="none"/>
        </w:rPr>
      </w:pPr>
      <w:r>
        <w:rPr>
          <w:rFonts w:hint="eastAsia" w:ascii="仿宋" w:hAnsi="仿宋" w:eastAsia="仿宋" w:cs="仿宋"/>
          <w:color w:val="auto"/>
          <w:szCs w:val="21"/>
          <w:highlight w:val="none"/>
        </w:rPr>
        <w:t>电子邮箱：</w:t>
      </w:r>
      <w:r>
        <w:rPr>
          <w:rFonts w:hint="eastAsia" w:ascii="仿宋" w:hAnsi="仿宋" w:eastAsia="仿宋" w:cs="仿宋"/>
          <w:color w:val="auto"/>
          <w:szCs w:val="21"/>
          <w:highlight w:val="none"/>
          <w:lang w:val="en-US" w:eastAsia="zh-CN"/>
        </w:rPr>
        <w:t>liyinxi@jiugang.com</w:t>
      </w:r>
    </w:p>
    <w:p>
      <w:pPr>
        <w:widowControl w:val="0"/>
        <w:spacing w:line="360" w:lineRule="auto"/>
        <w:jc w:val="both"/>
        <w:rPr>
          <w:rFonts w:hint="eastAsia" w:ascii="仿宋" w:hAnsi="仿宋" w:eastAsia="仿宋" w:cs="仿宋"/>
          <w:b/>
          <w:color w:val="auto"/>
          <w:kern w:val="2"/>
          <w:sz w:val="21"/>
          <w:szCs w:val="21"/>
          <w:highlight w:val="none"/>
        </w:rPr>
      </w:pPr>
      <w:r>
        <w:rPr>
          <w:rFonts w:hint="eastAsia" w:ascii="仿宋" w:hAnsi="仿宋" w:eastAsia="仿宋" w:cs="仿宋"/>
          <w:b/>
          <w:color w:val="auto"/>
          <w:kern w:val="2"/>
          <w:sz w:val="21"/>
          <w:szCs w:val="21"/>
          <w:highlight w:val="none"/>
        </w:rPr>
        <w:t>附件</w:t>
      </w:r>
      <w:r>
        <w:rPr>
          <w:rFonts w:hint="eastAsia" w:ascii="仿宋" w:hAnsi="仿宋" w:eastAsia="仿宋" w:cs="仿宋"/>
          <w:b/>
          <w:color w:val="auto"/>
          <w:kern w:val="2"/>
          <w:sz w:val="21"/>
          <w:szCs w:val="21"/>
          <w:highlight w:val="none"/>
          <w:lang w:eastAsia="zh-CN"/>
        </w:rPr>
        <w:t>五</w:t>
      </w:r>
      <w:r>
        <w:rPr>
          <w:rFonts w:hint="eastAsia" w:ascii="仿宋" w:hAnsi="仿宋" w:eastAsia="仿宋" w:cs="仿宋"/>
          <w:b/>
          <w:color w:val="auto"/>
          <w:kern w:val="2"/>
          <w:sz w:val="21"/>
          <w:szCs w:val="21"/>
          <w:highlight w:val="none"/>
        </w:rPr>
        <w:t xml:space="preserve"> </w:t>
      </w:r>
      <w:r>
        <w:rPr>
          <w:rFonts w:hint="eastAsia" w:ascii="仿宋" w:hAnsi="仿宋" w:eastAsia="仿宋" w:cs="仿宋"/>
          <w:b/>
          <w:color w:val="auto"/>
          <w:kern w:val="2"/>
          <w:sz w:val="21"/>
          <w:szCs w:val="21"/>
          <w:highlight w:val="none"/>
          <w:lang w:val="en-US" w:eastAsia="zh-CN"/>
        </w:rPr>
        <w:t xml:space="preserve">  </w:t>
      </w:r>
      <w:r>
        <w:rPr>
          <w:rFonts w:hint="eastAsia" w:ascii="仿宋" w:hAnsi="仿宋" w:eastAsia="仿宋" w:cs="仿宋"/>
          <w:b/>
          <w:color w:val="auto"/>
          <w:kern w:val="2"/>
          <w:sz w:val="21"/>
          <w:szCs w:val="21"/>
          <w:highlight w:val="none"/>
        </w:rPr>
        <w:t>质量保证及售后服务</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both"/>
        <w:textAlignment w:val="baseline"/>
        <w:rPr>
          <w:rFonts w:hint="eastAsia" w:ascii="仿宋" w:hAnsi="仿宋" w:eastAsia="仿宋" w:cs="仿宋"/>
          <w:b w:val="0"/>
          <w:bCs w:val="0"/>
          <w:color w:val="auto"/>
          <w:kern w:val="2"/>
          <w:sz w:val="21"/>
          <w:szCs w:val="21"/>
          <w:highlight w:val="none"/>
        </w:rPr>
      </w:pPr>
      <w:r>
        <w:rPr>
          <w:rFonts w:hint="eastAsia" w:ascii="仿宋" w:hAnsi="仿宋" w:eastAsia="仿宋" w:cs="仿宋"/>
          <w:b w:val="0"/>
          <w:bCs w:val="0"/>
          <w:color w:val="auto"/>
          <w:kern w:val="2"/>
          <w:sz w:val="21"/>
          <w:szCs w:val="21"/>
          <w:highlight w:val="none"/>
          <w:lang w:val="en-US" w:eastAsia="zh-CN"/>
        </w:rPr>
        <w:t>5</w:t>
      </w:r>
      <w:r>
        <w:rPr>
          <w:rFonts w:hint="eastAsia" w:ascii="仿宋" w:hAnsi="仿宋" w:eastAsia="仿宋" w:cs="仿宋"/>
          <w:b w:val="0"/>
          <w:bCs w:val="0"/>
          <w:color w:val="auto"/>
          <w:kern w:val="2"/>
          <w:sz w:val="21"/>
          <w:szCs w:val="21"/>
          <w:highlight w:val="none"/>
        </w:rPr>
        <w:t>.1</w:t>
      </w:r>
      <w:r>
        <w:rPr>
          <w:rFonts w:hint="eastAsia" w:ascii="仿宋" w:hAnsi="仿宋" w:eastAsia="仿宋" w:cs="仿宋"/>
          <w:b w:val="0"/>
          <w:bCs w:val="0"/>
          <w:color w:val="auto"/>
          <w:kern w:val="2"/>
          <w:sz w:val="21"/>
          <w:szCs w:val="21"/>
          <w:highlight w:val="none"/>
          <w:lang w:eastAsia="zh-CN"/>
        </w:rPr>
        <w:t>质量</w:t>
      </w:r>
      <w:r>
        <w:rPr>
          <w:rFonts w:hint="eastAsia" w:ascii="仿宋" w:hAnsi="仿宋" w:eastAsia="仿宋" w:cs="仿宋"/>
          <w:b w:val="0"/>
          <w:bCs w:val="0"/>
          <w:color w:val="auto"/>
          <w:kern w:val="2"/>
          <w:sz w:val="21"/>
          <w:szCs w:val="21"/>
          <w:highlight w:val="none"/>
        </w:rPr>
        <w:t>保证期为投运现场使用之日起12个月。</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both"/>
        <w:textAlignment w:val="baseline"/>
        <w:rPr>
          <w:rFonts w:hint="eastAsia" w:ascii="仿宋" w:hAnsi="仿宋" w:eastAsia="仿宋" w:cs="仿宋"/>
          <w:b w:val="0"/>
          <w:bCs w:val="0"/>
          <w:color w:val="auto"/>
          <w:kern w:val="2"/>
          <w:sz w:val="21"/>
          <w:szCs w:val="21"/>
          <w:highlight w:val="none"/>
        </w:rPr>
      </w:pPr>
      <w:r>
        <w:rPr>
          <w:rFonts w:hint="eastAsia" w:ascii="仿宋" w:hAnsi="仿宋" w:eastAsia="仿宋" w:cs="仿宋"/>
          <w:b w:val="0"/>
          <w:bCs w:val="0"/>
          <w:color w:val="auto"/>
          <w:kern w:val="2"/>
          <w:sz w:val="21"/>
          <w:szCs w:val="21"/>
          <w:highlight w:val="none"/>
          <w:lang w:val="en-US" w:eastAsia="zh-CN"/>
        </w:rPr>
        <w:t>5</w:t>
      </w:r>
      <w:r>
        <w:rPr>
          <w:rFonts w:hint="eastAsia" w:ascii="仿宋" w:hAnsi="仿宋" w:eastAsia="仿宋" w:cs="仿宋"/>
          <w:b w:val="0"/>
          <w:bCs w:val="0"/>
          <w:color w:val="auto"/>
          <w:kern w:val="2"/>
          <w:sz w:val="21"/>
          <w:szCs w:val="21"/>
          <w:highlight w:val="none"/>
        </w:rPr>
        <w:t>.2在质保期内</w:t>
      </w:r>
      <w:r>
        <w:rPr>
          <w:rFonts w:hint="eastAsia" w:ascii="仿宋" w:hAnsi="仿宋" w:eastAsia="仿宋" w:cs="仿宋"/>
          <w:b w:val="0"/>
          <w:bCs w:val="0"/>
          <w:color w:val="auto"/>
          <w:kern w:val="2"/>
          <w:sz w:val="21"/>
          <w:szCs w:val="21"/>
          <w:highlight w:val="none"/>
          <w:lang w:eastAsia="zh-CN"/>
        </w:rPr>
        <w:t>出现的任何质量问题，</w:t>
      </w:r>
      <w:r>
        <w:rPr>
          <w:rFonts w:hint="eastAsia" w:ascii="仿宋" w:hAnsi="仿宋" w:eastAsia="仿宋" w:cs="仿宋"/>
          <w:b w:val="0"/>
          <w:bCs w:val="0"/>
          <w:color w:val="auto"/>
          <w:kern w:val="2"/>
          <w:sz w:val="21"/>
          <w:szCs w:val="21"/>
          <w:highlight w:val="none"/>
        </w:rPr>
        <w:t>乙方</w:t>
      </w:r>
      <w:r>
        <w:rPr>
          <w:rFonts w:hint="eastAsia" w:ascii="仿宋" w:hAnsi="仿宋" w:eastAsia="仿宋" w:cs="仿宋"/>
          <w:b w:val="0"/>
          <w:bCs w:val="0"/>
          <w:color w:val="auto"/>
          <w:kern w:val="2"/>
          <w:sz w:val="21"/>
          <w:szCs w:val="21"/>
          <w:highlight w:val="none"/>
          <w:lang w:eastAsia="zh-CN"/>
        </w:rPr>
        <w:t>无偿负责更换新备件至使用现场，产生的一切费用均由乙方承担</w:t>
      </w:r>
      <w:r>
        <w:rPr>
          <w:rFonts w:hint="eastAsia" w:ascii="仿宋" w:hAnsi="仿宋" w:eastAsia="仿宋" w:cs="仿宋"/>
          <w:b w:val="0"/>
          <w:bCs w:val="0"/>
          <w:color w:val="auto"/>
          <w:kern w:val="2"/>
          <w:sz w:val="21"/>
          <w:szCs w:val="21"/>
          <w:highlight w:val="none"/>
        </w:rPr>
        <w:t>，保证系统正常运行。</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both"/>
        <w:textAlignment w:val="baseline"/>
        <w:rPr>
          <w:rFonts w:hint="eastAsia" w:ascii="仿宋" w:hAnsi="仿宋" w:eastAsia="仿宋" w:cs="仿宋"/>
          <w:b w:val="0"/>
          <w:bCs w:val="0"/>
          <w:color w:val="auto"/>
          <w:kern w:val="2"/>
          <w:sz w:val="21"/>
          <w:szCs w:val="21"/>
          <w:highlight w:val="none"/>
        </w:rPr>
      </w:pPr>
      <w:r>
        <w:rPr>
          <w:rFonts w:hint="eastAsia" w:ascii="仿宋" w:hAnsi="仿宋" w:eastAsia="仿宋" w:cs="仿宋"/>
          <w:b w:val="0"/>
          <w:bCs w:val="0"/>
          <w:color w:val="auto"/>
          <w:kern w:val="2"/>
          <w:sz w:val="21"/>
          <w:szCs w:val="21"/>
          <w:highlight w:val="none"/>
          <w:lang w:val="en-US" w:eastAsia="zh-CN"/>
        </w:rPr>
        <w:t>5</w:t>
      </w:r>
      <w:r>
        <w:rPr>
          <w:rFonts w:hint="eastAsia" w:ascii="仿宋" w:hAnsi="仿宋" w:eastAsia="仿宋" w:cs="仿宋"/>
          <w:b w:val="0"/>
          <w:bCs w:val="0"/>
          <w:color w:val="auto"/>
          <w:kern w:val="2"/>
          <w:sz w:val="21"/>
          <w:szCs w:val="21"/>
          <w:highlight w:val="none"/>
        </w:rPr>
        <w:t>.3</w:t>
      </w:r>
      <w:r>
        <w:rPr>
          <w:rFonts w:hint="eastAsia" w:ascii="仿宋" w:hAnsi="仿宋" w:eastAsia="仿宋" w:cs="仿宋"/>
          <w:b w:val="0"/>
          <w:bCs w:val="0"/>
          <w:color w:val="auto"/>
          <w:kern w:val="2"/>
          <w:sz w:val="21"/>
          <w:szCs w:val="21"/>
          <w:highlight w:val="none"/>
          <w:lang w:eastAsia="zh-CN"/>
        </w:rPr>
        <w:t>对安装、调试后，质保期内，设备精度达不到协议要求，</w:t>
      </w:r>
      <w:r>
        <w:rPr>
          <w:rFonts w:hint="eastAsia" w:ascii="仿宋" w:hAnsi="仿宋" w:eastAsia="仿宋" w:cs="仿宋"/>
          <w:b w:val="0"/>
          <w:bCs w:val="0"/>
          <w:color w:val="auto"/>
          <w:kern w:val="2"/>
          <w:sz w:val="21"/>
          <w:szCs w:val="21"/>
          <w:highlight w:val="none"/>
        </w:rPr>
        <w:t>乙方在接到甲方服务要求后，应在24个小时内派出专业人员赶赴现场负责查找和解决系统故障</w:t>
      </w:r>
      <w:r>
        <w:rPr>
          <w:rFonts w:hint="eastAsia" w:ascii="仿宋" w:hAnsi="仿宋" w:eastAsia="仿宋" w:cs="仿宋"/>
          <w:b w:val="0"/>
          <w:bCs w:val="0"/>
          <w:color w:val="auto"/>
          <w:kern w:val="2"/>
          <w:sz w:val="21"/>
          <w:szCs w:val="21"/>
          <w:highlight w:val="none"/>
          <w:lang w:eastAsia="zh-CN"/>
        </w:rPr>
        <w:t>，直至满足现场使用要求，服务所需费用全部由乙方承担</w:t>
      </w:r>
      <w:r>
        <w:rPr>
          <w:rFonts w:hint="eastAsia" w:ascii="仿宋" w:hAnsi="仿宋" w:eastAsia="仿宋" w:cs="仿宋"/>
          <w:b w:val="0"/>
          <w:bCs w:val="0"/>
          <w:color w:val="auto"/>
          <w:kern w:val="2"/>
          <w:sz w:val="21"/>
          <w:szCs w:val="21"/>
          <w:highlight w:val="none"/>
        </w:rPr>
        <w:t>。</w:t>
      </w:r>
    </w:p>
    <w:p>
      <w:pPr>
        <w:tabs>
          <w:tab w:val="left" w:pos="0"/>
          <w:tab w:val="left" w:pos="720"/>
          <w:tab w:val="left" w:pos="900"/>
          <w:tab w:val="left" w:pos="1080"/>
        </w:tabs>
        <w:spacing w:line="360" w:lineRule="auto"/>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附件六  交货时间及地点</w:t>
      </w:r>
    </w:p>
    <w:p>
      <w:pPr>
        <w:keepNext w:val="0"/>
        <w:keepLines w:val="0"/>
        <w:pageBreakBefore w:val="0"/>
        <w:widowControl w:val="0"/>
        <w:numPr>
          <w:ilvl w:val="0"/>
          <w:numId w:val="0"/>
        </w:numPr>
        <w:tabs>
          <w:tab w:val="left" w:pos="-180"/>
          <w:tab w:val="left" w:pos="-120"/>
          <w:tab w:val="left" w:pos="540"/>
          <w:tab w:val="left" w:pos="720"/>
        </w:tabs>
        <w:kinsoku/>
        <w:wordWrap/>
        <w:overflowPunct/>
        <w:topLinePunct w:val="0"/>
        <w:autoSpaceDE/>
        <w:autoSpaceDN/>
        <w:bidi w:val="0"/>
        <w:adjustRightInd/>
        <w:snapToGrid/>
        <w:spacing w:line="360" w:lineRule="auto"/>
        <w:ind w:left="0" w:leftChars="0" w:firstLine="420" w:firstLineChars="200"/>
        <w:jc w:val="both"/>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6.1</w:t>
      </w:r>
      <w:r>
        <w:rPr>
          <w:rFonts w:hint="eastAsia" w:ascii="仿宋" w:hAnsi="仿宋" w:eastAsia="仿宋" w:cs="仿宋"/>
          <w:color w:val="auto"/>
          <w:sz w:val="21"/>
          <w:szCs w:val="21"/>
          <w:highlight w:val="none"/>
        </w:rPr>
        <w:t>交货时间：</w:t>
      </w:r>
    </w:p>
    <w:p>
      <w:pPr>
        <w:keepNext w:val="0"/>
        <w:keepLines w:val="0"/>
        <w:pageBreakBefore w:val="0"/>
        <w:widowControl w:val="0"/>
        <w:tabs>
          <w:tab w:val="left" w:pos="-180"/>
          <w:tab w:val="left" w:pos="-120"/>
          <w:tab w:val="left" w:pos="540"/>
          <w:tab w:val="left" w:pos="720"/>
        </w:tabs>
        <w:kinsoku/>
        <w:wordWrap/>
        <w:overflowPunct/>
        <w:topLinePunct w:val="0"/>
        <w:autoSpaceDE/>
        <w:autoSpaceDN/>
        <w:bidi w:val="0"/>
        <w:adjustRightInd/>
        <w:snapToGrid/>
        <w:spacing w:line="360" w:lineRule="auto"/>
        <w:ind w:left="0" w:firstLine="420" w:firstLineChars="200"/>
        <w:jc w:val="both"/>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eastAsia="zh-CN"/>
        </w:rPr>
        <w:t>交货时间</w:t>
      </w:r>
      <w:r>
        <w:rPr>
          <w:rFonts w:hint="eastAsia" w:ascii="仿宋" w:hAnsi="仿宋" w:eastAsia="仿宋" w:cs="仿宋"/>
          <w:color w:val="auto"/>
          <w:sz w:val="21"/>
          <w:szCs w:val="21"/>
          <w:highlight w:val="none"/>
        </w:rPr>
        <w:t>：</w:t>
      </w:r>
      <w:r>
        <w:rPr>
          <w:rFonts w:hint="eastAsia" w:ascii="仿宋" w:hAnsi="仿宋" w:eastAsia="仿宋" w:cs="仿宋"/>
          <w:color w:val="FF0000"/>
          <w:sz w:val="21"/>
          <w:szCs w:val="21"/>
          <w:highlight w:val="none"/>
        </w:rPr>
        <w:t>20</w:t>
      </w:r>
      <w:r>
        <w:rPr>
          <w:rFonts w:hint="eastAsia" w:ascii="仿宋" w:hAnsi="仿宋" w:eastAsia="仿宋" w:cs="仿宋"/>
          <w:color w:val="FF0000"/>
          <w:sz w:val="21"/>
          <w:szCs w:val="21"/>
          <w:highlight w:val="none"/>
          <w:lang w:val="en-US" w:eastAsia="zh-CN"/>
        </w:rPr>
        <w:t>25</w:t>
      </w:r>
      <w:r>
        <w:rPr>
          <w:rFonts w:hint="eastAsia" w:ascii="仿宋" w:hAnsi="仿宋" w:eastAsia="仿宋" w:cs="仿宋"/>
          <w:color w:val="FF0000"/>
          <w:sz w:val="21"/>
          <w:szCs w:val="21"/>
          <w:highlight w:val="none"/>
        </w:rPr>
        <w:t>年</w:t>
      </w:r>
      <w:r>
        <w:rPr>
          <w:rFonts w:hint="eastAsia" w:ascii="仿宋" w:hAnsi="仿宋" w:eastAsia="仿宋" w:cs="仿宋"/>
          <w:color w:val="FF0000"/>
          <w:sz w:val="21"/>
          <w:szCs w:val="21"/>
          <w:highlight w:val="none"/>
          <w:lang w:val="en-US" w:eastAsia="zh-CN"/>
        </w:rPr>
        <w:t>10</w:t>
      </w:r>
      <w:bookmarkStart w:id="0" w:name="_GoBack"/>
      <w:bookmarkEnd w:id="0"/>
      <w:r>
        <w:rPr>
          <w:rFonts w:hint="eastAsia" w:ascii="仿宋" w:hAnsi="仿宋" w:eastAsia="仿宋" w:cs="仿宋"/>
          <w:color w:val="FF0000"/>
          <w:sz w:val="21"/>
          <w:szCs w:val="21"/>
          <w:highlight w:val="none"/>
        </w:rPr>
        <w:t>月</w:t>
      </w:r>
      <w:r>
        <w:rPr>
          <w:rFonts w:hint="eastAsia" w:ascii="仿宋" w:hAnsi="仿宋" w:eastAsia="仿宋" w:cs="仿宋"/>
          <w:color w:val="FF0000"/>
          <w:sz w:val="21"/>
          <w:szCs w:val="21"/>
          <w:highlight w:val="none"/>
          <w:lang w:val="en-US" w:eastAsia="zh-CN"/>
        </w:rPr>
        <w:t>20</w:t>
      </w:r>
      <w:r>
        <w:rPr>
          <w:rFonts w:hint="eastAsia" w:ascii="仿宋" w:hAnsi="仿宋" w:eastAsia="仿宋" w:cs="仿宋"/>
          <w:color w:val="FF0000"/>
          <w:sz w:val="21"/>
          <w:szCs w:val="21"/>
          <w:highlight w:val="none"/>
        </w:rPr>
        <w:t>日</w:t>
      </w:r>
    </w:p>
    <w:p>
      <w:pPr>
        <w:keepNext w:val="0"/>
        <w:keepLines w:val="0"/>
        <w:pageBreakBefore w:val="0"/>
        <w:widowControl w:val="0"/>
        <w:numPr>
          <w:ilvl w:val="0"/>
          <w:numId w:val="0"/>
        </w:numPr>
        <w:tabs>
          <w:tab w:val="left" w:pos="-180"/>
          <w:tab w:val="left" w:pos="-120"/>
          <w:tab w:val="left" w:pos="540"/>
          <w:tab w:val="left" w:pos="720"/>
        </w:tabs>
        <w:kinsoku/>
        <w:wordWrap/>
        <w:overflowPunct/>
        <w:topLinePunct w:val="0"/>
        <w:autoSpaceDE/>
        <w:autoSpaceDN/>
        <w:bidi w:val="0"/>
        <w:adjustRightInd/>
        <w:snapToGrid/>
        <w:spacing w:line="360" w:lineRule="auto"/>
        <w:ind w:left="0" w:leftChars="0" w:firstLine="420" w:firstLineChars="200"/>
        <w:jc w:val="both"/>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6.2</w:t>
      </w:r>
      <w:r>
        <w:rPr>
          <w:rFonts w:hint="eastAsia" w:ascii="仿宋" w:hAnsi="仿宋" w:eastAsia="仿宋" w:cs="仿宋"/>
          <w:color w:val="auto"/>
          <w:sz w:val="21"/>
          <w:szCs w:val="21"/>
          <w:highlight w:val="none"/>
        </w:rPr>
        <w:t>交货地点：甘肃省嘉峪关市酒钢储运部</w:t>
      </w:r>
      <w:r>
        <w:rPr>
          <w:rFonts w:hint="eastAsia" w:ascii="仿宋" w:hAnsi="仿宋" w:eastAsia="仿宋" w:cs="仿宋"/>
          <w:color w:val="auto"/>
          <w:sz w:val="21"/>
          <w:szCs w:val="21"/>
          <w:highlight w:val="none"/>
          <w:lang w:eastAsia="zh-CN"/>
        </w:rPr>
        <w:t>物资总库</w:t>
      </w:r>
    </w:p>
    <w:p>
      <w:pPr>
        <w:tabs>
          <w:tab w:val="left" w:pos="0"/>
          <w:tab w:val="left" w:pos="720"/>
          <w:tab w:val="left" w:pos="900"/>
          <w:tab w:val="left" w:pos="1080"/>
        </w:tabs>
        <w:spacing w:line="360" w:lineRule="auto"/>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附件七   其它</w:t>
      </w:r>
    </w:p>
    <w:p>
      <w:pPr>
        <w:tabs>
          <w:tab w:val="left" w:pos="0"/>
          <w:tab w:val="left" w:pos="720"/>
          <w:tab w:val="left" w:pos="900"/>
          <w:tab w:val="left" w:pos="1080"/>
        </w:tabs>
        <w:spacing w:line="360" w:lineRule="auto"/>
        <w:ind w:firstLine="420" w:firstLineChars="200"/>
        <w:rPr>
          <w:rFonts w:hint="eastAsia" w:ascii="仿宋" w:hAnsi="仿宋" w:eastAsia="仿宋" w:cs="仿宋"/>
          <w:color w:val="auto"/>
          <w:sz w:val="21"/>
          <w:highlight w:val="none"/>
        </w:rPr>
      </w:pPr>
      <w:r>
        <w:rPr>
          <w:rFonts w:hint="eastAsia" w:ascii="仿宋" w:hAnsi="仿宋" w:eastAsia="仿宋" w:cs="仿宋"/>
          <w:color w:val="auto"/>
          <w:sz w:val="21"/>
          <w:highlight w:val="none"/>
          <w:lang w:val="en-US" w:eastAsia="zh-CN"/>
        </w:rPr>
        <w:t xml:space="preserve">7.1本协议内容经由甲乙双方于    年   月   日   时-  时通过   方式商定。 </w:t>
      </w:r>
    </w:p>
    <w:p>
      <w:pPr>
        <w:tabs>
          <w:tab w:val="left" w:pos="0"/>
          <w:tab w:val="left" w:pos="720"/>
          <w:tab w:val="left" w:pos="900"/>
          <w:tab w:val="left" w:pos="1080"/>
        </w:tabs>
        <w:spacing w:line="360" w:lineRule="auto"/>
        <w:ind w:firstLine="420" w:firstLineChars="200"/>
        <w:rPr>
          <w:rFonts w:hint="eastAsia" w:ascii="仿宋" w:hAnsi="仿宋" w:eastAsia="仿宋" w:cs="仿宋"/>
          <w:color w:val="auto"/>
          <w:sz w:val="21"/>
          <w:highlight w:val="none"/>
        </w:rPr>
      </w:pPr>
      <w:r>
        <w:rPr>
          <w:rFonts w:hint="eastAsia" w:ascii="仿宋" w:hAnsi="仿宋" w:eastAsia="仿宋" w:cs="仿宋"/>
          <w:color w:val="auto"/>
          <w:sz w:val="21"/>
          <w:highlight w:val="none"/>
          <w:lang w:val="en-US" w:eastAsia="zh-CN"/>
        </w:rPr>
        <w:t>7.2甲乙双方应当就签订本协议的相关事宜保密，不得将签订主体、时间、内容等信息透露给其他第三人。</w:t>
      </w:r>
    </w:p>
    <w:p>
      <w:pPr>
        <w:tabs>
          <w:tab w:val="left" w:pos="0"/>
          <w:tab w:val="left" w:pos="720"/>
          <w:tab w:val="left" w:pos="900"/>
          <w:tab w:val="left" w:pos="1080"/>
        </w:tabs>
        <w:spacing w:line="360" w:lineRule="auto"/>
        <w:ind w:firstLine="420" w:firstLineChars="200"/>
        <w:rPr>
          <w:rFonts w:hint="eastAsia" w:ascii="仿宋" w:hAnsi="仿宋" w:eastAsia="仿宋" w:cs="仿宋"/>
          <w:color w:val="auto"/>
          <w:sz w:val="21"/>
          <w:highlight w:val="none"/>
          <w:lang w:val="en-US" w:eastAsia="zh-CN"/>
        </w:rPr>
      </w:pPr>
      <w:r>
        <w:rPr>
          <w:rFonts w:hint="eastAsia" w:ascii="仿宋" w:hAnsi="仿宋" w:eastAsia="仿宋" w:cs="仿宋"/>
          <w:color w:val="auto"/>
          <w:sz w:val="21"/>
          <w:highlight w:val="none"/>
          <w:lang w:val="en-US" w:eastAsia="zh-CN"/>
        </w:rPr>
        <w:t>7.3若乙方公司不能中标，则本技术协议自动失效，双方不承担任何责任。</w:t>
      </w:r>
    </w:p>
    <w:p>
      <w:pPr>
        <w:ind w:firstLine="420" w:firstLineChars="200"/>
        <w:rPr>
          <w:rFonts w:hint="eastAsia" w:ascii="仿宋" w:hAnsi="仿宋" w:eastAsia="仿宋" w:cs="仿宋"/>
          <w:color w:val="auto"/>
          <w:sz w:val="21"/>
          <w:highlight w:val="none"/>
          <w:u w:val="single"/>
        </w:rPr>
      </w:pPr>
      <w:r>
        <w:rPr>
          <w:rFonts w:hint="eastAsia" w:ascii="仿宋" w:hAnsi="仿宋" w:eastAsia="仿宋" w:cs="仿宋"/>
          <w:color w:val="auto"/>
          <w:sz w:val="21"/>
          <w:highlight w:val="none"/>
          <w:lang w:val="en-US" w:eastAsia="zh-CN"/>
        </w:rPr>
        <w:t>7.4</w:t>
      </w:r>
      <w:r>
        <w:rPr>
          <w:rFonts w:hint="eastAsia" w:ascii="仿宋" w:hAnsi="仿宋" w:eastAsia="仿宋" w:cs="仿宋"/>
          <w:color w:val="auto"/>
          <w:sz w:val="21"/>
          <w:highlight w:val="none"/>
        </w:rPr>
        <w:t>本协议一式四份，甲方三份，乙方一份。</w:t>
      </w:r>
    </w:p>
    <w:p>
      <w:pPr>
        <w:numPr>
          <w:ilvl w:val="0"/>
          <w:numId w:val="0"/>
        </w:numPr>
        <w:tabs>
          <w:tab w:val="left" w:pos="540"/>
          <w:tab w:val="left" w:pos="840"/>
          <w:tab w:val="left" w:pos="1080"/>
        </w:tabs>
        <w:adjustRightInd/>
        <w:spacing w:line="360" w:lineRule="auto"/>
        <w:ind w:leftChars="171"/>
        <w:jc w:val="both"/>
        <w:textAlignment w:val="auto"/>
        <w:rPr>
          <w:rFonts w:hint="eastAsia" w:ascii="仿宋" w:hAnsi="仿宋" w:eastAsia="仿宋" w:cs="仿宋"/>
          <w:color w:val="auto"/>
          <w:sz w:val="21"/>
          <w:szCs w:val="21"/>
          <w:highlight w:val="none"/>
        </w:rPr>
      </w:pPr>
    </w:p>
    <w:p>
      <w:pPr>
        <w:pStyle w:val="6"/>
        <w:tabs>
          <w:tab w:val="left" w:pos="5094"/>
        </w:tabs>
        <w:spacing w:line="480" w:lineRule="auto"/>
        <w:ind w:right="1735"/>
        <w:rPr>
          <w:rFonts w:hint="eastAsia" w:ascii="仿宋" w:hAnsi="仿宋" w:eastAsia="仿宋" w:cs="仿宋"/>
          <w:b/>
          <w:bCs/>
          <w:color w:val="auto"/>
          <w:sz w:val="24"/>
          <w:szCs w:val="4"/>
          <w:highlight w:val="none"/>
        </w:rPr>
      </w:pPr>
      <w:r>
        <w:rPr>
          <w:rFonts w:hint="eastAsia" w:ascii="仿宋" w:hAnsi="仿宋" w:eastAsia="仿宋" w:cs="仿宋"/>
          <w:b/>
          <w:bCs/>
          <w:color w:val="auto"/>
          <w:sz w:val="24"/>
          <w:szCs w:val="4"/>
          <w:highlight w:val="none"/>
        </w:rPr>
        <w:t>甲方：甘肃酒钢集团宏兴钢铁股份有限公司炼铁厂</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乙方：</w:t>
      </w:r>
    </w:p>
    <w:p>
      <w:pPr>
        <w:pStyle w:val="6"/>
        <w:tabs>
          <w:tab w:val="left" w:pos="5094"/>
        </w:tabs>
        <w:spacing w:line="480" w:lineRule="auto"/>
        <w:rPr>
          <w:rFonts w:hint="eastAsia" w:ascii="仿宋" w:hAnsi="仿宋" w:eastAsia="仿宋" w:cs="仿宋"/>
          <w:b/>
          <w:bCs/>
          <w:color w:val="auto"/>
          <w:sz w:val="2"/>
          <w:szCs w:val="4"/>
          <w:highlight w:val="none"/>
        </w:rPr>
      </w:pPr>
      <w:r>
        <w:rPr>
          <w:rFonts w:hint="eastAsia" w:ascii="仿宋" w:hAnsi="仿宋" w:eastAsia="仿宋" w:cs="仿宋"/>
          <w:b/>
          <w:bCs/>
          <w:color w:val="auto"/>
          <w:sz w:val="24"/>
          <w:szCs w:val="4"/>
          <w:highlight w:val="none"/>
        </w:rPr>
        <w:t>代表：</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lang w:val="en-US" w:eastAsia="zh-CN"/>
        </w:rPr>
        <w:t xml:space="preserve">   </w:t>
      </w:r>
      <w:r>
        <w:rPr>
          <w:rFonts w:hint="eastAsia" w:ascii="仿宋" w:hAnsi="仿宋" w:eastAsia="仿宋" w:cs="仿宋"/>
          <w:b/>
          <w:bCs/>
          <w:color w:val="auto"/>
          <w:w w:val="95"/>
          <w:sz w:val="24"/>
          <w:szCs w:val="4"/>
          <w:highlight w:val="none"/>
        </w:rPr>
        <w:t>代表：</w:t>
      </w:r>
    </w:p>
    <w:p>
      <w:pPr>
        <w:pStyle w:val="6"/>
        <w:tabs>
          <w:tab w:val="left" w:pos="1419"/>
          <w:tab w:val="left" w:pos="1945"/>
          <w:tab w:val="left" w:pos="2468"/>
          <w:tab w:val="left" w:pos="5094"/>
          <w:tab w:val="left" w:pos="6354"/>
          <w:tab w:val="left" w:pos="6879"/>
          <w:tab w:val="left" w:pos="7405"/>
        </w:tabs>
        <w:spacing w:line="480" w:lineRule="auto"/>
        <w:rPr>
          <w:rFonts w:hint="eastAsia" w:ascii="仿宋" w:hAnsi="仿宋" w:eastAsia="仿宋" w:cs="仿宋"/>
          <w:b/>
          <w:bCs/>
          <w:color w:val="auto"/>
          <w:sz w:val="24"/>
          <w:szCs w:val="4"/>
          <w:highlight w:val="none"/>
        </w:rPr>
      </w:pPr>
      <w:r>
        <w:rPr>
          <w:rFonts w:hint="eastAsia" w:ascii="仿宋" w:hAnsi="仿宋" w:eastAsia="仿宋" w:cs="仿宋"/>
          <w:b/>
          <w:bCs/>
          <w:color w:val="auto"/>
          <w:sz w:val="24"/>
          <w:szCs w:val="4"/>
          <w:highlight w:val="none"/>
        </w:rPr>
        <w:t>日期：</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年</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月</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日</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lang w:val="en-US" w:eastAsia="zh-CN"/>
        </w:rPr>
        <w:t xml:space="preserve">   </w:t>
      </w:r>
      <w:r>
        <w:rPr>
          <w:rFonts w:hint="eastAsia" w:ascii="仿宋" w:hAnsi="仿宋" w:eastAsia="仿宋" w:cs="仿宋"/>
          <w:b/>
          <w:bCs/>
          <w:color w:val="auto"/>
          <w:sz w:val="24"/>
          <w:szCs w:val="4"/>
          <w:highlight w:val="none"/>
        </w:rPr>
        <w:t>日期：</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年</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月</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日</w:t>
      </w:r>
    </w:p>
    <w:p>
      <w:pPr>
        <w:tabs>
          <w:tab w:val="left" w:pos="540"/>
          <w:tab w:val="left" w:pos="840"/>
          <w:tab w:val="left" w:pos="1080"/>
        </w:tabs>
        <w:adjustRightInd/>
        <w:spacing w:line="360" w:lineRule="auto"/>
        <w:jc w:val="both"/>
        <w:textAlignment w:val="auto"/>
        <w:rPr>
          <w:rFonts w:hint="eastAsia" w:ascii="仿宋" w:hAnsi="仿宋" w:eastAsia="仿宋" w:cs="仿宋"/>
          <w:color w:val="auto"/>
          <w:sz w:val="21"/>
          <w:szCs w:val="21"/>
          <w:highlight w:val="none"/>
        </w:rPr>
      </w:pPr>
    </w:p>
    <w:p>
      <w:pPr>
        <w:tabs>
          <w:tab w:val="left" w:pos="540"/>
          <w:tab w:val="left" w:pos="840"/>
          <w:tab w:val="left" w:pos="1080"/>
        </w:tabs>
        <w:adjustRightInd/>
        <w:spacing w:line="360" w:lineRule="auto"/>
        <w:jc w:val="both"/>
        <w:textAlignment w:val="auto"/>
        <w:rPr>
          <w:rFonts w:hint="eastAsia" w:ascii="仿宋" w:hAnsi="仿宋" w:eastAsia="仿宋" w:cs="仿宋"/>
          <w:color w:val="auto"/>
          <w:sz w:val="21"/>
          <w:szCs w:val="21"/>
          <w:highlight w:val="none"/>
        </w:rPr>
      </w:pPr>
    </w:p>
    <w:p>
      <w:pPr>
        <w:tabs>
          <w:tab w:val="left" w:pos="540"/>
          <w:tab w:val="left" w:pos="840"/>
          <w:tab w:val="left" w:pos="1080"/>
        </w:tabs>
        <w:adjustRightInd/>
        <w:spacing w:line="360" w:lineRule="auto"/>
        <w:jc w:val="both"/>
        <w:textAlignment w:val="auto"/>
        <w:rPr>
          <w:rFonts w:hint="eastAsia" w:ascii="仿宋" w:hAnsi="仿宋" w:eastAsia="仿宋" w:cs="仿宋"/>
          <w:color w:val="auto"/>
          <w:sz w:val="21"/>
          <w:szCs w:val="21"/>
          <w:highlight w:val="none"/>
        </w:rPr>
      </w:pPr>
    </w:p>
    <w:p>
      <w:pPr>
        <w:rPr>
          <w:rFonts w:hint="eastAsia" w:ascii="仿宋" w:hAnsi="仿宋" w:eastAsia="仿宋" w:cs="仿宋"/>
          <w:color w:val="auto"/>
          <w:sz w:val="21"/>
          <w:szCs w:val="21"/>
          <w:highlight w:val="none"/>
        </w:rPr>
      </w:pPr>
    </w:p>
    <w:sectPr>
      <w:footerReference r:id="rId3" w:type="default"/>
      <w:pgSz w:w="11907" w:h="16840"/>
      <w:pgMar w:top="1440" w:right="1470" w:bottom="1440" w:left="1077" w:header="851" w:footer="992" w:gutter="0"/>
      <w:cols w:space="720" w:num="1"/>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魏碑简体">
    <w:altName w:val="微软雅黑"/>
    <w:panose1 w:val="02000000000000000000"/>
    <w:charset w:val="86"/>
    <w:family w:val="auto"/>
    <w:pitch w:val="default"/>
    <w:sig w:usb0="00000000" w:usb1="00000000" w:usb2="00000012" w:usb3="00000000" w:csb0="00040001"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pPr>
    <w:r>
      <w:rPr>
        <w:rFonts w:hint="eastAsia"/>
        <w:szCs w:val="21"/>
      </w:rPr>
      <w:t xml:space="preserve">第 </w:t>
    </w:r>
    <w:r>
      <w:rPr>
        <w:szCs w:val="21"/>
      </w:rPr>
      <w:fldChar w:fldCharType="begin"/>
    </w:r>
    <w:r>
      <w:rPr>
        <w:szCs w:val="21"/>
      </w:rPr>
      <w:instrText xml:space="preserve"> PAGE </w:instrText>
    </w:r>
    <w:r>
      <w:rPr>
        <w:szCs w:val="21"/>
      </w:rPr>
      <w:fldChar w:fldCharType="separate"/>
    </w:r>
    <w:r>
      <w:rPr>
        <w:szCs w:val="21"/>
      </w:rPr>
      <w:t>2</w:t>
    </w:r>
    <w:r>
      <w:rPr>
        <w:szCs w:val="21"/>
      </w:rPr>
      <w:fldChar w:fldCharType="end"/>
    </w:r>
    <w:r>
      <w:rPr>
        <w:rFonts w:hint="eastAsia"/>
        <w:szCs w:val="21"/>
      </w:rPr>
      <w:t xml:space="preserve"> 页 共 </w:t>
    </w:r>
    <w:r>
      <w:rPr>
        <w:szCs w:val="21"/>
      </w:rPr>
      <w:fldChar w:fldCharType="begin"/>
    </w:r>
    <w:r>
      <w:rPr>
        <w:szCs w:val="21"/>
      </w:rPr>
      <w:instrText xml:space="preserve"> NUMPAGES </w:instrText>
    </w:r>
    <w:r>
      <w:rPr>
        <w:szCs w:val="21"/>
      </w:rPr>
      <w:fldChar w:fldCharType="separate"/>
    </w:r>
    <w:r>
      <w:rPr>
        <w:szCs w:val="21"/>
      </w:rPr>
      <w:t>6</w:t>
    </w:r>
    <w:r>
      <w:rPr>
        <w:szCs w:val="21"/>
      </w:rPr>
      <w:fldChar w:fldCharType="end"/>
    </w:r>
    <w:r>
      <w:rPr>
        <w:rFonts w:hint="eastAsia"/>
        <w:szCs w:val="21"/>
      </w:rPr>
      <w:t xml:space="preserve"> 页</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5"/>
  <w:hyphenationZone w:val="360"/>
  <w:drawingGridHorizontalSpacing w:val="120"/>
  <w:drawingGridVerticalSpacing w:val="163"/>
  <w:displayHorizontalDrawingGridEvery w:val="1"/>
  <w:displayVerticalDrawingGridEvery w:val="1"/>
  <w:noPunctuationKerning w:val="1"/>
  <w:characterSpacingControl w:val="compressPunctuation"/>
  <w:noLineBreaksAfter w:lang="zh-CN" w:val="([{·‘“〈《「『【〔〖（．［｛￡￥"/>
  <w:noLineBreaksBefore w:lang="zh-CN" w:val="!),.:;?]}¨·ˇˉ―‖’”…∶、。〃々〉》」』】〕〗！＂＇），．：；？］｀｜｝～￠"/>
  <w:compat>
    <w:spaceForUL/>
    <w:balanceSingleByteDoubleByteWidth/>
    <w:doNotLeaveBackslashAlone/>
    <w:ulTrailSpac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IyYjY0ZmZhNDY4ZmE2OWVhMjQwYTJiYTE2YTFmYTMifQ=="/>
    <w:docVar w:name="KSO_WPS_MARK_KEY" w:val="ce00ab5f-1421-445c-8d4c-69502139f280"/>
  </w:docVars>
  <w:rsids>
    <w:rsidRoot w:val="00A15A5D"/>
    <w:rsid w:val="00015FF6"/>
    <w:rsid w:val="00017AC3"/>
    <w:rsid w:val="00017C0A"/>
    <w:rsid w:val="00023674"/>
    <w:rsid w:val="00023B5E"/>
    <w:rsid w:val="00030031"/>
    <w:rsid w:val="0003066D"/>
    <w:rsid w:val="00030854"/>
    <w:rsid w:val="00032435"/>
    <w:rsid w:val="0003647A"/>
    <w:rsid w:val="00041229"/>
    <w:rsid w:val="0004284C"/>
    <w:rsid w:val="000433EB"/>
    <w:rsid w:val="00043673"/>
    <w:rsid w:val="000476EE"/>
    <w:rsid w:val="00047906"/>
    <w:rsid w:val="00047EC4"/>
    <w:rsid w:val="00051F1D"/>
    <w:rsid w:val="00053097"/>
    <w:rsid w:val="0005339B"/>
    <w:rsid w:val="000647CA"/>
    <w:rsid w:val="00064BD5"/>
    <w:rsid w:val="00065075"/>
    <w:rsid w:val="00072E65"/>
    <w:rsid w:val="00073506"/>
    <w:rsid w:val="00074ACA"/>
    <w:rsid w:val="000751DB"/>
    <w:rsid w:val="0008119C"/>
    <w:rsid w:val="00086835"/>
    <w:rsid w:val="000869DE"/>
    <w:rsid w:val="00087D9C"/>
    <w:rsid w:val="000900A2"/>
    <w:rsid w:val="00090E3C"/>
    <w:rsid w:val="000968B3"/>
    <w:rsid w:val="000A45D1"/>
    <w:rsid w:val="000B03A3"/>
    <w:rsid w:val="000B088D"/>
    <w:rsid w:val="000B54BD"/>
    <w:rsid w:val="000B5DA6"/>
    <w:rsid w:val="000C5098"/>
    <w:rsid w:val="000D3B2C"/>
    <w:rsid w:val="000D5487"/>
    <w:rsid w:val="000D7474"/>
    <w:rsid w:val="000D7C09"/>
    <w:rsid w:val="000E3496"/>
    <w:rsid w:val="000E4413"/>
    <w:rsid w:val="000F1DE0"/>
    <w:rsid w:val="000F4F74"/>
    <w:rsid w:val="00100D74"/>
    <w:rsid w:val="00111FF6"/>
    <w:rsid w:val="0011221B"/>
    <w:rsid w:val="00113B69"/>
    <w:rsid w:val="0011425B"/>
    <w:rsid w:val="00121D12"/>
    <w:rsid w:val="00122596"/>
    <w:rsid w:val="00123A02"/>
    <w:rsid w:val="00123A78"/>
    <w:rsid w:val="001255DF"/>
    <w:rsid w:val="00126350"/>
    <w:rsid w:val="0012639C"/>
    <w:rsid w:val="00131998"/>
    <w:rsid w:val="00136046"/>
    <w:rsid w:val="0014403F"/>
    <w:rsid w:val="001469F2"/>
    <w:rsid w:val="00151953"/>
    <w:rsid w:val="00153C18"/>
    <w:rsid w:val="0015418B"/>
    <w:rsid w:val="00172DBF"/>
    <w:rsid w:val="00174968"/>
    <w:rsid w:val="001760E3"/>
    <w:rsid w:val="0018114C"/>
    <w:rsid w:val="0018235E"/>
    <w:rsid w:val="001827D5"/>
    <w:rsid w:val="001931FF"/>
    <w:rsid w:val="00195E3D"/>
    <w:rsid w:val="001A601F"/>
    <w:rsid w:val="001B0FBF"/>
    <w:rsid w:val="001B1352"/>
    <w:rsid w:val="001B29C2"/>
    <w:rsid w:val="001C54AD"/>
    <w:rsid w:val="001C645A"/>
    <w:rsid w:val="001D127D"/>
    <w:rsid w:val="001D12EB"/>
    <w:rsid w:val="001D4F66"/>
    <w:rsid w:val="001D7F5E"/>
    <w:rsid w:val="001E3B73"/>
    <w:rsid w:val="001E53E0"/>
    <w:rsid w:val="001E5B6F"/>
    <w:rsid w:val="001F2F13"/>
    <w:rsid w:val="001F4D31"/>
    <w:rsid w:val="001F78C3"/>
    <w:rsid w:val="00200838"/>
    <w:rsid w:val="0020195B"/>
    <w:rsid w:val="002058B8"/>
    <w:rsid w:val="002071EA"/>
    <w:rsid w:val="00210956"/>
    <w:rsid w:val="0021156A"/>
    <w:rsid w:val="002164F3"/>
    <w:rsid w:val="00222D34"/>
    <w:rsid w:val="00223ED3"/>
    <w:rsid w:val="002253B9"/>
    <w:rsid w:val="00227EED"/>
    <w:rsid w:val="0023399D"/>
    <w:rsid w:val="002347D0"/>
    <w:rsid w:val="0023728C"/>
    <w:rsid w:val="0024237D"/>
    <w:rsid w:val="00246F72"/>
    <w:rsid w:val="00252BC8"/>
    <w:rsid w:val="00254AE5"/>
    <w:rsid w:val="00256350"/>
    <w:rsid w:val="00263F8F"/>
    <w:rsid w:val="00266186"/>
    <w:rsid w:val="00272FE0"/>
    <w:rsid w:val="0027604A"/>
    <w:rsid w:val="00285D2A"/>
    <w:rsid w:val="00285D69"/>
    <w:rsid w:val="00286AB1"/>
    <w:rsid w:val="00290616"/>
    <w:rsid w:val="00290D73"/>
    <w:rsid w:val="0029146A"/>
    <w:rsid w:val="002A47BD"/>
    <w:rsid w:val="002A6BFF"/>
    <w:rsid w:val="002A78BB"/>
    <w:rsid w:val="002B1287"/>
    <w:rsid w:val="002B1B61"/>
    <w:rsid w:val="002B232D"/>
    <w:rsid w:val="002B4602"/>
    <w:rsid w:val="002B6111"/>
    <w:rsid w:val="002C0E54"/>
    <w:rsid w:val="002C4CCD"/>
    <w:rsid w:val="002D262E"/>
    <w:rsid w:val="002D74DE"/>
    <w:rsid w:val="002D7AEC"/>
    <w:rsid w:val="002E3A53"/>
    <w:rsid w:val="002F4357"/>
    <w:rsid w:val="002F59D4"/>
    <w:rsid w:val="002F61D2"/>
    <w:rsid w:val="002F659D"/>
    <w:rsid w:val="002F7B18"/>
    <w:rsid w:val="00301DD7"/>
    <w:rsid w:val="00305A99"/>
    <w:rsid w:val="0031145F"/>
    <w:rsid w:val="00312380"/>
    <w:rsid w:val="00314521"/>
    <w:rsid w:val="0032488C"/>
    <w:rsid w:val="00325AE5"/>
    <w:rsid w:val="00333CA9"/>
    <w:rsid w:val="003371B1"/>
    <w:rsid w:val="00337DAB"/>
    <w:rsid w:val="003403E8"/>
    <w:rsid w:val="003420AF"/>
    <w:rsid w:val="0034222C"/>
    <w:rsid w:val="00343EFC"/>
    <w:rsid w:val="00344CB8"/>
    <w:rsid w:val="00352E8B"/>
    <w:rsid w:val="003608C5"/>
    <w:rsid w:val="00366F1B"/>
    <w:rsid w:val="00371578"/>
    <w:rsid w:val="003725DC"/>
    <w:rsid w:val="0037739F"/>
    <w:rsid w:val="003800F6"/>
    <w:rsid w:val="00382C2A"/>
    <w:rsid w:val="00383332"/>
    <w:rsid w:val="0038610C"/>
    <w:rsid w:val="0038623D"/>
    <w:rsid w:val="00392B9D"/>
    <w:rsid w:val="003A52ED"/>
    <w:rsid w:val="003B0E8A"/>
    <w:rsid w:val="003B3C16"/>
    <w:rsid w:val="003B6FDE"/>
    <w:rsid w:val="003C022C"/>
    <w:rsid w:val="003C19B8"/>
    <w:rsid w:val="003C1C99"/>
    <w:rsid w:val="003C26B2"/>
    <w:rsid w:val="003C28E9"/>
    <w:rsid w:val="003D5137"/>
    <w:rsid w:val="003D6E84"/>
    <w:rsid w:val="003E339C"/>
    <w:rsid w:val="003E79FF"/>
    <w:rsid w:val="003F0862"/>
    <w:rsid w:val="003F2531"/>
    <w:rsid w:val="004019D5"/>
    <w:rsid w:val="00401DE2"/>
    <w:rsid w:val="004030B3"/>
    <w:rsid w:val="00403112"/>
    <w:rsid w:val="0041228B"/>
    <w:rsid w:val="00414343"/>
    <w:rsid w:val="004166DA"/>
    <w:rsid w:val="004222AD"/>
    <w:rsid w:val="00423BA6"/>
    <w:rsid w:val="00434348"/>
    <w:rsid w:val="00435005"/>
    <w:rsid w:val="00436AE0"/>
    <w:rsid w:val="004373B6"/>
    <w:rsid w:val="00437A34"/>
    <w:rsid w:val="00442516"/>
    <w:rsid w:val="00442A8C"/>
    <w:rsid w:val="004448DD"/>
    <w:rsid w:val="00451D57"/>
    <w:rsid w:val="0045548A"/>
    <w:rsid w:val="00455898"/>
    <w:rsid w:val="00470FF8"/>
    <w:rsid w:val="00471AA4"/>
    <w:rsid w:val="004868E5"/>
    <w:rsid w:val="00487339"/>
    <w:rsid w:val="00491567"/>
    <w:rsid w:val="004928E7"/>
    <w:rsid w:val="00495DE9"/>
    <w:rsid w:val="00496916"/>
    <w:rsid w:val="004A4D88"/>
    <w:rsid w:val="004B40B5"/>
    <w:rsid w:val="004B56EB"/>
    <w:rsid w:val="004B5790"/>
    <w:rsid w:val="004B7DC8"/>
    <w:rsid w:val="004C159E"/>
    <w:rsid w:val="004C3ABF"/>
    <w:rsid w:val="004C4AB4"/>
    <w:rsid w:val="004E11A3"/>
    <w:rsid w:val="004F0212"/>
    <w:rsid w:val="004F3378"/>
    <w:rsid w:val="005076E1"/>
    <w:rsid w:val="00510173"/>
    <w:rsid w:val="0052000B"/>
    <w:rsid w:val="005218B9"/>
    <w:rsid w:val="005242C9"/>
    <w:rsid w:val="00525E29"/>
    <w:rsid w:val="00540365"/>
    <w:rsid w:val="00541493"/>
    <w:rsid w:val="00542C10"/>
    <w:rsid w:val="00556C2B"/>
    <w:rsid w:val="00560D33"/>
    <w:rsid w:val="0056674C"/>
    <w:rsid w:val="00585038"/>
    <w:rsid w:val="00586812"/>
    <w:rsid w:val="00592F3B"/>
    <w:rsid w:val="00594867"/>
    <w:rsid w:val="00595406"/>
    <w:rsid w:val="0059663A"/>
    <w:rsid w:val="005968DD"/>
    <w:rsid w:val="00596979"/>
    <w:rsid w:val="005973A9"/>
    <w:rsid w:val="005A66F2"/>
    <w:rsid w:val="005A6ED6"/>
    <w:rsid w:val="005B05AD"/>
    <w:rsid w:val="005B2FE4"/>
    <w:rsid w:val="005B48FD"/>
    <w:rsid w:val="005B5E73"/>
    <w:rsid w:val="005C0D4E"/>
    <w:rsid w:val="005C2C7D"/>
    <w:rsid w:val="005C3ECC"/>
    <w:rsid w:val="005C4043"/>
    <w:rsid w:val="005C4F6D"/>
    <w:rsid w:val="005D2FA6"/>
    <w:rsid w:val="005E1322"/>
    <w:rsid w:val="005E4ECE"/>
    <w:rsid w:val="005E4F3F"/>
    <w:rsid w:val="005E4FDD"/>
    <w:rsid w:val="005E7CDB"/>
    <w:rsid w:val="005F1F17"/>
    <w:rsid w:val="005F5D1E"/>
    <w:rsid w:val="00600C6D"/>
    <w:rsid w:val="006053D3"/>
    <w:rsid w:val="006053FE"/>
    <w:rsid w:val="00605447"/>
    <w:rsid w:val="00606EAA"/>
    <w:rsid w:val="0061252B"/>
    <w:rsid w:val="00612666"/>
    <w:rsid w:val="00614830"/>
    <w:rsid w:val="00620C94"/>
    <w:rsid w:val="00620F5D"/>
    <w:rsid w:val="00621C60"/>
    <w:rsid w:val="00622CE4"/>
    <w:rsid w:val="00637C67"/>
    <w:rsid w:val="00640322"/>
    <w:rsid w:val="00642284"/>
    <w:rsid w:val="00655D4B"/>
    <w:rsid w:val="00660AEC"/>
    <w:rsid w:val="00667ED9"/>
    <w:rsid w:val="00670FBA"/>
    <w:rsid w:val="00671F20"/>
    <w:rsid w:val="00672953"/>
    <w:rsid w:val="00677DF7"/>
    <w:rsid w:val="00680D9B"/>
    <w:rsid w:val="006829B2"/>
    <w:rsid w:val="00685E51"/>
    <w:rsid w:val="00686023"/>
    <w:rsid w:val="00693670"/>
    <w:rsid w:val="00693E08"/>
    <w:rsid w:val="006962E1"/>
    <w:rsid w:val="00696E24"/>
    <w:rsid w:val="006A0BF5"/>
    <w:rsid w:val="006B19A3"/>
    <w:rsid w:val="006B6BF5"/>
    <w:rsid w:val="006C39FA"/>
    <w:rsid w:val="006D3108"/>
    <w:rsid w:val="006D4C33"/>
    <w:rsid w:val="006D502E"/>
    <w:rsid w:val="006F0809"/>
    <w:rsid w:val="006F6784"/>
    <w:rsid w:val="006F7C2A"/>
    <w:rsid w:val="0070345A"/>
    <w:rsid w:val="00704739"/>
    <w:rsid w:val="007119E4"/>
    <w:rsid w:val="007238B6"/>
    <w:rsid w:val="00732C7A"/>
    <w:rsid w:val="00734FEB"/>
    <w:rsid w:val="00735BB1"/>
    <w:rsid w:val="00735FF6"/>
    <w:rsid w:val="00737473"/>
    <w:rsid w:val="00740FCE"/>
    <w:rsid w:val="00741183"/>
    <w:rsid w:val="0074577F"/>
    <w:rsid w:val="00745C60"/>
    <w:rsid w:val="00750729"/>
    <w:rsid w:val="00752945"/>
    <w:rsid w:val="00767ACF"/>
    <w:rsid w:val="0077204C"/>
    <w:rsid w:val="00772FB0"/>
    <w:rsid w:val="007801B6"/>
    <w:rsid w:val="0078054E"/>
    <w:rsid w:val="00786B14"/>
    <w:rsid w:val="00794044"/>
    <w:rsid w:val="007A3106"/>
    <w:rsid w:val="007A3934"/>
    <w:rsid w:val="007A3B31"/>
    <w:rsid w:val="007A6C57"/>
    <w:rsid w:val="007A7101"/>
    <w:rsid w:val="007B0625"/>
    <w:rsid w:val="007B6741"/>
    <w:rsid w:val="007D3E52"/>
    <w:rsid w:val="007D709F"/>
    <w:rsid w:val="007E40A4"/>
    <w:rsid w:val="007E6240"/>
    <w:rsid w:val="007F1F30"/>
    <w:rsid w:val="00800167"/>
    <w:rsid w:val="00804471"/>
    <w:rsid w:val="00814963"/>
    <w:rsid w:val="00814C80"/>
    <w:rsid w:val="0082285E"/>
    <w:rsid w:val="0082350F"/>
    <w:rsid w:val="008262D5"/>
    <w:rsid w:val="00827ACE"/>
    <w:rsid w:val="0083089E"/>
    <w:rsid w:val="00842F0A"/>
    <w:rsid w:val="00851E38"/>
    <w:rsid w:val="00853E88"/>
    <w:rsid w:val="008569C3"/>
    <w:rsid w:val="00857405"/>
    <w:rsid w:val="00865FA4"/>
    <w:rsid w:val="008704CA"/>
    <w:rsid w:val="00875999"/>
    <w:rsid w:val="00876765"/>
    <w:rsid w:val="008768C9"/>
    <w:rsid w:val="00882B52"/>
    <w:rsid w:val="008927B5"/>
    <w:rsid w:val="00896A1E"/>
    <w:rsid w:val="008B0031"/>
    <w:rsid w:val="008B78F3"/>
    <w:rsid w:val="008C522D"/>
    <w:rsid w:val="008C7455"/>
    <w:rsid w:val="008D4405"/>
    <w:rsid w:val="008D62FE"/>
    <w:rsid w:val="008D676B"/>
    <w:rsid w:val="008D6EE1"/>
    <w:rsid w:val="008E6497"/>
    <w:rsid w:val="008E67ED"/>
    <w:rsid w:val="008F037D"/>
    <w:rsid w:val="008F27B6"/>
    <w:rsid w:val="008F6195"/>
    <w:rsid w:val="00900842"/>
    <w:rsid w:val="0090626D"/>
    <w:rsid w:val="00910282"/>
    <w:rsid w:val="00920804"/>
    <w:rsid w:val="009241F6"/>
    <w:rsid w:val="0093306A"/>
    <w:rsid w:val="009340FB"/>
    <w:rsid w:val="00942E9E"/>
    <w:rsid w:val="0094301F"/>
    <w:rsid w:val="00944330"/>
    <w:rsid w:val="00946F60"/>
    <w:rsid w:val="00954D36"/>
    <w:rsid w:val="00961C36"/>
    <w:rsid w:val="00964E7F"/>
    <w:rsid w:val="00965538"/>
    <w:rsid w:val="00965C4C"/>
    <w:rsid w:val="00965FE8"/>
    <w:rsid w:val="00966604"/>
    <w:rsid w:val="00967335"/>
    <w:rsid w:val="00967E05"/>
    <w:rsid w:val="00971D4D"/>
    <w:rsid w:val="00973D19"/>
    <w:rsid w:val="00983D7C"/>
    <w:rsid w:val="00983FE3"/>
    <w:rsid w:val="00991DDB"/>
    <w:rsid w:val="009922CD"/>
    <w:rsid w:val="0099403E"/>
    <w:rsid w:val="009960A2"/>
    <w:rsid w:val="00996351"/>
    <w:rsid w:val="009A2190"/>
    <w:rsid w:val="009A7278"/>
    <w:rsid w:val="009B09EA"/>
    <w:rsid w:val="009B41A3"/>
    <w:rsid w:val="009B4B80"/>
    <w:rsid w:val="009B50DC"/>
    <w:rsid w:val="009B5D98"/>
    <w:rsid w:val="009B7325"/>
    <w:rsid w:val="009C1A4B"/>
    <w:rsid w:val="009C2360"/>
    <w:rsid w:val="009D0F14"/>
    <w:rsid w:val="009D1501"/>
    <w:rsid w:val="009D5071"/>
    <w:rsid w:val="009D62C3"/>
    <w:rsid w:val="009E4215"/>
    <w:rsid w:val="009E4DEC"/>
    <w:rsid w:val="009F387C"/>
    <w:rsid w:val="009F47C3"/>
    <w:rsid w:val="00A040E1"/>
    <w:rsid w:val="00A10B4B"/>
    <w:rsid w:val="00A11A70"/>
    <w:rsid w:val="00A15A5D"/>
    <w:rsid w:val="00A1625F"/>
    <w:rsid w:val="00A163BB"/>
    <w:rsid w:val="00A17FD7"/>
    <w:rsid w:val="00A26640"/>
    <w:rsid w:val="00A402C3"/>
    <w:rsid w:val="00A42064"/>
    <w:rsid w:val="00A42C3F"/>
    <w:rsid w:val="00A434DA"/>
    <w:rsid w:val="00A45F09"/>
    <w:rsid w:val="00A46368"/>
    <w:rsid w:val="00A46C2C"/>
    <w:rsid w:val="00A47F73"/>
    <w:rsid w:val="00A50B09"/>
    <w:rsid w:val="00A5655C"/>
    <w:rsid w:val="00A625C4"/>
    <w:rsid w:val="00A6449E"/>
    <w:rsid w:val="00A676EB"/>
    <w:rsid w:val="00A72C27"/>
    <w:rsid w:val="00A73DC8"/>
    <w:rsid w:val="00A86C60"/>
    <w:rsid w:val="00A93DED"/>
    <w:rsid w:val="00AA7C54"/>
    <w:rsid w:val="00AB5AA9"/>
    <w:rsid w:val="00AB7E6F"/>
    <w:rsid w:val="00AB7F89"/>
    <w:rsid w:val="00AC3232"/>
    <w:rsid w:val="00AC6544"/>
    <w:rsid w:val="00AC7700"/>
    <w:rsid w:val="00AC7777"/>
    <w:rsid w:val="00AD0861"/>
    <w:rsid w:val="00AD1EB5"/>
    <w:rsid w:val="00AD38CF"/>
    <w:rsid w:val="00AD4E20"/>
    <w:rsid w:val="00AD52C4"/>
    <w:rsid w:val="00AD76F0"/>
    <w:rsid w:val="00AE2EF2"/>
    <w:rsid w:val="00AE647F"/>
    <w:rsid w:val="00AF20F2"/>
    <w:rsid w:val="00AF5383"/>
    <w:rsid w:val="00B02E6A"/>
    <w:rsid w:val="00B03B9B"/>
    <w:rsid w:val="00B03D9C"/>
    <w:rsid w:val="00B065BB"/>
    <w:rsid w:val="00B074EC"/>
    <w:rsid w:val="00B07B87"/>
    <w:rsid w:val="00B16084"/>
    <w:rsid w:val="00B169CA"/>
    <w:rsid w:val="00B235A4"/>
    <w:rsid w:val="00B26E51"/>
    <w:rsid w:val="00B37F2C"/>
    <w:rsid w:val="00B41E20"/>
    <w:rsid w:val="00B433EB"/>
    <w:rsid w:val="00B44B29"/>
    <w:rsid w:val="00B55F2F"/>
    <w:rsid w:val="00B81CE6"/>
    <w:rsid w:val="00B86296"/>
    <w:rsid w:val="00B96782"/>
    <w:rsid w:val="00BA0FA9"/>
    <w:rsid w:val="00BA6684"/>
    <w:rsid w:val="00BB0FD0"/>
    <w:rsid w:val="00BC0BE2"/>
    <w:rsid w:val="00BC2B00"/>
    <w:rsid w:val="00BD25CA"/>
    <w:rsid w:val="00BF057C"/>
    <w:rsid w:val="00BF2F7D"/>
    <w:rsid w:val="00BF7F04"/>
    <w:rsid w:val="00C00002"/>
    <w:rsid w:val="00C02867"/>
    <w:rsid w:val="00C04CA0"/>
    <w:rsid w:val="00C109C9"/>
    <w:rsid w:val="00C1241A"/>
    <w:rsid w:val="00C137F0"/>
    <w:rsid w:val="00C1552C"/>
    <w:rsid w:val="00C16482"/>
    <w:rsid w:val="00C23B44"/>
    <w:rsid w:val="00C27BD6"/>
    <w:rsid w:val="00C319C6"/>
    <w:rsid w:val="00C3650E"/>
    <w:rsid w:val="00C41F76"/>
    <w:rsid w:val="00C5552D"/>
    <w:rsid w:val="00C562D9"/>
    <w:rsid w:val="00C56AF7"/>
    <w:rsid w:val="00C5756F"/>
    <w:rsid w:val="00C625AD"/>
    <w:rsid w:val="00C66CAF"/>
    <w:rsid w:val="00C67F74"/>
    <w:rsid w:val="00C716BA"/>
    <w:rsid w:val="00C76E01"/>
    <w:rsid w:val="00C91EAA"/>
    <w:rsid w:val="00C950DC"/>
    <w:rsid w:val="00C96A1A"/>
    <w:rsid w:val="00CA3697"/>
    <w:rsid w:val="00CA7147"/>
    <w:rsid w:val="00CB0B30"/>
    <w:rsid w:val="00CB340A"/>
    <w:rsid w:val="00CB36CC"/>
    <w:rsid w:val="00CB3767"/>
    <w:rsid w:val="00CB5F3F"/>
    <w:rsid w:val="00CC4F4D"/>
    <w:rsid w:val="00CC6283"/>
    <w:rsid w:val="00CD4836"/>
    <w:rsid w:val="00CE25D3"/>
    <w:rsid w:val="00CE5565"/>
    <w:rsid w:val="00CE5CFA"/>
    <w:rsid w:val="00CE6354"/>
    <w:rsid w:val="00CE774E"/>
    <w:rsid w:val="00CF1803"/>
    <w:rsid w:val="00CF651E"/>
    <w:rsid w:val="00CF7263"/>
    <w:rsid w:val="00D026FE"/>
    <w:rsid w:val="00D06C59"/>
    <w:rsid w:val="00D278EE"/>
    <w:rsid w:val="00D3530F"/>
    <w:rsid w:val="00D354B2"/>
    <w:rsid w:val="00D356BB"/>
    <w:rsid w:val="00D44138"/>
    <w:rsid w:val="00D46FCA"/>
    <w:rsid w:val="00D5077C"/>
    <w:rsid w:val="00D508EE"/>
    <w:rsid w:val="00D55B05"/>
    <w:rsid w:val="00D55DF3"/>
    <w:rsid w:val="00D56439"/>
    <w:rsid w:val="00D57ABB"/>
    <w:rsid w:val="00D64A9A"/>
    <w:rsid w:val="00D668FE"/>
    <w:rsid w:val="00D67108"/>
    <w:rsid w:val="00D71B11"/>
    <w:rsid w:val="00D722EA"/>
    <w:rsid w:val="00D72B49"/>
    <w:rsid w:val="00D81E40"/>
    <w:rsid w:val="00D8765F"/>
    <w:rsid w:val="00D9145D"/>
    <w:rsid w:val="00D92F05"/>
    <w:rsid w:val="00D93DE2"/>
    <w:rsid w:val="00D94180"/>
    <w:rsid w:val="00D9516A"/>
    <w:rsid w:val="00DA3F9C"/>
    <w:rsid w:val="00DA4038"/>
    <w:rsid w:val="00DA5A4E"/>
    <w:rsid w:val="00DA64E0"/>
    <w:rsid w:val="00DB6747"/>
    <w:rsid w:val="00DC3CAB"/>
    <w:rsid w:val="00DC6443"/>
    <w:rsid w:val="00DD6B18"/>
    <w:rsid w:val="00DE1F96"/>
    <w:rsid w:val="00DE4886"/>
    <w:rsid w:val="00DF10CF"/>
    <w:rsid w:val="00E0102B"/>
    <w:rsid w:val="00E017BF"/>
    <w:rsid w:val="00E130F2"/>
    <w:rsid w:val="00E224E2"/>
    <w:rsid w:val="00E2521B"/>
    <w:rsid w:val="00E2737B"/>
    <w:rsid w:val="00E32D78"/>
    <w:rsid w:val="00E34BF0"/>
    <w:rsid w:val="00E474B3"/>
    <w:rsid w:val="00E5420E"/>
    <w:rsid w:val="00E5562E"/>
    <w:rsid w:val="00E56B8E"/>
    <w:rsid w:val="00E65FD5"/>
    <w:rsid w:val="00E721BA"/>
    <w:rsid w:val="00E77F24"/>
    <w:rsid w:val="00E80D15"/>
    <w:rsid w:val="00E81D0F"/>
    <w:rsid w:val="00E861B4"/>
    <w:rsid w:val="00E867F8"/>
    <w:rsid w:val="00E95F81"/>
    <w:rsid w:val="00EA2E8D"/>
    <w:rsid w:val="00EA35B3"/>
    <w:rsid w:val="00EA41F3"/>
    <w:rsid w:val="00EB09F6"/>
    <w:rsid w:val="00EB6283"/>
    <w:rsid w:val="00EB6371"/>
    <w:rsid w:val="00EB7DFE"/>
    <w:rsid w:val="00ED600A"/>
    <w:rsid w:val="00EE44E0"/>
    <w:rsid w:val="00EF160D"/>
    <w:rsid w:val="00EF6095"/>
    <w:rsid w:val="00F02C86"/>
    <w:rsid w:val="00F04A22"/>
    <w:rsid w:val="00F06E0A"/>
    <w:rsid w:val="00F15653"/>
    <w:rsid w:val="00F1774D"/>
    <w:rsid w:val="00F25057"/>
    <w:rsid w:val="00F25C0B"/>
    <w:rsid w:val="00F30557"/>
    <w:rsid w:val="00F30691"/>
    <w:rsid w:val="00F367B4"/>
    <w:rsid w:val="00F44CCB"/>
    <w:rsid w:val="00F46E7A"/>
    <w:rsid w:val="00F5487C"/>
    <w:rsid w:val="00F600D3"/>
    <w:rsid w:val="00F62902"/>
    <w:rsid w:val="00F62DAE"/>
    <w:rsid w:val="00F669DC"/>
    <w:rsid w:val="00F74F01"/>
    <w:rsid w:val="00F841C1"/>
    <w:rsid w:val="00F84629"/>
    <w:rsid w:val="00F9506B"/>
    <w:rsid w:val="00F97FAB"/>
    <w:rsid w:val="00FA06E0"/>
    <w:rsid w:val="00FB3BD7"/>
    <w:rsid w:val="00FB69E8"/>
    <w:rsid w:val="00FC0108"/>
    <w:rsid w:val="00FC1D29"/>
    <w:rsid w:val="00FC249A"/>
    <w:rsid w:val="00FC5595"/>
    <w:rsid w:val="00FE0896"/>
    <w:rsid w:val="00FF0D96"/>
    <w:rsid w:val="00FF14D4"/>
    <w:rsid w:val="03DF3D4F"/>
    <w:rsid w:val="045A41EA"/>
    <w:rsid w:val="04931259"/>
    <w:rsid w:val="08416F2D"/>
    <w:rsid w:val="0A502357"/>
    <w:rsid w:val="0AF75787"/>
    <w:rsid w:val="0C693DF6"/>
    <w:rsid w:val="0F6949B9"/>
    <w:rsid w:val="0FA7334B"/>
    <w:rsid w:val="114C2644"/>
    <w:rsid w:val="11AC1D80"/>
    <w:rsid w:val="14A213F8"/>
    <w:rsid w:val="15B8653A"/>
    <w:rsid w:val="15C0276A"/>
    <w:rsid w:val="17B55FF2"/>
    <w:rsid w:val="18A90670"/>
    <w:rsid w:val="190D30A5"/>
    <w:rsid w:val="1A9210DE"/>
    <w:rsid w:val="1B2314B5"/>
    <w:rsid w:val="1C3A718F"/>
    <w:rsid w:val="1D0E6271"/>
    <w:rsid w:val="203103A7"/>
    <w:rsid w:val="205F020B"/>
    <w:rsid w:val="21D10F9D"/>
    <w:rsid w:val="262C11AD"/>
    <w:rsid w:val="264D6D44"/>
    <w:rsid w:val="274A49E9"/>
    <w:rsid w:val="29796396"/>
    <w:rsid w:val="2D34414E"/>
    <w:rsid w:val="2F2903A9"/>
    <w:rsid w:val="2F5A6DBC"/>
    <w:rsid w:val="316F691B"/>
    <w:rsid w:val="34F76C36"/>
    <w:rsid w:val="38822413"/>
    <w:rsid w:val="39481A9A"/>
    <w:rsid w:val="3E3770BC"/>
    <w:rsid w:val="3EAF1EBE"/>
    <w:rsid w:val="400A0C2B"/>
    <w:rsid w:val="42650422"/>
    <w:rsid w:val="43AA712C"/>
    <w:rsid w:val="48AE77F9"/>
    <w:rsid w:val="49916AB0"/>
    <w:rsid w:val="49B31077"/>
    <w:rsid w:val="4A1D17C2"/>
    <w:rsid w:val="4E02772B"/>
    <w:rsid w:val="4F7E26BC"/>
    <w:rsid w:val="50095F5C"/>
    <w:rsid w:val="508431D1"/>
    <w:rsid w:val="52543B4B"/>
    <w:rsid w:val="53193986"/>
    <w:rsid w:val="53B546F8"/>
    <w:rsid w:val="56702AF5"/>
    <w:rsid w:val="577F2AA1"/>
    <w:rsid w:val="57EE377A"/>
    <w:rsid w:val="57F435E4"/>
    <w:rsid w:val="58374651"/>
    <w:rsid w:val="588E41F9"/>
    <w:rsid w:val="5A5B7F3B"/>
    <w:rsid w:val="5EA12D8F"/>
    <w:rsid w:val="5EB033F0"/>
    <w:rsid w:val="608B2DCE"/>
    <w:rsid w:val="61D858B1"/>
    <w:rsid w:val="625E7ACB"/>
    <w:rsid w:val="64B41760"/>
    <w:rsid w:val="66602606"/>
    <w:rsid w:val="67A63303"/>
    <w:rsid w:val="698011C9"/>
    <w:rsid w:val="6AB0617B"/>
    <w:rsid w:val="6B19056F"/>
    <w:rsid w:val="71326073"/>
    <w:rsid w:val="72D75DC2"/>
    <w:rsid w:val="74753B7F"/>
    <w:rsid w:val="74FB6702"/>
    <w:rsid w:val="78711E62"/>
    <w:rsid w:val="7A073341"/>
    <w:rsid w:val="7B7A6D7B"/>
    <w:rsid w:val="7F9D2CB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39"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paragraph" w:styleId="2">
    <w:name w:val="heading 4"/>
    <w:basedOn w:val="3"/>
    <w:next w:val="1"/>
    <w:qFormat/>
    <w:uiPriority w:val="0"/>
    <w:pPr>
      <w:keepNext/>
      <w:keepLines/>
      <w:adjustRightInd w:val="0"/>
      <w:spacing w:before="280" w:after="290" w:line="376" w:lineRule="auto"/>
      <w:textAlignment w:val="baseline"/>
      <w:outlineLvl w:val="3"/>
    </w:pPr>
    <w:rPr>
      <w:rFonts w:ascii="Arial" w:hAnsi="Arial" w:eastAsia="黑体"/>
      <w:b/>
      <w:sz w:val="28"/>
      <w:szCs w:val="20"/>
    </w:rPr>
  </w:style>
  <w:style w:type="character" w:default="1" w:styleId="14">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customStyle="1" w:styleId="3">
    <w:name w:val="00 正文"/>
    <w:basedOn w:val="1"/>
    <w:qFormat/>
    <w:uiPriority w:val="0"/>
    <w:pPr>
      <w:adjustRightInd w:val="0"/>
      <w:textAlignment w:val="baseline"/>
    </w:pPr>
    <w:rPr>
      <w:rFonts w:hAnsi="宋体"/>
      <w:bCs/>
      <w:kern w:val="2"/>
      <w:sz w:val="24"/>
    </w:rPr>
  </w:style>
  <w:style w:type="paragraph" w:styleId="4">
    <w:name w:val="Normal Indent"/>
    <w:basedOn w:val="1"/>
    <w:qFormat/>
    <w:uiPriority w:val="0"/>
    <w:pPr>
      <w:ind w:firstLine="420"/>
    </w:pPr>
    <w:rPr>
      <w:sz w:val="28"/>
    </w:rPr>
  </w:style>
  <w:style w:type="paragraph" w:styleId="5">
    <w:name w:val="annotation text"/>
    <w:basedOn w:val="1"/>
    <w:qFormat/>
    <w:uiPriority w:val="0"/>
    <w:pPr>
      <w:jc w:val="left"/>
    </w:pPr>
  </w:style>
  <w:style w:type="paragraph" w:styleId="6">
    <w:name w:val="Body Text"/>
    <w:basedOn w:val="1"/>
    <w:next w:val="7"/>
    <w:qFormat/>
    <w:uiPriority w:val="0"/>
    <w:rPr>
      <w:rFonts w:eastAsia="方正魏碑简体"/>
      <w:sz w:val="72"/>
    </w:rPr>
  </w:style>
  <w:style w:type="paragraph" w:styleId="7">
    <w:name w:val="toc 5"/>
    <w:basedOn w:val="1"/>
    <w:next w:val="1"/>
    <w:qFormat/>
    <w:uiPriority w:val="39"/>
    <w:pPr>
      <w:ind w:left="840"/>
      <w:jc w:val="left"/>
    </w:pPr>
    <w:rPr>
      <w:sz w:val="18"/>
      <w:szCs w:val="18"/>
    </w:rPr>
  </w:style>
  <w:style w:type="paragraph" w:styleId="8">
    <w:name w:val="Block Text"/>
    <w:basedOn w:val="1"/>
    <w:qFormat/>
    <w:uiPriority w:val="0"/>
    <w:pPr>
      <w:snapToGrid w:val="0"/>
      <w:spacing w:line="480" w:lineRule="atLeast"/>
      <w:ind w:left="-240" w:right="-447" w:firstLine="570"/>
      <w:jc w:val="both"/>
    </w:pPr>
    <w:rPr>
      <w:sz w:val="28"/>
    </w:rPr>
  </w:style>
  <w:style w:type="paragraph" w:styleId="9">
    <w:name w:val="Plain Text"/>
    <w:basedOn w:val="1"/>
    <w:qFormat/>
    <w:uiPriority w:val="0"/>
    <w:pPr>
      <w:adjustRightInd/>
      <w:spacing w:line="240" w:lineRule="auto"/>
      <w:jc w:val="both"/>
      <w:textAlignment w:val="auto"/>
    </w:pPr>
    <w:rPr>
      <w:rFonts w:ascii="宋体" w:hAnsi="Courier New"/>
      <w:kern w:val="2"/>
      <w:sz w:val="21"/>
    </w:rPr>
  </w:style>
  <w:style w:type="paragraph" w:styleId="10">
    <w:name w:val="footer"/>
    <w:basedOn w:val="1"/>
    <w:qFormat/>
    <w:uiPriority w:val="0"/>
    <w:pPr>
      <w:tabs>
        <w:tab w:val="center" w:pos="4153"/>
        <w:tab w:val="right" w:pos="8306"/>
      </w:tabs>
      <w:snapToGrid w:val="0"/>
      <w:spacing w:line="240" w:lineRule="atLeast"/>
    </w:pPr>
    <w:rPr>
      <w:sz w:val="18"/>
      <w:szCs w:val="18"/>
    </w:rPr>
  </w:style>
  <w:style w:type="paragraph" w:styleId="11">
    <w:name w:val="header"/>
    <w:basedOn w:val="1"/>
    <w:qFormat/>
    <w:uiPriority w:val="0"/>
    <w:pPr>
      <w:pBdr>
        <w:bottom w:val="single" w:color="auto" w:sz="6" w:space="1"/>
      </w:pBdr>
      <w:tabs>
        <w:tab w:val="center" w:pos="4153"/>
        <w:tab w:val="right" w:pos="8306"/>
      </w:tabs>
      <w:snapToGrid w:val="0"/>
      <w:spacing w:line="240" w:lineRule="atLeast"/>
      <w:jc w:val="center"/>
    </w:pPr>
    <w:rPr>
      <w:sz w:val="18"/>
      <w:szCs w:val="18"/>
    </w:rPr>
  </w:style>
  <w:style w:type="table" w:styleId="13">
    <w:name w:val="Table Grid"/>
    <w:basedOn w:val="12"/>
    <w:qFormat/>
    <w:uiPriority w:val="0"/>
    <w:pPr>
      <w:widowControl w:val="0"/>
      <w:adjustRightInd w:val="0"/>
      <w:spacing w:line="360" w:lineRule="atLeast"/>
      <w:textAlignment w:val="baseline"/>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page number"/>
    <w:basedOn w:val="14"/>
    <w:qFormat/>
    <w:uiPriority w:val="0"/>
  </w:style>
  <w:style w:type="character" w:styleId="16">
    <w:name w:val="Hyperlink"/>
    <w:qFormat/>
    <w:uiPriority w:val="0"/>
    <w:rPr>
      <w:color w:val="0000FF"/>
      <w:u w:val="single"/>
    </w:rPr>
  </w:style>
  <w:style w:type="character" w:customStyle="1" w:styleId="17">
    <w:name w:val="font01"/>
    <w:basedOn w:val="14"/>
    <w:qFormat/>
    <w:uiPriority w:val="0"/>
    <w:rPr>
      <w:rFonts w:hint="default" w:ascii="Times New Roman" w:hAnsi="Times New Roman" w:cs="Times New Roman"/>
      <w:color w:val="393939"/>
      <w:sz w:val="22"/>
      <w:szCs w:val="22"/>
      <w:u w:val="none"/>
    </w:rPr>
  </w:style>
  <w:style w:type="paragraph" w:customStyle="1" w:styleId="18">
    <w:name w:val=" Char Char Char1 Char Char Char3 Char Char Char Char"/>
    <w:basedOn w:val="1"/>
    <w:qFormat/>
    <w:uiPriority w:val="0"/>
    <w:rPr>
      <w:rFonts w:ascii="Tahoma" w:hAnsi="Tahoma"/>
    </w:rPr>
  </w:style>
  <w:style w:type="paragraph" w:customStyle="1" w:styleId="19">
    <w:name w:val=" Char Char Char1 Char Char Char Char Char Char Char Char Char Char"/>
    <w:basedOn w:val="1"/>
    <w:qFormat/>
    <w:uiPriority w:val="0"/>
    <w:rPr>
      <w:rFonts w:ascii="Tahoma" w:hAnsi="Tahoma"/>
    </w:rPr>
  </w:style>
  <w:style w:type="paragraph" w:customStyle="1" w:styleId="20">
    <w:name w:val="_Style 8"/>
    <w:basedOn w:val="1"/>
    <w:qFormat/>
    <w:uiPriority w:val="0"/>
    <w:rPr>
      <w:rFonts w:ascii="Tahoma" w:hAnsi="Tahoma"/>
    </w:rPr>
  </w:style>
  <w:style w:type="paragraph" w:customStyle="1" w:styleId="21">
    <w:name w:val=" Char"/>
    <w:basedOn w:val="1"/>
    <w:qFormat/>
    <w:uiPriority w:val="0"/>
    <w:rPr>
      <w:rFonts w:ascii="Tahoma" w:hAnsi="Tahom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wisdri</Company>
  <Pages>5</Pages>
  <Words>2195</Words>
  <Characters>2446</Characters>
  <Lines>16</Lines>
  <Paragraphs>4</Paragraphs>
  <TotalTime>6</TotalTime>
  <ScaleCrop>false</ScaleCrop>
  <LinksUpToDate>false</LinksUpToDate>
  <CharactersWithSpaces>2571</CharactersWithSpaces>
  <Application>WPS Office_11.1.0.10000_F1E327BC-269C-435d-A152-05C5408002CA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2014-11-24T01:12:00Z</dcterms:created>
  <dc:creator>1</dc:creator>
  <cp:lastModifiedBy>User</cp:lastModifiedBy>
  <cp:lastPrinted>2010-06-13T03:59:00Z</cp:lastPrinted>
  <dcterms:modified xsi:type="dcterms:W3CDTF">2025-06-06T03:39:18Z</dcterms:modified>
  <dc:title>武钢新3号高炉铜冷却壁招标书</dc:title>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2052-11.1.0.10000</vt:lpwstr>
  </property>
  <property fmtid="{D5CDD505-2E9C-101B-9397-08002B2CF9AE}" pid="3" name="ICV">
    <vt:lpwstr>493B607FA7284ECDB7A2153AF70ECCC3_13</vt:lpwstr>
  </property>
  <property fmtid="{D5CDD505-2E9C-101B-9397-08002B2CF9AE}" pid="4" name="KSOTemplateDocerSaveRecord">
    <vt:lpwstr>eyJoZGlkIjoiYjU2ODkxODBmYTA2M2Y3YjdkOGNmMDE1OTMxZWU3NTAiLCJ1c2VySWQiOiIxNDg5MzA4MTMyIn0=</vt:lpwstr>
  </property>
</Properties>
</file>