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line="360" w:lineRule="auto"/>
        <w:jc w:val="center"/>
        <w:textAlignment w:val="auto"/>
        <w:rPr>
          <w:rFonts w:hint="eastAsia" w:ascii="仿宋" w:hAnsi="仿宋" w:eastAsia="仿宋" w:cs="仿宋"/>
          <w:b/>
          <w:bCs/>
          <w:color w:val="000000"/>
          <w:kern w:val="0"/>
          <w:sz w:val="44"/>
          <w:szCs w:val="44"/>
          <w:lang w:eastAsia="zh-CN" w:bidi="ar"/>
        </w:rPr>
      </w:pPr>
    </w:p>
    <w:p>
      <w:pPr>
        <w:pageBreakBefore w:val="0"/>
        <w:kinsoku/>
        <w:wordWrap/>
        <w:overflowPunct/>
        <w:topLinePunct w:val="0"/>
        <w:autoSpaceDE/>
        <w:autoSpaceDN/>
        <w:bidi w:val="0"/>
        <w:spacing w:line="360" w:lineRule="auto"/>
        <w:jc w:val="center"/>
        <w:textAlignment w:val="auto"/>
        <w:rPr>
          <w:rFonts w:hint="eastAsia" w:ascii="仿宋" w:hAnsi="仿宋" w:eastAsia="仿宋" w:cs="仿宋"/>
          <w:b/>
          <w:bCs/>
          <w:color w:val="000000"/>
          <w:kern w:val="0"/>
          <w:sz w:val="44"/>
          <w:szCs w:val="44"/>
          <w:lang w:eastAsia="zh-CN" w:bidi="ar"/>
        </w:rPr>
      </w:pPr>
    </w:p>
    <w:p>
      <w:pPr>
        <w:pageBreakBefore w:val="0"/>
        <w:kinsoku/>
        <w:wordWrap/>
        <w:overflowPunct/>
        <w:topLinePunct w:val="0"/>
        <w:autoSpaceDE/>
        <w:autoSpaceDN/>
        <w:bidi w:val="0"/>
        <w:spacing w:line="360" w:lineRule="auto"/>
        <w:jc w:val="center"/>
        <w:textAlignment w:val="auto"/>
        <w:rPr>
          <w:rFonts w:hint="eastAsia" w:ascii="仿宋" w:hAnsi="仿宋" w:eastAsia="仿宋" w:cs="仿宋"/>
          <w:b/>
          <w:bCs/>
          <w:color w:val="000000"/>
          <w:kern w:val="0"/>
          <w:sz w:val="44"/>
          <w:szCs w:val="44"/>
          <w:lang w:val="en-US" w:eastAsia="zh-CN" w:bidi="ar"/>
        </w:rPr>
      </w:pPr>
      <w:r>
        <w:rPr>
          <w:rFonts w:hint="eastAsia" w:ascii="仿宋" w:hAnsi="仿宋" w:eastAsia="仿宋" w:cs="仿宋"/>
          <w:b/>
          <w:bCs/>
          <w:color w:val="000000"/>
          <w:kern w:val="0"/>
          <w:sz w:val="44"/>
          <w:szCs w:val="44"/>
          <w:lang w:val="en-US" w:eastAsia="zh-CN" w:bidi="ar"/>
        </w:rPr>
        <w:t>宏联自控公司SVG补偿装置采购</w:t>
      </w:r>
    </w:p>
    <w:p>
      <w:pPr>
        <w:pageBreakBefore w:val="0"/>
        <w:kinsoku/>
        <w:wordWrap/>
        <w:overflowPunct/>
        <w:topLinePunct w:val="0"/>
        <w:autoSpaceDE/>
        <w:autoSpaceDN/>
        <w:bidi w:val="0"/>
        <w:spacing w:line="360" w:lineRule="auto"/>
        <w:jc w:val="center"/>
        <w:textAlignment w:val="auto"/>
        <w:rPr>
          <w:rFonts w:hint="eastAsia" w:ascii="仿宋" w:hAnsi="仿宋" w:eastAsia="仿宋" w:cs="仿宋"/>
          <w:b/>
          <w:bCs/>
          <w:color w:val="000000"/>
          <w:kern w:val="0"/>
          <w:sz w:val="44"/>
          <w:szCs w:val="44"/>
          <w:lang w:bidi="ar"/>
        </w:rPr>
      </w:pPr>
    </w:p>
    <w:p>
      <w:pPr>
        <w:pageBreakBefore w:val="0"/>
        <w:kinsoku/>
        <w:wordWrap/>
        <w:overflowPunct/>
        <w:topLinePunct w:val="0"/>
        <w:autoSpaceDE/>
        <w:autoSpaceDN/>
        <w:bidi w:val="0"/>
        <w:spacing w:line="360" w:lineRule="auto"/>
        <w:jc w:val="center"/>
        <w:textAlignment w:val="auto"/>
        <w:rPr>
          <w:rFonts w:hint="eastAsia" w:ascii="仿宋" w:hAnsi="仿宋" w:eastAsia="仿宋" w:cs="仿宋"/>
          <w:b/>
          <w:bCs/>
          <w:color w:val="000000"/>
          <w:kern w:val="0"/>
          <w:sz w:val="44"/>
          <w:szCs w:val="44"/>
          <w:lang w:bidi="ar"/>
        </w:rPr>
      </w:pPr>
    </w:p>
    <w:p>
      <w:pPr>
        <w:pageBreakBefore w:val="0"/>
        <w:kinsoku/>
        <w:wordWrap/>
        <w:overflowPunct/>
        <w:topLinePunct w:val="0"/>
        <w:autoSpaceDE/>
        <w:autoSpaceDN/>
        <w:bidi w:val="0"/>
        <w:spacing w:line="360" w:lineRule="auto"/>
        <w:jc w:val="center"/>
        <w:textAlignment w:val="auto"/>
        <w:rPr>
          <w:rFonts w:hint="eastAsia" w:ascii="仿宋" w:hAnsi="仿宋" w:eastAsia="仿宋" w:cs="仿宋"/>
          <w:b/>
          <w:bCs/>
          <w:color w:val="000000"/>
          <w:kern w:val="0"/>
          <w:sz w:val="44"/>
          <w:szCs w:val="44"/>
          <w:lang w:bidi="ar"/>
        </w:rPr>
      </w:pPr>
    </w:p>
    <w:p>
      <w:pPr>
        <w:pageBreakBefore w:val="0"/>
        <w:kinsoku/>
        <w:wordWrap/>
        <w:overflowPunct/>
        <w:topLinePunct w:val="0"/>
        <w:autoSpaceDE/>
        <w:autoSpaceDN/>
        <w:bidi w:val="0"/>
        <w:spacing w:line="360" w:lineRule="auto"/>
        <w:jc w:val="center"/>
        <w:textAlignment w:val="auto"/>
        <w:rPr>
          <w:rFonts w:hint="eastAsia" w:ascii="仿宋" w:hAnsi="仿宋" w:eastAsia="仿宋" w:cs="仿宋"/>
          <w:b/>
          <w:bCs/>
          <w:color w:val="000000"/>
          <w:kern w:val="0"/>
          <w:sz w:val="44"/>
          <w:szCs w:val="44"/>
          <w:lang w:bidi="ar"/>
        </w:rPr>
      </w:pPr>
      <w:r>
        <w:rPr>
          <w:rFonts w:hint="eastAsia" w:ascii="仿宋" w:hAnsi="仿宋" w:eastAsia="仿宋" w:cs="仿宋"/>
          <w:b/>
          <w:bCs/>
          <w:color w:val="000000"/>
          <w:kern w:val="0"/>
          <w:sz w:val="44"/>
          <w:szCs w:val="44"/>
          <w:lang w:bidi="ar"/>
        </w:rPr>
        <w:t>技</w:t>
      </w:r>
    </w:p>
    <w:p>
      <w:pPr>
        <w:pageBreakBefore w:val="0"/>
        <w:kinsoku/>
        <w:wordWrap/>
        <w:overflowPunct/>
        <w:topLinePunct w:val="0"/>
        <w:autoSpaceDE/>
        <w:autoSpaceDN/>
        <w:bidi w:val="0"/>
        <w:spacing w:line="360" w:lineRule="auto"/>
        <w:jc w:val="center"/>
        <w:textAlignment w:val="auto"/>
        <w:rPr>
          <w:rFonts w:hint="eastAsia" w:ascii="仿宋" w:hAnsi="仿宋" w:eastAsia="仿宋" w:cs="仿宋"/>
          <w:b/>
          <w:bCs/>
          <w:sz w:val="44"/>
          <w:szCs w:val="44"/>
          <w:lang w:val="en-US" w:eastAsia="zh-CN"/>
        </w:rPr>
      </w:pPr>
      <w:r>
        <w:rPr>
          <w:rFonts w:hint="eastAsia" w:ascii="仿宋" w:hAnsi="仿宋" w:eastAsia="仿宋" w:cs="仿宋"/>
          <w:b/>
          <w:bCs/>
          <w:sz w:val="44"/>
          <w:szCs w:val="44"/>
          <w:lang w:val="en-US" w:eastAsia="zh-CN"/>
        </w:rPr>
        <w:t>术</w:t>
      </w:r>
    </w:p>
    <w:p>
      <w:pPr>
        <w:pageBreakBefore w:val="0"/>
        <w:kinsoku/>
        <w:wordWrap/>
        <w:overflowPunct/>
        <w:topLinePunct w:val="0"/>
        <w:autoSpaceDE/>
        <w:autoSpaceDN/>
        <w:bidi w:val="0"/>
        <w:spacing w:line="360" w:lineRule="auto"/>
        <w:jc w:val="center"/>
        <w:textAlignment w:val="auto"/>
        <w:rPr>
          <w:rFonts w:hint="eastAsia" w:ascii="仿宋" w:hAnsi="仿宋" w:eastAsia="仿宋" w:cs="仿宋"/>
          <w:b/>
          <w:bCs/>
          <w:sz w:val="44"/>
          <w:szCs w:val="44"/>
          <w:lang w:val="en-US" w:eastAsia="zh-CN"/>
        </w:rPr>
      </w:pPr>
      <w:r>
        <w:rPr>
          <w:rFonts w:hint="eastAsia" w:ascii="仿宋" w:hAnsi="仿宋" w:eastAsia="仿宋" w:cs="仿宋"/>
          <w:b/>
          <w:bCs/>
          <w:sz w:val="44"/>
          <w:szCs w:val="44"/>
          <w:lang w:val="en-US" w:eastAsia="zh-CN"/>
        </w:rPr>
        <w:t>规</w:t>
      </w:r>
      <w:bookmarkStart w:id="45" w:name="_GoBack"/>
      <w:bookmarkEnd w:id="45"/>
    </w:p>
    <w:p>
      <w:pPr>
        <w:pageBreakBefore w:val="0"/>
        <w:kinsoku/>
        <w:wordWrap/>
        <w:overflowPunct/>
        <w:topLinePunct w:val="0"/>
        <w:autoSpaceDE/>
        <w:autoSpaceDN/>
        <w:bidi w:val="0"/>
        <w:spacing w:line="360" w:lineRule="auto"/>
        <w:jc w:val="center"/>
        <w:textAlignment w:val="auto"/>
        <w:rPr>
          <w:rFonts w:hint="eastAsia" w:ascii="仿宋" w:hAnsi="仿宋" w:eastAsia="仿宋" w:cs="仿宋"/>
          <w:b/>
          <w:bCs/>
          <w:sz w:val="44"/>
          <w:szCs w:val="44"/>
          <w:lang w:val="en-US" w:eastAsia="zh-CN"/>
        </w:rPr>
      </w:pPr>
      <w:r>
        <w:rPr>
          <w:rFonts w:hint="eastAsia" w:ascii="仿宋" w:hAnsi="仿宋" w:eastAsia="仿宋" w:cs="仿宋"/>
          <w:b/>
          <w:bCs/>
          <w:sz w:val="44"/>
          <w:szCs w:val="44"/>
          <w:lang w:val="en-US" w:eastAsia="zh-CN"/>
        </w:rPr>
        <w:t>格</w:t>
      </w:r>
    </w:p>
    <w:p>
      <w:pPr>
        <w:pageBreakBefore w:val="0"/>
        <w:kinsoku/>
        <w:wordWrap/>
        <w:overflowPunct/>
        <w:topLinePunct w:val="0"/>
        <w:autoSpaceDE/>
        <w:autoSpaceDN/>
        <w:bidi w:val="0"/>
        <w:spacing w:line="360" w:lineRule="auto"/>
        <w:jc w:val="center"/>
        <w:textAlignment w:val="auto"/>
        <w:rPr>
          <w:rFonts w:hint="eastAsia" w:ascii="仿宋" w:hAnsi="仿宋" w:eastAsia="仿宋" w:cs="仿宋"/>
          <w:b/>
          <w:bCs/>
          <w:sz w:val="44"/>
          <w:szCs w:val="44"/>
          <w:lang w:val="en-US" w:eastAsia="zh-CN"/>
        </w:rPr>
      </w:pPr>
      <w:r>
        <w:rPr>
          <w:rFonts w:hint="eastAsia" w:ascii="仿宋" w:hAnsi="仿宋" w:eastAsia="仿宋" w:cs="仿宋"/>
          <w:b/>
          <w:bCs/>
          <w:sz w:val="44"/>
          <w:szCs w:val="44"/>
          <w:lang w:val="en-US" w:eastAsia="zh-CN"/>
        </w:rPr>
        <w:t>书</w:t>
      </w:r>
    </w:p>
    <w:p>
      <w:pPr>
        <w:pageBreakBefore w:val="0"/>
        <w:tabs>
          <w:tab w:val="left" w:pos="525"/>
          <w:tab w:val="left" w:pos="987"/>
        </w:tabs>
        <w:kinsoku/>
        <w:wordWrap/>
        <w:overflowPunct/>
        <w:topLinePunct w:val="0"/>
        <w:autoSpaceDE/>
        <w:autoSpaceDN/>
        <w:bidi w:val="0"/>
        <w:spacing w:line="360" w:lineRule="auto"/>
        <w:ind w:firstLine="883" w:firstLineChars="200"/>
        <w:textAlignment w:val="auto"/>
        <w:rPr>
          <w:rFonts w:hint="eastAsia" w:ascii="仿宋" w:hAnsi="仿宋" w:eastAsia="仿宋" w:cs="仿宋"/>
          <w:b/>
          <w:bCs/>
          <w:snapToGrid w:val="0"/>
          <w:kern w:val="28"/>
          <w:sz w:val="44"/>
          <w:szCs w:val="44"/>
        </w:rPr>
      </w:pPr>
    </w:p>
    <w:p>
      <w:pPr>
        <w:pageBreakBefore w:val="0"/>
        <w:tabs>
          <w:tab w:val="left" w:pos="525"/>
          <w:tab w:val="left" w:pos="987"/>
        </w:tabs>
        <w:kinsoku/>
        <w:wordWrap/>
        <w:overflowPunct/>
        <w:topLinePunct w:val="0"/>
        <w:autoSpaceDE/>
        <w:autoSpaceDN/>
        <w:bidi w:val="0"/>
        <w:spacing w:line="360" w:lineRule="auto"/>
        <w:ind w:firstLine="883" w:firstLineChars="200"/>
        <w:textAlignment w:val="auto"/>
        <w:rPr>
          <w:rFonts w:hint="eastAsia" w:ascii="仿宋_GB2312" w:hAnsi="仿宋_GB2312" w:eastAsia="仿宋_GB2312"/>
          <w:b/>
          <w:bCs/>
          <w:snapToGrid w:val="0"/>
          <w:kern w:val="28"/>
          <w:sz w:val="44"/>
          <w:szCs w:val="44"/>
        </w:rPr>
      </w:pPr>
    </w:p>
    <w:p>
      <w:pPr>
        <w:pStyle w:val="12"/>
        <w:pageBreakBefore w:val="0"/>
        <w:tabs>
          <w:tab w:val="left" w:pos="525"/>
          <w:tab w:val="left" w:pos="987"/>
          <w:tab w:val="left" w:pos="1995"/>
        </w:tabs>
        <w:kinsoku/>
        <w:wordWrap/>
        <w:overflowPunct/>
        <w:topLinePunct w:val="0"/>
        <w:autoSpaceDE/>
        <w:autoSpaceDN/>
        <w:bidi w:val="0"/>
        <w:spacing w:line="360" w:lineRule="auto"/>
        <w:ind w:firstLine="210"/>
        <w:textAlignment w:val="auto"/>
        <w:rPr>
          <w:rFonts w:hint="eastAsia"/>
        </w:rPr>
      </w:pPr>
    </w:p>
    <w:p>
      <w:pPr>
        <w:pStyle w:val="12"/>
        <w:pageBreakBefore w:val="0"/>
        <w:tabs>
          <w:tab w:val="left" w:pos="525"/>
          <w:tab w:val="left" w:pos="987"/>
          <w:tab w:val="left" w:pos="1995"/>
        </w:tabs>
        <w:kinsoku/>
        <w:wordWrap/>
        <w:overflowPunct/>
        <w:topLinePunct w:val="0"/>
        <w:autoSpaceDE/>
        <w:autoSpaceDN/>
        <w:bidi w:val="0"/>
        <w:spacing w:line="360" w:lineRule="auto"/>
        <w:ind w:firstLine="440"/>
        <w:textAlignment w:val="auto"/>
        <w:rPr>
          <w:rFonts w:hint="eastAsia" w:ascii="仿宋_GB2312" w:hAnsi="仿宋_GB2312" w:eastAsia="仿宋_GB2312"/>
          <w:snapToGrid w:val="0"/>
          <w:kern w:val="28"/>
          <w:sz w:val="44"/>
          <w:szCs w:val="44"/>
        </w:rPr>
      </w:pPr>
    </w:p>
    <w:p>
      <w:pPr>
        <w:pStyle w:val="12"/>
        <w:pageBreakBefore w:val="0"/>
        <w:tabs>
          <w:tab w:val="left" w:pos="525"/>
          <w:tab w:val="left" w:pos="987"/>
          <w:tab w:val="left" w:pos="1995"/>
        </w:tabs>
        <w:kinsoku/>
        <w:wordWrap/>
        <w:overflowPunct/>
        <w:topLinePunct w:val="0"/>
        <w:autoSpaceDE/>
        <w:autoSpaceDN/>
        <w:bidi w:val="0"/>
        <w:spacing w:line="360" w:lineRule="auto"/>
        <w:ind w:firstLine="440"/>
        <w:textAlignment w:val="auto"/>
        <w:rPr>
          <w:rFonts w:hint="eastAsia" w:ascii="仿宋_GB2312" w:hAnsi="仿宋_GB2312" w:eastAsia="仿宋_GB2312"/>
          <w:snapToGrid w:val="0"/>
          <w:kern w:val="28"/>
          <w:sz w:val="44"/>
          <w:szCs w:val="44"/>
        </w:rPr>
      </w:pPr>
    </w:p>
    <w:p>
      <w:pPr>
        <w:pageBreakBefore w:val="0"/>
        <w:kinsoku/>
        <w:wordWrap/>
        <w:overflowPunct/>
        <w:topLinePunct w:val="0"/>
        <w:autoSpaceDE/>
        <w:autoSpaceDN/>
        <w:bidi w:val="0"/>
        <w:spacing w:line="360" w:lineRule="auto"/>
        <w:textAlignment w:val="auto"/>
        <w:rPr>
          <w:rFonts w:hint="eastAsia" w:ascii="仿宋" w:hAnsi="仿宋" w:eastAsia="仿宋" w:cs="仿宋"/>
          <w:snapToGrid w:val="0"/>
          <w:kern w:val="28"/>
          <w:sz w:val="32"/>
          <w:szCs w:val="32"/>
        </w:rPr>
      </w:pPr>
    </w:p>
    <w:p>
      <w:pPr>
        <w:pageBreakBefore w:val="0"/>
        <w:kinsoku/>
        <w:wordWrap/>
        <w:overflowPunct/>
        <w:topLinePunct w:val="0"/>
        <w:autoSpaceDE/>
        <w:autoSpaceDN/>
        <w:bidi w:val="0"/>
        <w:spacing w:line="360" w:lineRule="auto"/>
        <w:jc w:val="left"/>
        <w:textAlignment w:val="auto"/>
        <w:rPr>
          <w:rFonts w:hint="eastAsia" w:ascii="仿宋" w:hAnsi="仿宋" w:eastAsia="仿宋" w:cs="仿宋"/>
          <w:snapToGrid w:val="0"/>
          <w:kern w:val="28"/>
          <w:sz w:val="32"/>
          <w:szCs w:val="32"/>
        </w:rPr>
      </w:pPr>
      <w:r>
        <w:rPr>
          <w:rFonts w:hint="eastAsia" w:ascii="仿宋" w:hAnsi="仿宋" w:eastAsia="仿宋" w:cs="仿宋"/>
          <w:snapToGrid w:val="0"/>
          <w:kern w:val="28"/>
          <w:sz w:val="32"/>
          <w:szCs w:val="32"/>
          <w:lang w:eastAsia="zh-CN"/>
        </w:rPr>
        <w:t>需方</w:t>
      </w:r>
      <w:r>
        <w:rPr>
          <w:rFonts w:hint="eastAsia" w:ascii="仿宋" w:hAnsi="仿宋" w:eastAsia="仿宋" w:cs="仿宋"/>
          <w:snapToGrid w:val="0"/>
          <w:kern w:val="28"/>
          <w:sz w:val="32"/>
          <w:szCs w:val="32"/>
        </w:rPr>
        <w:t>：酒钢（集团）宏联自控有限责任公司</w:t>
      </w:r>
    </w:p>
    <w:p>
      <w:pPr>
        <w:pageBreakBefore w:val="0"/>
        <w:kinsoku/>
        <w:wordWrap/>
        <w:overflowPunct/>
        <w:topLinePunct w:val="0"/>
        <w:autoSpaceDE/>
        <w:autoSpaceDN/>
        <w:bidi w:val="0"/>
        <w:spacing w:line="360" w:lineRule="auto"/>
        <w:jc w:val="left"/>
        <w:textAlignment w:val="auto"/>
        <w:rPr>
          <w:rFonts w:hint="eastAsia" w:ascii="仿宋" w:hAnsi="仿宋" w:eastAsia="仿宋" w:cs="仿宋"/>
          <w:snapToGrid w:val="0"/>
          <w:kern w:val="28"/>
          <w:sz w:val="32"/>
          <w:szCs w:val="32"/>
        </w:rPr>
      </w:pPr>
    </w:p>
    <w:p>
      <w:pPr>
        <w:pageBreakBefore w:val="0"/>
        <w:kinsoku/>
        <w:wordWrap/>
        <w:overflowPunct/>
        <w:topLinePunct w:val="0"/>
        <w:autoSpaceDE/>
        <w:autoSpaceDN/>
        <w:bidi w:val="0"/>
        <w:spacing w:line="360" w:lineRule="auto"/>
        <w:jc w:val="left"/>
        <w:textAlignment w:val="auto"/>
        <w:rPr>
          <w:rFonts w:hint="eastAsia" w:ascii="仿宋" w:hAnsi="仿宋" w:eastAsia="仿宋" w:cs="仿宋"/>
          <w:snapToGrid w:val="0"/>
          <w:kern w:val="28"/>
          <w:sz w:val="32"/>
          <w:szCs w:val="32"/>
        </w:rPr>
      </w:pPr>
      <w:r>
        <w:rPr>
          <w:rFonts w:hint="eastAsia" w:ascii="仿宋" w:hAnsi="仿宋" w:eastAsia="仿宋" w:cs="仿宋"/>
          <w:snapToGrid w:val="0"/>
          <w:kern w:val="28"/>
          <w:sz w:val="32"/>
          <w:szCs w:val="32"/>
          <w:lang w:eastAsia="zh-CN"/>
        </w:rPr>
        <w:t>供方</w:t>
      </w:r>
      <w:r>
        <w:rPr>
          <w:rFonts w:hint="eastAsia" w:ascii="仿宋" w:hAnsi="仿宋" w:eastAsia="仿宋" w:cs="仿宋"/>
          <w:snapToGrid w:val="0"/>
          <w:kern w:val="28"/>
          <w:sz w:val="32"/>
          <w:szCs w:val="32"/>
        </w:rPr>
        <w:t xml:space="preserve">： </w:t>
      </w:r>
    </w:p>
    <w:p>
      <w:pPr>
        <w:jc w:val="center"/>
        <w:rPr>
          <w:rFonts w:hint="eastAsia" w:ascii="仿宋" w:hAnsi="仿宋" w:eastAsia="仿宋" w:cs="仿宋"/>
          <w:b/>
          <w:sz w:val="44"/>
        </w:rPr>
      </w:pPr>
    </w:p>
    <w:p>
      <w:pPr>
        <w:jc w:val="center"/>
        <w:rPr>
          <w:rFonts w:hint="eastAsia" w:ascii="仿宋" w:hAnsi="仿宋" w:eastAsia="仿宋" w:cs="仿宋"/>
          <w:sz w:val="28"/>
          <w:lang w:val="en-US"/>
        </w:rPr>
        <w:sectPr>
          <w:footerReference r:id="rId6" w:type="first"/>
          <w:footerReference r:id="rId4" w:type="default"/>
          <w:headerReference r:id="rId3" w:type="even"/>
          <w:footerReference r:id="rId5" w:type="even"/>
          <w:pgSz w:w="11906" w:h="16838"/>
          <w:pgMar w:top="1440" w:right="1800" w:bottom="1440" w:left="1800" w:header="851" w:footer="992"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仿宋" w:hAnsi="仿宋" w:eastAsia="仿宋" w:cs="仿宋"/>
          <w:sz w:val="28"/>
        </w:rPr>
        <w:t>202</w:t>
      </w:r>
      <w:r>
        <w:rPr>
          <w:rFonts w:hint="eastAsia" w:ascii="仿宋" w:hAnsi="仿宋" w:eastAsia="仿宋" w:cs="仿宋"/>
          <w:sz w:val="28"/>
          <w:lang w:val="en-US" w:eastAsia="zh-CN"/>
        </w:rPr>
        <w:t>4</w:t>
      </w:r>
      <w:r>
        <w:rPr>
          <w:rFonts w:hint="eastAsia" w:ascii="仿宋" w:hAnsi="仿宋" w:eastAsia="仿宋" w:cs="仿宋"/>
          <w:sz w:val="28"/>
        </w:rPr>
        <w:t>年</w:t>
      </w:r>
      <w:r>
        <w:rPr>
          <w:rFonts w:hint="eastAsia" w:ascii="仿宋" w:hAnsi="仿宋" w:eastAsia="仿宋" w:cs="仿宋"/>
          <w:sz w:val="28"/>
          <w:lang w:val="en-US" w:eastAsia="zh-CN"/>
        </w:rPr>
        <w:t>1</w:t>
      </w:r>
      <w:r>
        <w:rPr>
          <w:rFonts w:hint="eastAsia" w:ascii="仿宋" w:hAnsi="仿宋" w:eastAsia="仿宋" w:cs="仿宋"/>
          <w:sz w:val="28"/>
        </w:rPr>
        <w:t>月</w:t>
      </w:r>
    </w:p>
    <w:p>
      <w:pPr>
        <w:pageBreakBefore w:val="0"/>
        <w:widowControl w:val="0"/>
        <w:kinsoku/>
        <w:wordWrap/>
        <w:overflowPunct/>
        <w:topLinePunct w:val="0"/>
        <w:autoSpaceDE/>
        <w:autoSpaceDN/>
        <w:bidi w:val="0"/>
        <w:adjustRightInd/>
        <w:spacing w:line="500" w:lineRule="exact"/>
        <w:jc w:val="left"/>
        <w:textAlignment w:val="auto"/>
        <w:outlineLvl w:val="0"/>
        <w:rPr>
          <w:rFonts w:hint="eastAsia" w:ascii="仿宋" w:hAnsi="仿宋" w:eastAsia="仿宋" w:cs="仿宋"/>
          <w:b/>
          <w:bCs/>
          <w:color w:val="auto"/>
          <w:sz w:val="28"/>
          <w:szCs w:val="28"/>
          <w:highlight w:val="none"/>
          <w:lang w:val="en-US" w:eastAsia="zh-CN"/>
        </w:rPr>
      </w:pPr>
      <w:bookmarkStart w:id="0" w:name="_Toc12206"/>
      <w:bookmarkStart w:id="1" w:name="_Toc15295"/>
      <w:bookmarkStart w:id="2" w:name="_Toc2310"/>
      <w:r>
        <w:rPr>
          <w:rFonts w:hint="eastAsia" w:ascii="仿宋" w:hAnsi="仿宋" w:eastAsia="仿宋" w:cs="仿宋"/>
          <w:b/>
          <w:bCs/>
          <w:color w:val="auto"/>
          <w:sz w:val="28"/>
          <w:szCs w:val="28"/>
          <w:highlight w:val="none"/>
          <w:lang w:val="en-US" w:eastAsia="zh-CN"/>
        </w:rPr>
        <w:t>1 总则</w:t>
      </w:r>
      <w:bookmarkEnd w:id="0"/>
      <w:bookmarkEnd w:id="1"/>
    </w:p>
    <w:p>
      <w:pPr>
        <w:pageBreakBefore w:val="0"/>
        <w:widowControl w:val="0"/>
        <w:kinsoku/>
        <w:wordWrap/>
        <w:overflowPunct/>
        <w:topLinePunct w:val="0"/>
        <w:autoSpaceDE/>
        <w:autoSpaceDN/>
        <w:bidi w:val="0"/>
        <w:adjustRightInd/>
        <w:spacing w:line="500" w:lineRule="exact"/>
        <w:jc w:val="left"/>
        <w:textAlignment w:val="auto"/>
        <w:outlineLvl w:val="1"/>
        <w:rPr>
          <w:rFonts w:hint="eastAsia" w:ascii="仿宋" w:hAnsi="仿宋" w:eastAsia="仿宋" w:cs="仿宋"/>
          <w:b w:val="0"/>
          <w:bCs w:val="0"/>
          <w:color w:val="auto"/>
          <w:sz w:val="24"/>
          <w:szCs w:val="24"/>
          <w:highlight w:val="none"/>
          <w:lang w:val="en-US" w:eastAsia="zh-CN"/>
        </w:rPr>
      </w:pPr>
      <w:bookmarkStart w:id="3" w:name="_Toc2282"/>
      <w:bookmarkStart w:id="4" w:name="_Toc32397"/>
      <w:r>
        <w:rPr>
          <w:rFonts w:hint="eastAsia" w:ascii="仿宋" w:hAnsi="仿宋" w:eastAsia="仿宋" w:cs="仿宋"/>
          <w:b w:val="0"/>
          <w:bCs w:val="0"/>
          <w:color w:val="auto"/>
          <w:sz w:val="24"/>
          <w:szCs w:val="24"/>
          <w:highlight w:val="none"/>
          <w:lang w:val="en-US" w:eastAsia="zh-CN"/>
        </w:rPr>
        <w:t>1.1适用范围</w:t>
      </w:r>
      <w:bookmarkEnd w:id="3"/>
      <w:bookmarkEnd w:id="4"/>
    </w:p>
    <w:p>
      <w:pPr>
        <w:pageBreakBefore w:val="0"/>
        <w:widowControl w:val="0"/>
        <w:kinsoku/>
        <w:wordWrap/>
        <w:overflowPunct/>
        <w:topLinePunct w:val="0"/>
        <w:autoSpaceDE/>
        <w:autoSpaceDN/>
        <w:bidi w:val="0"/>
        <w:adjustRightInd/>
        <w:spacing w:line="50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技术规格书适用于宏联自控公司SVG补偿装置采购的设计、制造、结构、性能、调试、检验、供货、安装等方面的技术要求。本技术规格书作为设备订货合同技术附件，与合同同时生效，具有同等法律效力。在合同执行期间由</w:t>
      </w:r>
      <w:r>
        <w:rPr>
          <w:rFonts w:hint="eastAsia" w:ascii="仿宋" w:hAnsi="仿宋" w:eastAsia="仿宋" w:cs="仿宋"/>
          <w:color w:val="auto"/>
          <w:sz w:val="24"/>
          <w:szCs w:val="24"/>
          <w:highlight w:val="none"/>
        </w:rPr>
        <w:t>双方协商形成的其他补充</w:t>
      </w:r>
      <w:r>
        <w:rPr>
          <w:rFonts w:hint="eastAsia" w:ascii="仿宋" w:hAnsi="仿宋" w:eastAsia="仿宋" w:cs="仿宋"/>
          <w:color w:val="auto"/>
          <w:sz w:val="24"/>
          <w:szCs w:val="24"/>
          <w:highlight w:val="none"/>
          <w:lang w:eastAsia="zh-CN"/>
        </w:rPr>
        <w:t>技术规格书</w:t>
      </w:r>
      <w:r>
        <w:rPr>
          <w:rFonts w:hint="eastAsia" w:ascii="仿宋" w:hAnsi="仿宋" w:eastAsia="仿宋" w:cs="仿宋"/>
          <w:color w:val="auto"/>
          <w:sz w:val="24"/>
          <w:szCs w:val="24"/>
          <w:highlight w:val="none"/>
        </w:rPr>
        <w:t>和追加条款也具有同等法律效力。</w:t>
      </w:r>
    </w:p>
    <w:p>
      <w:pPr>
        <w:pageBreakBefore w:val="0"/>
        <w:widowControl w:val="0"/>
        <w:kinsoku/>
        <w:wordWrap/>
        <w:overflowPunct/>
        <w:topLinePunct w:val="0"/>
        <w:autoSpaceDE/>
        <w:autoSpaceDN/>
        <w:bidi w:val="0"/>
        <w:adjustRightInd/>
        <w:spacing w:line="500" w:lineRule="exact"/>
        <w:jc w:val="left"/>
        <w:textAlignment w:val="auto"/>
        <w:outlineLvl w:val="1"/>
        <w:rPr>
          <w:rFonts w:hint="eastAsia" w:ascii="仿宋" w:hAnsi="仿宋" w:eastAsia="仿宋" w:cs="仿宋"/>
          <w:b w:val="0"/>
          <w:bCs w:val="0"/>
          <w:color w:val="auto"/>
          <w:sz w:val="24"/>
          <w:szCs w:val="24"/>
          <w:highlight w:val="none"/>
        </w:rPr>
      </w:pPr>
      <w:bookmarkStart w:id="5" w:name="_Toc7785"/>
      <w:bookmarkStart w:id="6" w:name="_Toc7278"/>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rPr>
        <w:t>通则</w:t>
      </w:r>
      <w:bookmarkEnd w:id="5"/>
      <w:bookmarkEnd w:id="6"/>
    </w:p>
    <w:p>
      <w:pPr>
        <w:pageBreakBefore w:val="0"/>
        <w:kinsoku/>
        <w:wordWrap/>
        <w:overflowPunct/>
        <w:topLinePunct w:val="0"/>
        <w:bidi w:val="0"/>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.1本</w:t>
      </w:r>
      <w:r>
        <w:rPr>
          <w:rFonts w:hint="eastAsia" w:ascii="仿宋" w:hAnsi="仿宋" w:eastAsia="仿宋" w:cs="仿宋"/>
          <w:color w:val="auto"/>
          <w:sz w:val="24"/>
          <w:szCs w:val="24"/>
          <w:highlight w:val="none"/>
          <w:lang w:eastAsia="zh-CN"/>
        </w:rPr>
        <w:t>技术规格</w:t>
      </w:r>
      <w:r>
        <w:rPr>
          <w:rFonts w:hint="eastAsia" w:ascii="仿宋" w:hAnsi="仿宋" w:eastAsia="仿宋" w:cs="仿宋"/>
          <w:color w:val="auto"/>
          <w:sz w:val="24"/>
          <w:szCs w:val="24"/>
          <w:highlight w:val="none"/>
        </w:rPr>
        <w:t>书提出的是最低限度的技术要求，并未对一切技术细节作出规定，也未充分引述有关标准和</w:t>
      </w:r>
      <w:r>
        <w:rPr>
          <w:rFonts w:hint="eastAsia" w:ascii="仿宋" w:hAnsi="仿宋" w:eastAsia="仿宋" w:cs="仿宋"/>
          <w:color w:val="auto"/>
          <w:sz w:val="24"/>
          <w:szCs w:val="24"/>
          <w:highlight w:val="none"/>
          <w:lang w:eastAsia="zh-CN"/>
        </w:rPr>
        <w:t>技术规格书</w:t>
      </w:r>
      <w:r>
        <w:rPr>
          <w:rFonts w:hint="eastAsia" w:ascii="仿宋" w:hAnsi="仿宋" w:eastAsia="仿宋" w:cs="仿宋"/>
          <w:color w:val="auto"/>
          <w:sz w:val="24"/>
          <w:szCs w:val="24"/>
          <w:highlight w:val="none"/>
        </w:rPr>
        <w:t>的条文，</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应提供符合本</w:t>
      </w:r>
      <w:r>
        <w:rPr>
          <w:rFonts w:hint="eastAsia" w:ascii="仿宋" w:hAnsi="仿宋" w:eastAsia="仿宋" w:cs="仿宋"/>
          <w:color w:val="auto"/>
          <w:sz w:val="24"/>
          <w:szCs w:val="24"/>
          <w:highlight w:val="none"/>
          <w:lang w:eastAsia="zh-CN"/>
        </w:rPr>
        <w:t>技术规格</w:t>
      </w:r>
      <w:r>
        <w:rPr>
          <w:rFonts w:hint="eastAsia" w:ascii="仿宋" w:hAnsi="仿宋" w:eastAsia="仿宋" w:cs="仿宋"/>
          <w:color w:val="auto"/>
          <w:sz w:val="24"/>
          <w:szCs w:val="24"/>
          <w:highlight w:val="none"/>
        </w:rPr>
        <w:t>书和有关工业标准的优质产品，并保证提供设备系统的完整性。</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应仔细阅读</w:t>
      </w:r>
      <w:r>
        <w:rPr>
          <w:rFonts w:hint="eastAsia" w:ascii="仿宋" w:hAnsi="仿宋" w:eastAsia="仿宋" w:cs="仿宋"/>
          <w:color w:val="auto"/>
          <w:sz w:val="24"/>
          <w:szCs w:val="24"/>
          <w:highlight w:val="none"/>
          <w:lang w:eastAsia="zh-CN"/>
        </w:rPr>
        <w:t>需方</w:t>
      </w:r>
      <w:r>
        <w:rPr>
          <w:rFonts w:hint="eastAsia" w:ascii="仿宋" w:hAnsi="仿宋" w:eastAsia="仿宋" w:cs="仿宋"/>
          <w:color w:val="auto"/>
          <w:sz w:val="24"/>
          <w:szCs w:val="24"/>
          <w:highlight w:val="none"/>
        </w:rPr>
        <w:t>提出的所有条款与说明，包括各项技术规</w:t>
      </w:r>
      <w:r>
        <w:rPr>
          <w:rFonts w:hint="eastAsia" w:ascii="仿宋" w:hAnsi="仿宋" w:eastAsia="仿宋" w:cs="仿宋"/>
          <w:color w:val="auto"/>
          <w:sz w:val="24"/>
          <w:szCs w:val="24"/>
          <w:highlight w:val="none"/>
          <w:lang w:eastAsia="zh-CN"/>
        </w:rPr>
        <w:t>范</w:t>
      </w:r>
      <w:r>
        <w:rPr>
          <w:rFonts w:hint="eastAsia" w:ascii="仿宋" w:hAnsi="仿宋" w:eastAsia="仿宋" w:cs="仿宋"/>
          <w:color w:val="auto"/>
          <w:sz w:val="24"/>
          <w:szCs w:val="24"/>
          <w:highlight w:val="none"/>
        </w:rPr>
        <w:t>，理解且与</w:t>
      </w:r>
      <w:r>
        <w:rPr>
          <w:rFonts w:hint="eastAsia" w:ascii="仿宋" w:hAnsi="仿宋" w:eastAsia="仿宋" w:cs="仿宋"/>
          <w:color w:val="auto"/>
          <w:sz w:val="24"/>
          <w:szCs w:val="24"/>
          <w:highlight w:val="none"/>
          <w:lang w:eastAsia="zh-CN"/>
        </w:rPr>
        <w:t>需方</w:t>
      </w:r>
      <w:r>
        <w:rPr>
          <w:rFonts w:hint="eastAsia" w:ascii="仿宋" w:hAnsi="仿宋" w:eastAsia="仿宋" w:cs="仿宋"/>
          <w:color w:val="auto"/>
          <w:sz w:val="24"/>
          <w:szCs w:val="24"/>
          <w:highlight w:val="none"/>
        </w:rPr>
        <w:t>一致，并全部做出承诺性响应。其产品严格按照</w:t>
      </w:r>
      <w:r>
        <w:rPr>
          <w:rFonts w:hint="eastAsia" w:ascii="仿宋" w:hAnsi="仿宋" w:eastAsia="仿宋" w:cs="仿宋"/>
          <w:color w:val="auto"/>
          <w:sz w:val="24"/>
          <w:szCs w:val="24"/>
          <w:highlight w:val="none"/>
          <w:lang w:eastAsia="zh-CN"/>
        </w:rPr>
        <w:t>需方</w:t>
      </w:r>
      <w:r>
        <w:rPr>
          <w:rFonts w:hint="eastAsia" w:ascii="仿宋" w:hAnsi="仿宋" w:eastAsia="仿宋" w:cs="仿宋"/>
          <w:color w:val="auto"/>
          <w:sz w:val="24"/>
          <w:szCs w:val="24"/>
          <w:highlight w:val="none"/>
        </w:rPr>
        <w:t>和设计单位提供的技术参数进行设计、制造、供货、安装及调试并保证符合</w:t>
      </w:r>
      <w:r>
        <w:rPr>
          <w:rFonts w:hint="eastAsia" w:ascii="仿宋" w:hAnsi="仿宋" w:eastAsia="仿宋" w:cs="仿宋"/>
          <w:color w:val="auto"/>
          <w:sz w:val="24"/>
          <w:szCs w:val="24"/>
          <w:highlight w:val="none"/>
          <w:lang w:eastAsia="zh-CN"/>
        </w:rPr>
        <w:t>需方</w:t>
      </w:r>
      <w:r>
        <w:rPr>
          <w:rFonts w:hint="eastAsia" w:ascii="仿宋" w:hAnsi="仿宋" w:eastAsia="仿宋" w:cs="仿宋"/>
          <w:color w:val="auto"/>
          <w:sz w:val="24"/>
          <w:szCs w:val="24"/>
          <w:highlight w:val="none"/>
        </w:rPr>
        <w:t>和设计单位所提供的技术资料以及我国现行的相关标准和产业政策的要求。而这些标准和技术规范应为设备制造时为止最新公布发行的标准和技术规范。</w:t>
      </w:r>
    </w:p>
    <w:p>
      <w:pPr>
        <w:pageBreakBefore w:val="0"/>
        <w:kinsoku/>
        <w:wordWrap/>
        <w:overflowPunct/>
        <w:topLinePunct w:val="0"/>
        <w:bidi w:val="0"/>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.2如果</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没有以书面形式对本</w:t>
      </w:r>
      <w:r>
        <w:rPr>
          <w:rFonts w:hint="eastAsia" w:ascii="仿宋" w:hAnsi="仿宋" w:eastAsia="仿宋" w:cs="仿宋"/>
          <w:color w:val="auto"/>
          <w:sz w:val="24"/>
          <w:szCs w:val="24"/>
          <w:highlight w:val="none"/>
          <w:lang w:eastAsia="zh-CN"/>
        </w:rPr>
        <w:t>技术规格</w:t>
      </w:r>
      <w:r>
        <w:rPr>
          <w:rFonts w:hint="eastAsia" w:ascii="仿宋" w:hAnsi="仿宋" w:eastAsia="仿宋" w:cs="仿宋"/>
          <w:color w:val="auto"/>
          <w:sz w:val="24"/>
          <w:szCs w:val="24"/>
          <w:highlight w:val="none"/>
        </w:rPr>
        <w:t>书的条文提出异议，则意味着</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提供的设备完全符合本</w:t>
      </w:r>
      <w:r>
        <w:rPr>
          <w:rFonts w:hint="eastAsia" w:ascii="仿宋" w:hAnsi="仿宋" w:eastAsia="仿宋" w:cs="仿宋"/>
          <w:color w:val="auto"/>
          <w:sz w:val="24"/>
          <w:szCs w:val="24"/>
          <w:highlight w:val="none"/>
          <w:lang w:eastAsia="zh-CN"/>
        </w:rPr>
        <w:t>技术规格</w:t>
      </w:r>
      <w:r>
        <w:rPr>
          <w:rFonts w:hint="eastAsia" w:ascii="仿宋" w:hAnsi="仿宋" w:eastAsia="仿宋" w:cs="仿宋"/>
          <w:color w:val="auto"/>
          <w:sz w:val="24"/>
          <w:szCs w:val="24"/>
          <w:highlight w:val="none"/>
        </w:rPr>
        <w:t>书的要求。如有异议，不管多么微小，都应以“对</w:t>
      </w:r>
      <w:r>
        <w:rPr>
          <w:rFonts w:hint="eastAsia" w:ascii="仿宋" w:hAnsi="仿宋" w:eastAsia="仿宋" w:cs="仿宋"/>
          <w:color w:val="auto"/>
          <w:sz w:val="24"/>
          <w:szCs w:val="24"/>
          <w:highlight w:val="none"/>
          <w:lang w:eastAsia="zh-CN"/>
        </w:rPr>
        <w:t>技术规格</w:t>
      </w:r>
      <w:r>
        <w:rPr>
          <w:rFonts w:hint="eastAsia" w:ascii="仿宋" w:hAnsi="仿宋" w:eastAsia="仿宋" w:cs="仿宋"/>
          <w:color w:val="auto"/>
          <w:sz w:val="24"/>
          <w:szCs w:val="24"/>
          <w:highlight w:val="none"/>
        </w:rPr>
        <w:t>书的意见”为标题向</w:t>
      </w:r>
      <w:r>
        <w:rPr>
          <w:rFonts w:hint="eastAsia" w:ascii="仿宋" w:hAnsi="仿宋" w:eastAsia="仿宋" w:cs="仿宋"/>
          <w:color w:val="auto"/>
          <w:sz w:val="24"/>
          <w:szCs w:val="24"/>
          <w:highlight w:val="none"/>
          <w:lang w:eastAsia="zh-CN"/>
        </w:rPr>
        <w:t>需方</w:t>
      </w:r>
      <w:r>
        <w:rPr>
          <w:rFonts w:hint="eastAsia" w:ascii="仿宋" w:hAnsi="仿宋" w:eastAsia="仿宋" w:cs="仿宋"/>
          <w:color w:val="auto"/>
          <w:sz w:val="24"/>
          <w:szCs w:val="24"/>
          <w:highlight w:val="none"/>
        </w:rPr>
        <w:t>提出，由</w:t>
      </w:r>
      <w:r>
        <w:rPr>
          <w:rFonts w:hint="eastAsia" w:ascii="仿宋" w:hAnsi="仿宋" w:eastAsia="仿宋" w:cs="仿宋"/>
          <w:color w:val="auto"/>
          <w:sz w:val="24"/>
          <w:szCs w:val="24"/>
          <w:highlight w:val="none"/>
          <w:lang w:eastAsia="zh-CN"/>
        </w:rPr>
        <w:t>需方</w:t>
      </w:r>
      <w:r>
        <w:rPr>
          <w:rFonts w:hint="eastAsia" w:ascii="仿宋" w:hAnsi="仿宋" w:eastAsia="仿宋" w:cs="仿宋"/>
          <w:color w:val="auto"/>
          <w:sz w:val="24"/>
          <w:szCs w:val="24"/>
          <w:highlight w:val="none"/>
        </w:rPr>
        <w:t>确认。</w:t>
      </w:r>
    </w:p>
    <w:p>
      <w:pPr>
        <w:pageBreakBefore w:val="0"/>
        <w:kinsoku/>
        <w:wordWrap/>
        <w:overflowPunct/>
        <w:topLinePunct w:val="0"/>
        <w:bidi w:val="0"/>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应对制造合同进行技术总负责,即</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对所承担的设备设计制造、调试、运输功能考核及竣工验收等各阶段的技术工作负全面技术责任。</w:t>
      </w:r>
    </w:p>
    <w:p>
      <w:pPr>
        <w:pageBreakBefore w:val="0"/>
        <w:kinsoku/>
        <w:wordWrap/>
        <w:overflowPunct/>
        <w:topLinePunct w:val="0"/>
        <w:bidi w:val="0"/>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.4 </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应按相关国家标准的技术要求、性能及参数，并结合</w:t>
      </w:r>
      <w:r>
        <w:rPr>
          <w:rFonts w:hint="eastAsia" w:ascii="仿宋" w:hAnsi="仿宋" w:eastAsia="仿宋" w:cs="仿宋"/>
          <w:color w:val="auto"/>
          <w:sz w:val="24"/>
          <w:szCs w:val="24"/>
          <w:highlight w:val="none"/>
          <w:lang w:eastAsia="zh-CN"/>
        </w:rPr>
        <w:t>需方</w:t>
      </w:r>
      <w:r>
        <w:rPr>
          <w:rFonts w:hint="eastAsia" w:ascii="仿宋" w:hAnsi="仿宋" w:eastAsia="仿宋" w:cs="仿宋"/>
          <w:color w:val="auto"/>
          <w:sz w:val="24"/>
          <w:szCs w:val="24"/>
          <w:highlight w:val="none"/>
        </w:rPr>
        <w:t>的技术要求进行电气设备装置的设计制造，其产品实物质量应达到当今国内先进水平，并具有经济、安全、可靠的特点。</w:t>
      </w:r>
    </w:p>
    <w:p>
      <w:pPr>
        <w:pageBreakBefore w:val="0"/>
        <w:kinsoku/>
        <w:wordWrap/>
        <w:overflowPunct/>
        <w:topLinePunct w:val="0"/>
        <w:bidi w:val="0"/>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应按图纸选择高质量、有信誉、有良好业绩和配套供货能力的厂商进行相关电器元器件、表计配套供货，选用其他制造厂商产品，必须得到</w:t>
      </w:r>
      <w:r>
        <w:rPr>
          <w:rFonts w:hint="eastAsia" w:ascii="仿宋" w:hAnsi="仿宋" w:eastAsia="仿宋" w:cs="仿宋"/>
          <w:color w:val="auto"/>
          <w:sz w:val="24"/>
          <w:szCs w:val="24"/>
          <w:highlight w:val="none"/>
          <w:lang w:eastAsia="zh-CN"/>
        </w:rPr>
        <w:t>需方</w:t>
      </w:r>
      <w:r>
        <w:rPr>
          <w:rFonts w:hint="eastAsia" w:ascii="仿宋" w:hAnsi="仿宋" w:eastAsia="仿宋" w:cs="仿宋"/>
          <w:color w:val="auto"/>
          <w:sz w:val="24"/>
          <w:szCs w:val="24"/>
          <w:highlight w:val="none"/>
        </w:rPr>
        <w:t>的同意。</w:t>
      </w:r>
    </w:p>
    <w:p>
      <w:pPr>
        <w:pageBreakBefore w:val="0"/>
        <w:kinsoku/>
        <w:wordWrap/>
        <w:overflowPunct/>
        <w:topLinePunct w:val="0"/>
        <w:bidi w:val="0"/>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应对所提技术要求的及时性、正确性、完整性负责，并在制造的全过程中，与本工程的其他产品供应商进行密切配合，相互支持，以确保本工程的优质、按期供货。如配合各方不能达成一致时，</w:t>
      </w:r>
      <w:r>
        <w:rPr>
          <w:rFonts w:hint="eastAsia" w:ascii="仿宋" w:hAnsi="仿宋" w:eastAsia="仿宋" w:cs="仿宋"/>
          <w:color w:val="auto"/>
          <w:sz w:val="24"/>
          <w:szCs w:val="24"/>
          <w:highlight w:val="none"/>
          <w:lang w:eastAsia="zh-CN"/>
        </w:rPr>
        <w:t>需方</w:t>
      </w:r>
      <w:r>
        <w:rPr>
          <w:rFonts w:hint="eastAsia" w:ascii="仿宋" w:hAnsi="仿宋" w:eastAsia="仿宋" w:cs="仿宋"/>
          <w:color w:val="auto"/>
          <w:sz w:val="24"/>
          <w:szCs w:val="24"/>
          <w:highlight w:val="none"/>
        </w:rPr>
        <w:t>有决定权和依照相关合同条款的处理权。</w:t>
      </w:r>
    </w:p>
    <w:p>
      <w:pPr>
        <w:pageBreakBefore w:val="0"/>
        <w:kinsoku/>
        <w:wordWrap/>
        <w:overflowPunct/>
        <w:topLinePunct w:val="0"/>
        <w:bidi w:val="0"/>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应提供相关设备的主要功能指标和技术性能，产品质量和工艺性能等保证内容，并提出相应保证值的测量方法和测试条件，</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应保证所提供的各项性能指标并进行书面承诺。</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在合同货物制造中，发生侵犯专利的行为时其侵权责任与</w:t>
      </w:r>
      <w:r>
        <w:rPr>
          <w:rFonts w:hint="eastAsia" w:ascii="仿宋" w:hAnsi="仿宋" w:eastAsia="仿宋" w:cs="仿宋"/>
          <w:color w:val="auto"/>
          <w:sz w:val="24"/>
          <w:szCs w:val="24"/>
          <w:highlight w:val="none"/>
          <w:lang w:eastAsia="zh-CN"/>
        </w:rPr>
        <w:t>需方</w:t>
      </w:r>
      <w:r>
        <w:rPr>
          <w:rFonts w:hint="eastAsia" w:ascii="仿宋" w:hAnsi="仿宋" w:eastAsia="仿宋" w:cs="仿宋"/>
          <w:color w:val="auto"/>
          <w:sz w:val="24"/>
          <w:szCs w:val="24"/>
          <w:highlight w:val="none"/>
        </w:rPr>
        <w:t>无关。</w:t>
      </w:r>
    </w:p>
    <w:p>
      <w:pPr>
        <w:pageBreakBefore w:val="0"/>
        <w:kinsoku/>
        <w:wordWrap/>
        <w:overflowPunct/>
        <w:topLinePunct w:val="0"/>
        <w:bidi w:val="0"/>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.8与本设备采购所产生的设备招标文件、设备投标文件、设备招标的技术澄清及本技术</w:t>
      </w:r>
      <w:r>
        <w:rPr>
          <w:rFonts w:hint="eastAsia" w:ascii="仿宋" w:hAnsi="仿宋" w:eastAsia="仿宋" w:cs="仿宋"/>
          <w:color w:val="auto"/>
          <w:sz w:val="24"/>
          <w:szCs w:val="24"/>
          <w:highlight w:val="none"/>
          <w:lang w:eastAsia="zh-CN"/>
        </w:rPr>
        <w:t>技术规格书</w:t>
      </w:r>
      <w:r>
        <w:rPr>
          <w:rFonts w:hint="eastAsia" w:ascii="仿宋" w:hAnsi="仿宋" w:eastAsia="仿宋" w:cs="仿宋"/>
          <w:color w:val="auto"/>
          <w:sz w:val="24"/>
          <w:szCs w:val="24"/>
          <w:highlight w:val="none"/>
        </w:rPr>
        <w:t>具有同等法律效力。</w:t>
      </w:r>
    </w:p>
    <w:p>
      <w:pPr>
        <w:pageBreakBefore w:val="0"/>
        <w:kinsoku/>
        <w:wordWrap/>
        <w:overflowPunct/>
        <w:topLinePunct w:val="0"/>
        <w:bidi w:val="0"/>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.9在本章中只给出了设备的主要技术要求，在合同签署后，若因工艺系统的需要等原因，</w:t>
      </w:r>
      <w:r>
        <w:rPr>
          <w:rFonts w:hint="eastAsia" w:ascii="仿宋" w:hAnsi="仿宋" w:eastAsia="仿宋" w:cs="仿宋"/>
          <w:color w:val="auto"/>
          <w:sz w:val="24"/>
          <w:szCs w:val="24"/>
          <w:highlight w:val="none"/>
          <w:lang w:eastAsia="zh-CN"/>
        </w:rPr>
        <w:t>需方</w:t>
      </w:r>
      <w:r>
        <w:rPr>
          <w:rFonts w:hint="eastAsia" w:ascii="仿宋" w:hAnsi="仿宋" w:eastAsia="仿宋" w:cs="仿宋"/>
          <w:color w:val="auto"/>
          <w:sz w:val="24"/>
          <w:szCs w:val="24"/>
          <w:highlight w:val="none"/>
        </w:rPr>
        <w:t>修改了某些技术参数，或是要求</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增加部分功能，</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应无条件满足</w:t>
      </w:r>
      <w:r>
        <w:rPr>
          <w:rFonts w:hint="eastAsia" w:ascii="仿宋" w:hAnsi="仿宋" w:eastAsia="仿宋" w:cs="仿宋"/>
          <w:color w:val="auto"/>
          <w:sz w:val="24"/>
          <w:szCs w:val="24"/>
          <w:highlight w:val="none"/>
          <w:lang w:eastAsia="zh-CN"/>
        </w:rPr>
        <w:t>需方</w:t>
      </w:r>
      <w:r>
        <w:rPr>
          <w:rFonts w:hint="eastAsia" w:ascii="仿宋" w:hAnsi="仿宋" w:eastAsia="仿宋" w:cs="仿宋"/>
          <w:color w:val="auto"/>
          <w:sz w:val="24"/>
          <w:szCs w:val="24"/>
          <w:highlight w:val="none"/>
        </w:rPr>
        <w:t>的要求，由此发生的费用由</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自己承担。</w:t>
      </w:r>
    </w:p>
    <w:p>
      <w:pPr>
        <w:pageBreakBefore w:val="0"/>
        <w:kinsoku/>
        <w:wordWrap/>
        <w:overflowPunct/>
        <w:topLinePunct w:val="0"/>
        <w:bidi w:val="0"/>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.10设备中的标准件、外购件必须按技术</w:t>
      </w:r>
      <w:r>
        <w:rPr>
          <w:rFonts w:hint="eastAsia" w:ascii="仿宋" w:hAnsi="仿宋" w:eastAsia="仿宋" w:cs="仿宋"/>
          <w:color w:val="auto"/>
          <w:sz w:val="24"/>
          <w:szCs w:val="24"/>
          <w:highlight w:val="none"/>
          <w:lang w:eastAsia="zh-CN"/>
        </w:rPr>
        <w:t>规格书</w:t>
      </w:r>
      <w:r>
        <w:rPr>
          <w:rFonts w:hint="eastAsia" w:ascii="仿宋" w:hAnsi="仿宋" w:eastAsia="仿宋" w:cs="仿宋"/>
          <w:color w:val="auto"/>
          <w:sz w:val="24"/>
          <w:szCs w:val="24"/>
          <w:highlight w:val="none"/>
        </w:rPr>
        <w:t>中推荐的厂家进行选购，</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标准件、外</w:t>
      </w:r>
      <w:r>
        <w:rPr>
          <w:rFonts w:hint="eastAsia" w:ascii="仿宋" w:hAnsi="仿宋" w:eastAsia="仿宋" w:cs="仿宋"/>
          <w:color w:val="auto"/>
          <w:sz w:val="24"/>
          <w:szCs w:val="24"/>
          <w:highlight w:val="none"/>
          <w:lang w:eastAsia="zh-CN"/>
        </w:rPr>
        <w:t>购</w:t>
      </w:r>
      <w:r>
        <w:rPr>
          <w:rFonts w:hint="eastAsia" w:ascii="仿宋" w:hAnsi="仿宋" w:eastAsia="仿宋" w:cs="仿宋"/>
          <w:color w:val="auto"/>
          <w:sz w:val="24"/>
          <w:szCs w:val="24"/>
          <w:highlight w:val="none"/>
        </w:rPr>
        <w:t>件所选外协单位必须以书面形式通知</w:t>
      </w:r>
      <w:r>
        <w:rPr>
          <w:rFonts w:hint="eastAsia" w:ascii="仿宋" w:hAnsi="仿宋" w:eastAsia="仿宋" w:cs="仿宋"/>
          <w:color w:val="auto"/>
          <w:sz w:val="24"/>
          <w:szCs w:val="24"/>
          <w:highlight w:val="none"/>
          <w:lang w:eastAsia="zh-CN"/>
        </w:rPr>
        <w:t>需方</w:t>
      </w:r>
      <w:r>
        <w:rPr>
          <w:rFonts w:hint="eastAsia" w:ascii="仿宋" w:hAnsi="仿宋" w:eastAsia="仿宋" w:cs="仿宋"/>
          <w:color w:val="auto"/>
          <w:sz w:val="24"/>
          <w:szCs w:val="24"/>
          <w:highlight w:val="none"/>
        </w:rPr>
        <w:t>并经</w:t>
      </w:r>
      <w:r>
        <w:rPr>
          <w:rFonts w:hint="eastAsia" w:ascii="仿宋" w:hAnsi="仿宋" w:eastAsia="仿宋" w:cs="仿宋"/>
          <w:color w:val="auto"/>
          <w:sz w:val="24"/>
          <w:szCs w:val="24"/>
          <w:highlight w:val="none"/>
          <w:lang w:eastAsia="zh-CN"/>
        </w:rPr>
        <w:t>需方</w:t>
      </w:r>
      <w:r>
        <w:rPr>
          <w:rFonts w:hint="eastAsia" w:ascii="仿宋" w:hAnsi="仿宋" w:eastAsia="仿宋" w:cs="仿宋"/>
          <w:color w:val="auto"/>
          <w:sz w:val="24"/>
          <w:szCs w:val="24"/>
          <w:highlight w:val="none"/>
        </w:rPr>
        <w:t>认可方可执行。</w:t>
      </w:r>
    </w:p>
    <w:p>
      <w:pPr>
        <w:pageBreakBefore w:val="0"/>
        <w:kinsoku/>
        <w:wordWrap/>
        <w:overflowPunct/>
        <w:topLinePunct w:val="0"/>
        <w:bidi w:val="0"/>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提供的设备必须具有国内同行业近几年内的先进制造水平，采用先进工艺，合格材料，成熟的技术或专利技术。</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.12</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提供的设备必须是全新、规范、先进的高质量可靠产品，能够确保连续稳定的工作。</w:t>
      </w:r>
    </w:p>
    <w:p>
      <w:pPr>
        <w:pageBreakBefore w:val="0"/>
        <w:kinsoku/>
        <w:wordWrap/>
        <w:overflowPunct/>
        <w:topLinePunct w:val="0"/>
        <w:bidi w:val="0"/>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.13</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 xml:space="preserve">提供设备制造材料的选择，产品技术参数符合ISO标准 ，都应按照国内外通用的现行标准和相应的技术规范执行，而这些标准和技术规范应为合同签字日为止最新公布发行的国家、行业的各项标准和技术规范。    </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.14本</w:t>
      </w:r>
      <w:r>
        <w:rPr>
          <w:rFonts w:hint="eastAsia" w:ascii="仿宋" w:hAnsi="仿宋" w:eastAsia="仿宋" w:cs="仿宋"/>
          <w:color w:val="auto"/>
          <w:sz w:val="24"/>
          <w:szCs w:val="24"/>
          <w:highlight w:val="none"/>
          <w:lang w:eastAsia="zh-CN"/>
        </w:rPr>
        <w:t>技术规格书</w:t>
      </w:r>
      <w:r>
        <w:rPr>
          <w:rFonts w:hint="eastAsia" w:ascii="仿宋" w:hAnsi="仿宋" w:eastAsia="仿宋" w:cs="仿宋"/>
          <w:color w:val="auto"/>
          <w:sz w:val="24"/>
          <w:szCs w:val="24"/>
          <w:highlight w:val="none"/>
        </w:rPr>
        <w:t>以及在今后</w:t>
      </w:r>
      <w:r>
        <w:rPr>
          <w:rFonts w:hint="eastAsia" w:ascii="仿宋" w:hAnsi="仿宋" w:eastAsia="仿宋" w:cs="仿宋"/>
          <w:color w:val="auto"/>
          <w:sz w:val="24"/>
          <w:szCs w:val="24"/>
          <w:highlight w:val="none"/>
          <w:lang w:eastAsia="zh-CN"/>
        </w:rPr>
        <w:t>技术规格书</w:t>
      </w:r>
      <w:r>
        <w:rPr>
          <w:rFonts w:hint="eastAsia" w:ascii="仿宋" w:hAnsi="仿宋" w:eastAsia="仿宋" w:cs="仿宋"/>
          <w:color w:val="auto"/>
          <w:sz w:val="24"/>
          <w:szCs w:val="24"/>
          <w:highlight w:val="none"/>
        </w:rPr>
        <w:t>执行过程中的一切图纸、技术文件、设备信函等必须使用中文，如果</w:t>
      </w:r>
      <w:r>
        <w:rPr>
          <w:rFonts w:hint="eastAsia" w:ascii="仿宋" w:hAnsi="仿宋" w:eastAsia="仿宋" w:cs="仿宋"/>
          <w:color w:val="auto"/>
          <w:sz w:val="24"/>
          <w:szCs w:val="24"/>
          <w:highlight w:val="none"/>
          <w:lang w:eastAsia="zh-CN"/>
        </w:rPr>
        <w:t>供方</w:t>
      </w:r>
      <w:r>
        <w:rPr>
          <w:rFonts w:hint="eastAsia" w:ascii="仿宋" w:hAnsi="仿宋" w:eastAsia="仿宋" w:cs="仿宋"/>
          <w:color w:val="auto"/>
          <w:sz w:val="24"/>
          <w:szCs w:val="24"/>
          <w:highlight w:val="none"/>
        </w:rPr>
        <w:t>提供的文件中使用另一种文字，则需有中文译本，在这种情况下，解释以中文为准。</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 xml:space="preserve">.15 </w:t>
      </w:r>
      <w:r>
        <w:rPr>
          <w:rFonts w:hint="eastAsia" w:ascii="仿宋" w:hAnsi="仿宋" w:eastAsia="仿宋" w:cs="仿宋"/>
          <w:bCs/>
          <w:color w:val="auto"/>
          <w:sz w:val="24"/>
          <w:szCs w:val="24"/>
          <w:highlight w:val="none"/>
          <w:lang w:eastAsia="zh-CN"/>
        </w:rPr>
        <w:t>供方</w:t>
      </w:r>
      <w:r>
        <w:rPr>
          <w:rFonts w:hint="eastAsia" w:ascii="仿宋" w:hAnsi="仿宋" w:eastAsia="仿宋" w:cs="仿宋"/>
          <w:bCs/>
          <w:color w:val="auto"/>
          <w:sz w:val="24"/>
          <w:szCs w:val="24"/>
          <w:highlight w:val="none"/>
        </w:rPr>
        <w:t>提供的设备、附件、备品备件等材质必须满足本工程所处地理位置、</w:t>
      </w:r>
      <w:r>
        <w:rPr>
          <w:rFonts w:hint="eastAsia" w:ascii="仿宋" w:hAnsi="仿宋" w:eastAsia="仿宋" w:cs="仿宋"/>
          <w:bCs/>
          <w:color w:val="auto"/>
          <w:sz w:val="24"/>
          <w:szCs w:val="24"/>
          <w:highlight w:val="none"/>
          <w:lang w:val="en-US" w:eastAsia="zh-CN"/>
        </w:rPr>
        <w:t>海拔高度及</w:t>
      </w:r>
      <w:r>
        <w:rPr>
          <w:rFonts w:hint="eastAsia" w:ascii="仿宋" w:hAnsi="仿宋" w:eastAsia="仿宋" w:cs="仿宋"/>
          <w:bCs/>
          <w:color w:val="auto"/>
          <w:sz w:val="24"/>
          <w:szCs w:val="24"/>
          <w:highlight w:val="none"/>
        </w:rPr>
        <w:t>环境条件的要求。</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.16本技术</w:t>
      </w:r>
      <w:r>
        <w:rPr>
          <w:rFonts w:hint="eastAsia" w:ascii="仿宋" w:hAnsi="仿宋" w:eastAsia="仿宋" w:cs="仿宋"/>
          <w:bCs/>
          <w:color w:val="auto"/>
          <w:sz w:val="24"/>
          <w:szCs w:val="24"/>
          <w:highlight w:val="none"/>
          <w:lang w:eastAsia="zh-CN"/>
        </w:rPr>
        <w:t>规格书</w:t>
      </w:r>
      <w:r>
        <w:rPr>
          <w:rFonts w:hint="eastAsia" w:ascii="仿宋" w:hAnsi="仿宋" w:eastAsia="仿宋" w:cs="仿宋"/>
          <w:bCs/>
          <w:color w:val="auto"/>
          <w:sz w:val="24"/>
          <w:szCs w:val="24"/>
          <w:highlight w:val="none"/>
        </w:rPr>
        <w:t>中使用的标准和/或规范如与</w:t>
      </w:r>
      <w:r>
        <w:rPr>
          <w:rFonts w:hint="eastAsia" w:ascii="仿宋" w:hAnsi="仿宋" w:eastAsia="仿宋" w:cs="仿宋"/>
          <w:bCs/>
          <w:color w:val="auto"/>
          <w:sz w:val="24"/>
          <w:szCs w:val="24"/>
          <w:highlight w:val="none"/>
          <w:lang w:eastAsia="zh-CN"/>
        </w:rPr>
        <w:t>供方</w:t>
      </w:r>
      <w:r>
        <w:rPr>
          <w:rFonts w:hint="eastAsia" w:ascii="仿宋" w:hAnsi="仿宋" w:eastAsia="仿宋" w:cs="仿宋"/>
          <w:bCs/>
          <w:color w:val="auto"/>
          <w:sz w:val="24"/>
          <w:szCs w:val="24"/>
          <w:highlight w:val="none"/>
        </w:rPr>
        <w:t>所执行的标准发生矛盾时，按</w:t>
      </w:r>
      <w:r>
        <w:rPr>
          <w:rFonts w:hint="eastAsia" w:ascii="仿宋" w:hAnsi="仿宋" w:eastAsia="仿宋" w:cs="仿宋"/>
          <w:bCs/>
          <w:color w:val="auto"/>
          <w:sz w:val="24"/>
          <w:szCs w:val="24"/>
          <w:highlight w:val="none"/>
          <w:lang w:val="en-US" w:eastAsia="zh-CN"/>
        </w:rPr>
        <w:t>较新和</w:t>
      </w:r>
      <w:r>
        <w:rPr>
          <w:rFonts w:hint="eastAsia" w:ascii="仿宋" w:hAnsi="仿宋" w:eastAsia="仿宋" w:cs="仿宋"/>
          <w:bCs/>
          <w:color w:val="auto"/>
          <w:sz w:val="24"/>
          <w:szCs w:val="24"/>
          <w:highlight w:val="none"/>
        </w:rPr>
        <w:t>较高标准执行。</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.17 在合同签订后，</w:t>
      </w:r>
      <w:r>
        <w:rPr>
          <w:rFonts w:hint="eastAsia" w:ascii="仿宋" w:hAnsi="仿宋" w:eastAsia="仿宋" w:cs="仿宋"/>
          <w:bCs/>
          <w:color w:val="auto"/>
          <w:sz w:val="24"/>
          <w:szCs w:val="24"/>
          <w:highlight w:val="none"/>
          <w:lang w:eastAsia="zh-CN"/>
        </w:rPr>
        <w:t>需方</w:t>
      </w:r>
      <w:r>
        <w:rPr>
          <w:rFonts w:hint="eastAsia" w:ascii="仿宋" w:hAnsi="仿宋" w:eastAsia="仿宋" w:cs="仿宋"/>
          <w:bCs/>
          <w:color w:val="auto"/>
          <w:sz w:val="24"/>
          <w:szCs w:val="24"/>
          <w:highlight w:val="none"/>
        </w:rPr>
        <w:t>有权提出因标准、规程和</w:t>
      </w:r>
      <w:r>
        <w:rPr>
          <w:rFonts w:hint="eastAsia" w:ascii="仿宋" w:hAnsi="仿宋" w:eastAsia="仿宋" w:cs="仿宋"/>
          <w:bCs/>
          <w:color w:val="auto"/>
          <w:sz w:val="24"/>
          <w:szCs w:val="24"/>
          <w:highlight w:val="none"/>
          <w:lang w:eastAsia="zh-CN"/>
        </w:rPr>
        <w:t>技术规格</w:t>
      </w:r>
      <w:r>
        <w:rPr>
          <w:rFonts w:hint="eastAsia" w:ascii="仿宋" w:hAnsi="仿宋" w:eastAsia="仿宋" w:cs="仿宋"/>
          <w:bCs/>
          <w:color w:val="auto"/>
          <w:sz w:val="24"/>
          <w:szCs w:val="24"/>
          <w:highlight w:val="none"/>
        </w:rPr>
        <w:t>发生变化而产生的修订要求，具体事宜由</w:t>
      </w:r>
      <w:r>
        <w:rPr>
          <w:rFonts w:hint="eastAsia" w:ascii="仿宋" w:hAnsi="仿宋" w:eastAsia="仿宋" w:cs="仿宋"/>
          <w:bCs/>
          <w:color w:val="auto"/>
          <w:sz w:val="24"/>
          <w:szCs w:val="24"/>
          <w:highlight w:val="none"/>
          <w:lang w:eastAsia="zh-CN"/>
        </w:rPr>
        <w:t>需方</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供方</w:t>
      </w:r>
      <w:r>
        <w:rPr>
          <w:rFonts w:hint="eastAsia" w:ascii="仿宋" w:hAnsi="仿宋" w:eastAsia="仿宋" w:cs="仿宋"/>
          <w:bCs/>
          <w:color w:val="auto"/>
          <w:sz w:val="24"/>
          <w:szCs w:val="24"/>
          <w:highlight w:val="none"/>
        </w:rPr>
        <w:t>、设计方共同协商确定。</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 xml:space="preserve">.18 </w:t>
      </w:r>
      <w:r>
        <w:rPr>
          <w:rFonts w:hint="eastAsia" w:ascii="仿宋" w:hAnsi="仿宋" w:eastAsia="仿宋" w:cs="仿宋"/>
          <w:bCs/>
          <w:color w:val="auto"/>
          <w:sz w:val="24"/>
          <w:szCs w:val="24"/>
          <w:highlight w:val="none"/>
          <w:lang w:eastAsia="zh-CN"/>
        </w:rPr>
        <w:t>供方</w:t>
      </w:r>
      <w:r>
        <w:rPr>
          <w:rFonts w:hint="eastAsia" w:ascii="仿宋" w:hAnsi="仿宋" w:eastAsia="仿宋" w:cs="仿宋"/>
          <w:bCs/>
          <w:color w:val="auto"/>
          <w:sz w:val="24"/>
          <w:szCs w:val="24"/>
          <w:highlight w:val="none"/>
        </w:rPr>
        <w:t>应具有制造过同类同级设备的成功运行经验。</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.19本</w:t>
      </w:r>
      <w:r>
        <w:rPr>
          <w:rFonts w:hint="eastAsia" w:ascii="仿宋" w:hAnsi="仿宋" w:eastAsia="仿宋" w:cs="仿宋"/>
          <w:bCs/>
          <w:color w:val="auto"/>
          <w:sz w:val="24"/>
          <w:szCs w:val="24"/>
          <w:highlight w:val="none"/>
          <w:lang w:eastAsia="zh-CN"/>
        </w:rPr>
        <w:t>技术规格</w:t>
      </w:r>
      <w:r>
        <w:rPr>
          <w:rFonts w:hint="eastAsia" w:ascii="仿宋" w:hAnsi="仿宋" w:eastAsia="仿宋" w:cs="仿宋"/>
          <w:bCs/>
          <w:color w:val="auto"/>
          <w:sz w:val="24"/>
          <w:szCs w:val="24"/>
          <w:highlight w:val="none"/>
        </w:rPr>
        <w:t>书中所有描述的要求</w:t>
      </w:r>
      <w:r>
        <w:rPr>
          <w:rFonts w:hint="eastAsia" w:ascii="仿宋" w:hAnsi="仿宋" w:eastAsia="仿宋" w:cs="仿宋"/>
          <w:bCs/>
          <w:color w:val="auto"/>
          <w:sz w:val="24"/>
          <w:szCs w:val="24"/>
          <w:highlight w:val="none"/>
          <w:lang w:eastAsia="zh-CN"/>
        </w:rPr>
        <w:t>供方</w:t>
      </w:r>
      <w:r>
        <w:rPr>
          <w:rFonts w:hint="eastAsia" w:ascii="仿宋" w:hAnsi="仿宋" w:eastAsia="仿宋" w:cs="仿宋"/>
          <w:bCs/>
          <w:color w:val="auto"/>
          <w:sz w:val="24"/>
          <w:szCs w:val="24"/>
          <w:highlight w:val="none"/>
        </w:rPr>
        <w:t>必须满足和响</w:t>
      </w:r>
      <w:r>
        <w:rPr>
          <w:rFonts w:hint="eastAsia" w:ascii="仿宋" w:hAnsi="仿宋" w:eastAsia="仿宋" w:cs="仿宋"/>
          <w:bCs/>
          <w:color w:val="auto"/>
          <w:sz w:val="24"/>
          <w:szCs w:val="24"/>
          <w:highlight w:val="none"/>
          <w:lang w:eastAsia="zh-CN"/>
        </w:rPr>
        <w:t>应。除上述说明之外，各设备还应完全满足下述标段各项技术要求。供方所供的产品及外购的产品厂家必须经需方同意。</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1.2.20</w:t>
      </w:r>
      <w:r>
        <w:rPr>
          <w:rFonts w:hint="eastAsia" w:ascii="仿宋" w:hAnsi="仿宋" w:eastAsia="仿宋" w:cs="仿宋"/>
          <w:bCs/>
          <w:color w:val="auto"/>
          <w:sz w:val="24"/>
          <w:szCs w:val="24"/>
          <w:highlight w:val="none"/>
        </w:rPr>
        <w:t>产品设计上因存在隐患而造成事故（重大事故），产品供应商应负全部责任，并赔偿由此造成的全部损失。</w:t>
      </w:r>
    </w:p>
    <w:p>
      <w:pPr>
        <w:pageBreakBefore w:val="0"/>
        <w:widowControl w:val="0"/>
        <w:kinsoku/>
        <w:wordWrap/>
        <w:overflowPunct/>
        <w:topLinePunct w:val="0"/>
        <w:autoSpaceDE/>
        <w:autoSpaceDN/>
        <w:bidi w:val="0"/>
        <w:adjustRightInd/>
        <w:spacing w:line="500" w:lineRule="exact"/>
        <w:jc w:val="left"/>
        <w:textAlignment w:val="auto"/>
        <w:outlineLvl w:val="0"/>
        <w:rPr>
          <w:rFonts w:hint="eastAsia" w:ascii="仿宋" w:hAnsi="仿宋" w:eastAsia="仿宋" w:cs="仿宋"/>
          <w:b/>
          <w:bCs/>
          <w:color w:val="auto"/>
          <w:sz w:val="28"/>
          <w:szCs w:val="28"/>
          <w:highlight w:val="none"/>
          <w:lang w:val="en-US" w:eastAsia="zh-CN"/>
        </w:rPr>
      </w:pPr>
      <w:bookmarkStart w:id="7" w:name="_Toc23686"/>
      <w:r>
        <w:rPr>
          <w:rFonts w:hint="eastAsia" w:ascii="仿宋" w:hAnsi="仿宋" w:eastAsia="仿宋" w:cs="仿宋"/>
          <w:b/>
          <w:bCs/>
          <w:color w:val="auto"/>
          <w:sz w:val="28"/>
          <w:szCs w:val="28"/>
          <w:highlight w:val="none"/>
          <w:lang w:val="en-US" w:eastAsia="zh-CN"/>
        </w:rPr>
        <w:t>2 设计条件和环境条件</w:t>
      </w:r>
      <w:bookmarkEnd w:id="2"/>
      <w:bookmarkEnd w:id="7"/>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bookmarkStart w:id="8" w:name="_Toc16344"/>
      <w:bookmarkStart w:id="9" w:name="_Toc13923"/>
      <w:r>
        <w:rPr>
          <w:rFonts w:hint="eastAsia" w:ascii="仿宋" w:hAnsi="仿宋" w:eastAsia="仿宋" w:cs="仿宋"/>
          <w:bCs/>
          <w:color w:val="auto"/>
          <w:sz w:val="24"/>
          <w:szCs w:val="24"/>
          <w:highlight w:val="none"/>
          <w:lang w:val="en-US" w:eastAsia="zh-CN"/>
        </w:rPr>
        <w:t>2.1</w:t>
      </w:r>
      <w:r>
        <w:rPr>
          <w:rFonts w:hint="eastAsia" w:ascii="仿宋" w:hAnsi="仿宋" w:eastAsia="仿宋" w:cs="仿宋"/>
          <w:bCs/>
          <w:color w:val="auto"/>
          <w:sz w:val="24"/>
          <w:szCs w:val="24"/>
          <w:highlight w:val="none"/>
        </w:rPr>
        <w:t>地理位置</w:t>
      </w:r>
      <w:bookmarkEnd w:id="8"/>
      <w:bookmarkEnd w:id="9"/>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程建设位置地处甘肃河西走廊中部、万里长城西端的嘉峪关市，东经98°17′、北纬39°47′，东临河西重镇酒泉市，西临玉门市，南倚祁连山,与肃南峪固族自治县接壤，北与金塔县和内蒙古额济纳旗相连接，交通便利。</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工程在嘉峪关酒钢本部冶金厂区储运部区域内建设，标高范围为 1612m～1620m，地基承载能力为500kPa。</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lang w:val="en-US" w:eastAsia="zh-CN"/>
        </w:rPr>
      </w:pPr>
      <w:bookmarkStart w:id="10" w:name="_Toc12439"/>
      <w:r>
        <w:rPr>
          <w:rFonts w:hint="eastAsia" w:ascii="仿宋" w:hAnsi="仿宋" w:eastAsia="仿宋" w:cs="仿宋"/>
          <w:bCs/>
          <w:color w:val="auto"/>
          <w:sz w:val="24"/>
          <w:szCs w:val="24"/>
          <w:highlight w:val="none"/>
          <w:lang w:val="en-US" w:eastAsia="zh-CN"/>
        </w:rPr>
        <w:t>2.2气象</w:t>
      </w:r>
      <w:bookmarkEnd w:id="10"/>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该地区属温带大陆性荒漠气候，年均气温在6.7℃-7.7℃之间，年日照8000小时。自然降水量年平均85.3毫米，蒸发量2149毫米。全年无霜期130天左右。厂区所在地区为雨量小、蒸发大、温差大、多风沙的内陆干旱气候。</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（1）气温</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最高温度：38.4℃</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最低温度：-31.6℃</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夏季最高平均温度：28.7℃</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冬季最低平均温度：-15.6℃</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日最大温差：14℃</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年平均温度：7.3℃</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冬季采暖室外计算温度：-14.5℃</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通风室外计算温度：夏季 26℃</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冬季 -10ºC</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(2)相对湿度</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相对湿度：46%</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夏季平均湿度：52%</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冬季平均湿度：55%</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(3)降雨量</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年平均降雨量：85.3mm</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最大年降雨量：165.7mm</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小时最大降雨量：18.8mm</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年平均降雨天数：41.3天</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(4)风速、风向</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最大风速：34m/s</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夏季平均风速：2.3m/s</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冬季平均风速：2.1m/s</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常年主导风向：西北风</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夏季主导风向：东南风</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(5)冻土</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历年平均冻土深度1.08m，最大冻土深度1.</w:t>
      </w:r>
      <w:r>
        <w:rPr>
          <w:rFonts w:hint="eastAsia" w:ascii="仿宋" w:hAnsi="仿宋" w:eastAsia="仿宋" w:cs="仿宋"/>
          <w:bCs/>
          <w:color w:val="auto"/>
          <w:sz w:val="24"/>
          <w:szCs w:val="24"/>
          <w:highlight w:val="none"/>
          <w:lang w:val="en-US" w:eastAsia="zh-CN"/>
        </w:rPr>
        <w:t>17</w:t>
      </w:r>
      <w:r>
        <w:rPr>
          <w:rFonts w:hint="eastAsia" w:ascii="仿宋" w:hAnsi="仿宋" w:eastAsia="仿宋" w:cs="仿宋"/>
          <w:bCs/>
          <w:color w:val="auto"/>
          <w:sz w:val="24"/>
          <w:szCs w:val="24"/>
          <w:highlight w:val="none"/>
        </w:rPr>
        <w:t>m，最小冻土深度0.83m，土壤冻结温度-26℃，解冻期约需1个月，最大积雪厚度0.14m。一般从10月中旬开始出现夜冻日消现象，11月下旬进入稳定冻结期。0.05－0.1m土层解冻期平均为3月上旬，最早2月下旬，最晚3月下旬。</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(6)气压</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平均气压85.3kPa，冬季最大气压力85.6kPa(642mmHg)，夏季最大气压力84.7kPa(635mmHg)。</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(7)基本风压和雪压</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年最大积雪量140mm ，50年一遇风压和雪压分别为0.55kN/m2、0.30kN/m2。</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(8)空气密度</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夏季ρ=1.0043kg/m3，冬季ρ=1.0133kg/m3。</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(9)其它</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地下水位：-100m以下</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土壤电阻率：3000Ω·m</w:t>
      </w:r>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bookmarkStart w:id="11" w:name="_Toc29484"/>
      <w:r>
        <w:rPr>
          <w:rFonts w:hint="eastAsia" w:ascii="仿宋" w:hAnsi="仿宋" w:eastAsia="仿宋" w:cs="仿宋"/>
          <w:bCs/>
          <w:color w:val="auto"/>
          <w:sz w:val="24"/>
          <w:szCs w:val="24"/>
          <w:highlight w:val="none"/>
          <w:lang w:val="en-US" w:eastAsia="zh-CN"/>
        </w:rPr>
        <w:t xml:space="preserve">2.3 </w:t>
      </w:r>
      <w:r>
        <w:rPr>
          <w:rFonts w:hint="eastAsia" w:ascii="仿宋" w:hAnsi="仿宋" w:eastAsia="仿宋" w:cs="仿宋"/>
          <w:bCs/>
          <w:color w:val="auto"/>
          <w:sz w:val="24"/>
          <w:szCs w:val="24"/>
          <w:highlight w:val="none"/>
        </w:rPr>
        <w:t>使用条件</w:t>
      </w:r>
      <w:bookmarkEnd w:id="11"/>
    </w:p>
    <w:p>
      <w:pPr>
        <w:pageBreakBefore w:val="0"/>
        <w:kinsoku/>
        <w:wordWrap/>
        <w:overflowPunct/>
        <w:topLinePunct w:val="0"/>
        <w:bidi w:val="0"/>
        <w:spacing w:line="5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电气设备满足除气象、建设场地条件外，还应满足海拔高度2000m、 地震裂度8度、 污秽等级：3级、地面承载力60t/m2、环境温度 -35</w:t>
      </w:r>
      <w:r>
        <w:rPr>
          <w:rFonts w:hint="eastAsia" w:ascii="仿宋" w:hAnsi="仿宋" w:eastAsia="仿宋" w:cs="仿宋"/>
          <w:bCs/>
          <w:color w:val="auto"/>
          <w:sz w:val="24"/>
          <w:szCs w:val="24"/>
          <w:highlight w:val="none"/>
        </w:rPr>
        <w:sym w:font="Symbol" w:char="F0B0"/>
      </w:r>
      <w:r>
        <w:rPr>
          <w:rFonts w:hint="eastAsia" w:ascii="仿宋" w:hAnsi="仿宋" w:eastAsia="仿宋" w:cs="仿宋"/>
          <w:bCs/>
          <w:color w:val="auto"/>
          <w:sz w:val="24"/>
          <w:szCs w:val="24"/>
          <w:highlight w:val="none"/>
        </w:rPr>
        <w:t>C ～ +45</w:t>
      </w:r>
      <w:r>
        <w:rPr>
          <w:rFonts w:hint="eastAsia" w:ascii="仿宋" w:hAnsi="仿宋" w:eastAsia="仿宋" w:cs="仿宋"/>
          <w:bCs/>
          <w:color w:val="auto"/>
          <w:sz w:val="24"/>
          <w:szCs w:val="24"/>
          <w:highlight w:val="none"/>
        </w:rPr>
        <w:sym w:font="Symbol" w:char="F0B0"/>
      </w:r>
      <w:r>
        <w:rPr>
          <w:rFonts w:hint="eastAsia" w:ascii="仿宋" w:hAnsi="仿宋" w:eastAsia="仿宋" w:cs="仿宋"/>
          <w:bCs/>
          <w:color w:val="auto"/>
          <w:sz w:val="24"/>
          <w:szCs w:val="24"/>
          <w:highlight w:val="none"/>
        </w:rPr>
        <w:t>C等要求，电气设备均室内安装。</w:t>
      </w:r>
    </w:p>
    <w:p>
      <w:pPr>
        <w:pageBreakBefore w:val="0"/>
        <w:widowControl w:val="0"/>
        <w:kinsoku/>
        <w:wordWrap/>
        <w:overflowPunct/>
        <w:topLinePunct w:val="0"/>
        <w:autoSpaceDE/>
        <w:autoSpaceDN/>
        <w:bidi w:val="0"/>
        <w:adjustRightInd/>
        <w:spacing w:line="500" w:lineRule="exact"/>
        <w:jc w:val="left"/>
        <w:textAlignment w:val="auto"/>
        <w:outlineLvl w:val="0"/>
        <w:rPr>
          <w:rFonts w:hint="eastAsia" w:ascii="仿宋" w:hAnsi="仿宋" w:eastAsia="仿宋" w:cs="仿宋"/>
          <w:b/>
          <w:bCs/>
          <w:color w:val="auto"/>
          <w:sz w:val="28"/>
          <w:szCs w:val="28"/>
          <w:highlight w:val="none"/>
          <w:lang w:val="en-US" w:eastAsia="zh-CN"/>
        </w:rPr>
      </w:pPr>
      <w:bookmarkStart w:id="12" w:name="_Toc421211146"/>
      <w:bookmarkStart w:id="13" w:name="_Toc28235"/>
      <w:r>
        <w:rPr>
          <w:rFonts w:hint="eastAsia" w:ascii="仿宋" w:hAnsi="仿宋" w:eastAsia="仿宋" w:cs="仿宋"/>
          <w:b/>
          <w:bCs/>
          <w:color w:val="auto"/>
          <w:sz w:val="28"/>
          <w:szCs w:val="28"/>
          <w:highlight w:val="none"/>
          <w:lang w:val="en-US" w:eastAsia="zh-CN"/>
        </w:rPr>
        <w:t>3 SVG补偿装置引用标准</w:t>
      </w:r>
      <w:bookmarkEnd w:id="12"/>
      <w:bookmarkEnd w:id="13"/>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GB 18191-2008      包装储运图示标志</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 xml:space="preserve">GB/T 2423.1-2008  </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电工电子产品环境试验 第2部分：试验方法 试验A：低温</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 xml:space="preserve">GB/T 2423.2-2008  </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电工电子产品环境试验第2部分：试验</w:t>
      </w:r>
      <w:r>
        <w:rPr>
          <w:rFonts w:hint="eastAsia" w:ascii="仿宋" w:hAnsi="仿宋" w:eastAsia="仿宋" w:cs="仿宋"/>
          <w:color w:val="auto"/>
          <w:kern w:val="2"/>
          <w:sz w:val="24"/>
          <w:szCs w:val="24"/>
          <w:lang w:eastAsia="zh-CN"/>
        </w:rPr>
        <w:t>，</w:t>
      </w:r>
      <w:r>
        <w:rPr>
          <w:rFonts w:hint="eastAsia" w:ascii="仿宋" w:hAnsi="仿宋" w:eastAsia="仿宋" w:cs="仿宋"/>
          <w:color w:val="auto"/>
          <w:kern w:val="2"/>
          <w:sz w:val="24"/>
          <w:szCs w:val="24"/>
        </w:rPr>
        <w:t>方法试验B：高温</w:t>
      </w:r>
    </w:p>
    <w:p>
      <w:pPr>
        <w:pStyle w:val="3"/>
        <w:keepNext w:val="0"/>
        <w:keepLines w:val="0"/>
        <w:widowControl/>
        <w:suppressLineNumbers w:val="0"/>
        <w:shd w:val="clear" w:fill="FFFFFF"/>
        <w:ind w:left="0" w:firstLine="0"/>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GB/T 2423.3-2016    环境试验 第2部分：试验方法 试验Cab：恒定湿热试验</w:t>
      </w:r>
    </w:p>
    <w:p>
      <w:pPr>
        <w:pStyle w:val="3"/>
        <w:keepNext w:val="0"/>
        <w:keepLines w:val="0"/>
        <w:widowControl/>
        <w:suppressLineNumbers w:val="0"/>
        <w:shd w:val="clear" w:fill="FFFFFF"/>
        <w:ind w:left="0" w:firstLine="0"/>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GB/Z 6113.404-2007  无线电骚扰和抗扰度测量设备和测量方法规范 第4-4部分：不确定度、统计学和限值建模 抱怨的统计和限值的计</w:t>
      </w:r>
    </w:p>
    <w:p>
      <w:pPr>
        <w:pStyle w:val="3"/>
        <w:keepNext w:val="0"/>
        <w:keepLines w:val="0"/>
        <w:widowControl/>
        <w:suppressLineNumbers w:val="0"/>
        <w:shd w:val="clear" w:fill="FFFFFF"/>
        <w:ind w:left="0" w:firstLine="0"/>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GB/T 13729-2019     远动终端设备</w:t>
      </w:r>
    </w:p>
    <w:p>
      <w:pPr>
        <w:pStyle w:val="3"/>
        <w:keepNext w:val="0"/>
        <w:keepLines w:val="0"/>
        <w:widowControl/>
        <w:suppressLineNumbers w:val="0"/>
        <w:shd w:val="clear" w:fill="FFFFFF"/>
        <w:ind w:left="0" w:firstLine="0"/>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JB/T 6214-2014      仪器仪表可靠性验证试验及测定试验(指数分布)导则</w:t>
      </w:r>
    </w:p>
    <w:p>
      <w:pPr>
        <w:pStyle w:val="3"/>
        <w:keepNext w:val="0"/>
        <w:keepLines w:val="0"/>
        <w:widowControl/>
        <w:suppressLineNumbers w:val="0"/>
        <w:shd w:val="clear" w:fill="FFFFFF"/>
        <w:ind w:left="0" w:firstLine="0"/>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GB 12348-2008       工业企业厂界环境噪声排放标准</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GB/T 4365</w:t>
      </w:r>
      <w:r>
        <w:rPr>
          <w:rFonts w:hint="eastAsia" w:ascii="仿宋" w:hAnsi="仿宋" w:eastAsia="仿宋" w:cs="仿宋"/>
          <w:color w:val="auto"/>
          <w:kern w:val="2"/>
          <w:sz w:val="24"/>
          <w:szCs w:val="24"/>
        </w:rPr>
        <w:softHyphen/>
      </w:r>
      <w:r>
        <w:rPr>
          <w:rFonts w:hint="eastAsia" w:ascii="仿宋" w:hAnsi="仿宋" w:eastAsia="仿宋" w:cs="仿宋"/>
          <w:color w:val="auto"/>
          <w:kern w:val="2"/>
          <w:sz w:val="24"/>
          <w:szCs w:val="24"/>
        </w:rPr>
        <w:softHyphen/>
      </w:r>
      <w:r>
        <w:rPr>
          <w:rFonts w:hint="eastAsia" w:ascii="仿宋" w:hAnsi="仿宋" w:eastAsia="仿宋" w:cs="仿宋"/>
          <w:color w:val="auto"/>
          <w:kern w:val="2"/>
          <w:sz w:val="24"/>
          <w:szCs w:val="24"/>
        </w:rPr>
        <w:softHyphen/>
      </w:r>
      <w:r>
        <w:rPr>
          <w:rFonts w:hint="eastAsia" w:ascii="仿宋" w:hAnsi="仿宋" w:eastAsia="仿宋" w:cs="仿宋"/>
          <w:color w:val="auto"/>
          <w:kern w:val="2"/>
          <w:sz w:val="24"/>
          <w:szCs w:val="24"/>
        </w:rPr>
        <w:t xml:space="preserve">—2003   </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 xml:space="preserve"> 电工术语 电磁兼容</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 xml:space="preserve">GB/T 4706.1—2005 </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 xml:space="preserve"> 家用和类似用途电器安全 第一部分：通用要求</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GB/T 17626.2-2018</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电磁兼容 试验和测量技术 静电放电抗扰度试验</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GB/T 17626.3-2016</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电磁兼容 试验和测量技术 射频电磁场辐射抗扰度试验</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GB/T 17626.4-2018</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电磁兼容 试验和测量技术 电快速瞬变脉冲群抗扰度试验</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GB/T 17626.5-2019</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电磁兼容 试验和测量技术 浪涌（冲击）抗扰度试验</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GB/T 17626.7-2017</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电磁兼容 试验和测量技术 供电系统及所连设备谐波、间谐波的测量和测量仪器导则</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 xml:space="preserve">GB/T14549-93   </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 xml:space="preserve">电能质量：公用电网谐波 </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GB/T 15543-2008</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电能质量 三相电压不平衡</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GB/T 15945-2008</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电能质量 电力系统频率偏差</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GB/T 12326-2008</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电能质量 电压波动和闪变</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GB/T 12325-2008</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电能质量 供电电压偏差</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 xml:space="preserve">GB/T18481-2001 </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电能质量：暂时过电压和瞬态过电压</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GB/T 15576-2020</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低压成套无功功率补偿装置</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GB/T 4208-2017</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外壳防护等级（IP代码）</w:t>
      </w:r>
    </w:p>
    <w:p>
      <w:pPr>
        <w:pStyle w:val="13"/>
        <w:spacing w:line="360" w:lineRule="auto"/>
        <w:ind w:firstLine="0" w:firstLineChars="0"/>
        <w:jc w:val="left"/>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GB/Z 17625.6-2003</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电磁兼容 限值 对额定电流大于16A的设备在低压供电系统中产生的谐波电流的限制</w:t>
      </w:r>
    </w:p>
    <w:p>
      <w:pPr>
        <w:pStyle w:val="3"/>
        <w:keepNext w:val="0"/>
        <w:keepLines w:val="0"/>
        <w:widowControl/>
        <w:suppressLineNumbers w:val="0"/>
        <w:shd w:val="clear" w:fill="FFFFFF"/>
        <w:ind w:left="0" w:firstLine="0"/>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GB 50054-2011      低压配电设计规范</w:t>
      </w:r>
    </w:p>
    <w:p>
      <w:pPr>
        <w:pageBreakBefore w:val="0"/>
        <w:widowControl w:val="0"/>
        <w:kinsoku/>
        <w:wordWrap/>
        <w:overflowPunct/>
        <w:topLinePunct w:val="0"/>
        <w:autoSpaceDE/>
        <w:autoSpaceDN/>
        <w:bidi w:val="0"/>
        <w:adjustRightInd/>
        <w:spacing w:line="500" w:lineRule="exact"/>
        <w:jc w:val="left"/>
        <w:textAlignment w:val="auto"/>
        <w:outlineLvl w:val="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4 技术要求</w:t>
      </w:r>
    </w:p>
    <w:p>
      <w:pPr>
        <w:pageBreakBefore w:val="0"/>
        <w:widowControl w:val="0"/>
        <w:kinsoku/>
        <w:wordWrap/>
        <w:overflowPunct/>
        <w:topLinePunct w:val="0"/>
        <w:autoSpaceDE/>
        <w:autoSpaceDN/>
        <w:bidi w:val="0"/>
        <w:adjustRightInd/>
        <w:spacing w:line="500" w:lineRule="exact"/>
        <w:jc w:val="left"/>
        <w:textAlignment w:val="auto"/>
        <w:outlineLvl w:val="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4.1 SVG补偿装置主要技术参数</w:t>
      </w:r>
    </w:p>
    <w:p>
      <w:pPr>
        <w:spacing w:line="360" w:lineRule="auto"/>
        <w:ind w:firstLine="480" w:firstLineChars="20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补偿容量：±450kvar 三相四线</w:t>
      </w:r>
    </w:p>
    <w:p>
      <w:pPr>
        <w:spacing w:line="360" w:lineRule="auto"/>
        <w:ind w:firstLine="480" w:firstLineChars="20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额定电压：400V</w:t>
      </w:r>
    </w:p>
    <w:p>
      <w:pPr>
        <w:spacing w:line="360" w:lineRule="auto"/>
        <w:ind w:firstLine="480" w:firstLineChars="20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冷却方式：强迫风冷</w:t>
      </w:r>
    </w:p>
    <w:p>
      <w:pPr>
        <w:spacing w:line="360" w:lineRule="auto"/>
        <w:ind w:firstLine="480" w:firstLineChars="20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平均损耗：小于3%</w:t>
      </w:r>
    </w:p>
    <w:p>
      <w:pPr>
        <w:spacing w:line="360" w:lineRule="auto"/>
        <w:ind w:firstLine="480" w:firstLineChars="20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响应速度：不大于10ms</w:t>
      </w:r>
    </w:p>
    <w:p>
      <w:pPr>
        <w:spacing w:line="360" w:lineRule="auto"/>
        <w:ind w:firstLine="480" w:firstLineChars="20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采用低压滤波型静止无功发生器 SVG 无功补偿装置，容量及技术参数应与图纸一致。装置具有以下特点：⑴低压 SVG 采用全数字、模块化控制方式，CPU 采用 3DSP+CPLD 全数字、模块化控制。同时支持智能和快速 FFT算法。（2）具备实现 3、5、7、9、11、13 次特征性谐波补偿，功率因数补偿后应达到 0.98 以上。（3）具备完整的保护功能，包括母线过压、母线欠压、直流过压过流、IGBT 元件损坏保护、超温、IGBT 短路等。具备系统启动自诊断功能。（4）具备 RS485 通讯接口并且可以扩展以太网络接口、干接点接口，并设置备用通道，以防止将来增加功能时有通道可用，在中央控制室能显示 SVG 的运行状态。在低压 SVG 发生故障时，具有报警功能。（5）低压 SVG 能显示线电压有效值、电压谐波值、电流有效值、视在功率、功率因数等运行参数。（6）柜体加装照明、风扇、滤网；柜体采用 2mm 冷轧钢板制作。选用北京英菲特电气技术有限公司、上海铭宇科技、浙江能容电力原厂产品。</w:t>
      </w:r>
    </w:p>
    <w:p>
      <w:pPr>
        <w:pageBreakBefore w:val="0"/>
        <w:widowControl w:val="0"/>
        <w:kinsoku/>
        <w:wordWrap/>
        <w:overflowPunct/>
        <w:topLinePunct w:val="0"/>
        <w:autoSpaceDE/>
        <w:autoSpaceDN/>
        <w:bidi w:val="0"/>
        <w:adjustRightInd/>
        <w:spacing w:line="500" w:lineRule="exact"/>
        <w:jc w:val="left"/>
        <w:textAlignment w:val="auto"/>
        <w:outlineLvl w:val="0"/>
        <w:rPr>
          <w:rFonts w:hint="eastAsia" w:ascii="仿宋" w:hAnsi="仿宋" w:eastAsia="仿宋" w:cs="仿宋"/>
          <w:b/>
          <w:bCs/>
          <w:color w:val="auto"/>
          <w:sz w:val="28"/>
          <w:szCs w:val="28"/>
          <w:highlight w:val="none"/>
          <w:lang w:val="en-US" w:eastAsia="zh-CN"/>
        </w:rPr>
      </w:pPr>
      <w:bookmarkStart w:id="14" w:name="_Toc428095704"/>
      <w:r>
        <w:rPr>
          <w:rFonts w:hint="eastAsia" w:ascii="仿宋" w:hAnsi="仿宋" w:eastAsia="仿宋" w:cs="仿宋"/>
          <w:b/>
          <w:bCs/>
          <w:color w:val="auto"/>
          <w:sz w:val="28"/>
          <w:szCs w:val="28"/>
          <w:highlight w:val="none"/>
          <w:lang w:val="en-US" w:eastAsia="zh-CN"/>
        </w:rPr>
        <w:t>4.2 SVG补偿装置功能特性</w:t>
      </w:r>
      <w:bookmarkEnd w:id="14"/>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静止无功发生器是用于动态补偿无功、补偿谐波、治理三相不平衡的新型电力电子装置，它能够通过采样负载电流进行各次谐波和无功的分离，控制并主动输出电流的大小、频率和相位，并快速响应，抵消负载中相应电流，实现动态跟踪补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静止无功发生器通过外部电流互感器，实时检测负载电流，并通过内部DSP计算，提取出负载电流的无功分量（感性或容性），然后通过PWM信号发送给内部IGBT，控制逆变器产生一个相对应的反向无功电流（容性或感性）注入电网中,达到无功补偿的目的。</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color w:val="auto"/>
          <w:kern w:val="2"/>
          <w:sz w:val="24"/>
          <w:szCs w:val="24"/>
          <w:lang w:val="en-US" w:eastAsia="zh-CN" w:bidi="ar-SA"/>
        </w:rPr>
      </w:pPr>
      <w:bookmarkStart w:id="15" w:name="_Toc428095705"/>
      <w:r>
        <w:rPr>
          <w:rFonts w:hint="eastAsia" w:ascii="仿宋" w:hAnsi="仿宋" w:eastAsia="仿宋" w:cs="仿宋"/>
          <w:color w:val="auto"/>
          <w:kern w:val="2"/>
          <w:sz w:val="24"/>
          <w:szCs w:val="24"/>
          <w:lang w:val="en-US" w:eastAsia="zh-CN" w:bidi="ar-SA"/>
        </w:rPr>
        <w:t>4.2.1 通用功能</w:t>
      </w:r>
      <w:bookmarkEnd w:id="1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不易受电网阻抗及电网频率变化的影响；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可以补偿系统不平衡；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所需贮能元件容量不大。</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color w:val="auto"/>
          <w:kern w:val="2"/>
          <w:sz w:val="24"/>
          <w:szCs w:val="24"/>
          <w:lang w:val="en-US" w:eastAsia="zh-CN" w:bidi="ar-SA"/>
        </w:rPr>
      </w:pPr>
      <w:bookmarkStart w:id="16" w:name="_Toc428095706"/>
      <w:r>
        <w:rPr>
          <w:rFonts w:hint="eastAsia" w:ascii="仿宋" w:hAnsi="仿宋" w:eastAsia="仿宋" w:cs="仿宋"/>
          <w:color w:val="auto"/>
          <w:kern w:val="2"/>
          <w:sz w:val="24"/>
          <w:szCs w:val="24"/>
          <w:lang w:val="en-US" w:eastAsia="zh-CN" w:bidi="ar-SA"/>
        </w:rPr>
        <w:t>4.2.2 优点</w:t>
      </w:r>
      <w:bookmarkEnd w:id="1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无功及不平衡负载补偿模式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&gt;97%工作效率，损耗小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3DSP+CPLD全数字控制方式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三电平逆变电路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模块化设计，系统稳定，可承受-40%~+20%电压波动</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color w:val="auto"/>
          <w:kern w:val="2"/>
          <w:sz w:val="24"/>
          <w:szCs w:val="24"/>
          <w:lang w:val="en-US" w:eastAsia="zh-CN" w:bidi="ar-SA"/>
        </w:rPr>
      </w:pPr>
      <w:bookmarkStart w:id="17" w:name="_Toc428095707"/>
      <w:r>
        <w:rPr>
          <w:rFonts w:hint="eastAsia" w:ascii="仿宋" w:hAnsi="仿宋" w:eastAsia="仿宋" w:cs="仿宋"/>
          <w:color w:val="auto"/>
          <w:kern w:val="2"/>
          <w:sz w:val="24"/>
          <w:szCs w:val="24"/>
          <w:lang w:val="en-US" w:eastAsia="zh-CN" w:bidi="ar-SA"/>
        </w:rPr>
        <w:t>4.2.3 技术参数</w:t>
      </w:r>
      <w:bookmarkEnd w:id="17"/>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无功补偿范围：目标功率因数容性感性可调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无功补偿率：＞99%</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控制算法：FFT、智能FFT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功能选择：补偿谐波、补偿无功、补偿三相不平衡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快速响应时间：&lt;50us</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全响应时间：&lt;15ms</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通讯接口：RS485，集中监控屏可选配网口与干接点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安装方式：柔性机柜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 xml:space="preserve">防护等级：IP20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保护功能：过载保护、短路保护、母线过压保护、电源故障保护、保险故障保护、过温保护、频率异常保护、缺相保护等</w:t>
      </w:r>
    </w:p>
    <w:p>
      <w:pPr>
        <w:pageBreakBefore w:val="0"/>
        <w:widowControl w:val="0"/>
        <w:kinsoku/>
        <w:wordWrap/>
        <w:overflowPunct/>
        <w:topLinePunct w:val="0"/>
        <w:autoSpaceDE/>
        <w:autoSpaceDN/>
        <w:bidi w:val="0"/>
        <w:adjustRightInd/>
        <w:spacing w:line="500" w:lineRule="exact"/>
        <w:jc w:val="left"/>
        <w:textAlignment w:val="auto"/>
        <w:outlineLvl w:val="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4.3 SVG补偿装置相关技术要求：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（1）主电路逆变器采用德国英飞凌的IGBT器件以及进口驱动电路。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（2）低压具有三种控制模式，可自由设定：</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720" w:firstLineChars="30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1）恒无功装置处于恒无功闭环工作方式下，其无功电流目标值由设定的参数“功率目标值”决定；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787" w:firstLineChars="328"/>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2）恒电压装置无功输出的目标是将电网电压控制在所需要的目标值当中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787" w:firstLineChars="328"/>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3）自动跟踪是指自动补偿负荷侧的无功电流，目标是在装置的补偿能力范围之内，控制装置的无功电流输出，使电网侧的无功电流为零。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（3）具有滤波能力。要求具有一定的滤波功能，有效抑制13次及以下各次谐波。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（4）可方便地通过并联实现扩容。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（5）实时跟踪，动态补偿电网中的无功功率。可以使功率因数完全满足电力部门的要求。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过电流限制：采用可靠的限流控制环节，当系统中的无功或谐波电流大于有源滤波器的治理能力时，装置能在自己的额定容量范围内最大限度的对无功或谐波进行补偿，维持正常工作，不会出现过载烧毁等故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（7）具备完整的保护功能，包括母线过压、母线欠压、直流过压过流、IGBT元件损坏保护、超温、IGBT短路等。具备系统启动自诊断功能。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（8）具有缓冲启动控制回路，能够避免自启动瞬间过大的投入电流，并限制该电流在额定范围之内。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（9）控制器：计算与逻辑处理采用全数字化技术，采用DSP并配有功能强大的FPGA芯片。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（10）采用液晶显示面板，具有故障报警及追忆功能，在面板上能实时显示运行状态,以及设定运行参数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（11）柜体加装照明、风扇、滤网；柜体采用2mm冷轧钢板制作。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（12）功率因数补偿后应达到0.98以上。</w:t>
      </w:r>
    </w:p>
    <w:p>
      <w:pPr>
        <w:pageBreakBefore w:val="0"/>
        <w:widowControl w:val="0"/>
        <w:kinsoku/>
        <w:wordWrap/>
        <w:overflowPunct/>
        <w:topLinePunct w:val="0"/>
        <w:autoSpaceDE/>
        <w:autoSpaceDN/>
        <w:bidi w:val="0"/>
        <w:adjustRightInd/>
        <w:spacing w:line="500" w:lineRule="exact"/>
        <w:jc w:val="left"/>
        <w:textAlignment w:val="auto"/>
        <w:outlineLvl w:val="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5 供货范围</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color w:val="auto"/>
          <w:kern w:val="2"/>
          <w:sz w:val="24"/>
          <w:szCs w:val="24"/>
          <w:lang w:val="en-US" w:eastAsia="zh-CN" w:bidi="ar-SA"/>
        </w:rPr>
      </w:pPr>
    </w:p>
    <w:tbl>
      <w:tblPr>
        <w:tblStyle w:val="7"/>
        <w:tblW w:w="978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60"/>
        <w:gridCol w:w="1849"/>
        <w:gridCol w:w="4709"/>
        <w:gridCol w:w="760"/>
        <w:gridCol w:w="710"/>
        <w:gridCol w:w="1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9" w:hRule="atLeast"/>
          <w:jc w:val="center"/>
        </w:trPr>
        <w:tc>
          <w:tcPr>
            <w:tcW w:w="760" w:type="dxa"/>
            <w:tcBorders>
              <w:top w:val="single" w:color="000000" w:sz="4" w:space="0"/>
              <w:left w:val="single" w:color="000000" w:sz="4" w:space="0"/>
              <w:bottom w:val="single" w:color="000000" w:sz="4" w:space="0"/>
              <w:right w:val="single" w:color="000000" w:sz="4" w:space="0"/>
            </w:tcBorders>
            <w:noWrap/>
            <w:vAlign w:val="center"/>
          </w:tcPr>
          <w:p>
            <w:pPr>
              <w:jc w:val="center"/>
              <w:rPr>
                <w:rStyle w:val="14"/>
                <w:rFonts w:hint="eastAsia" w:ascii="仿宋" w:hAnsi="仿宋" w:eastAsia="仿宋" w:cs="仿宋"/>
                <w:sz w:val="24"/>
                <w:szCs w:val="24"/>
                <w:lang w:val="en-US" w:eastAsia="zh-CN" w:bidi="ar"/>
              </w:rPr>
            </w:pPr>
            <w:r>
              <w:rPr>
                <w:rFonts w:hint="eastAsia" w:ascii="仿宋" w:hAnsi="仿宋" w:eastAsia="仿宋" w:cs="仿宋"/>
                <w:b/>
                <w:bCs/>
                <w:sz w:val="24"/>
                <w:szCs w:val="24"/>
              </w:rPr>
              <w:t>序号</w:t>
            </w:r>
          </w:p>
        </w:tc>
        <w:tc>
          <w:tcPr>
            <w:tcW w:w="1849" w:type="dxa"/>
            <w:tcBorders>
              <w:top w:val="single" w:color="000000" w:sz="4" w:space="0"/>
              <w:left w:val="single" w:color="000000" w:sz="4" w:space="0"/>
              <w:bottom w:val="single" w:color="000000" w:sz="4" w:space="0"/>
              <w:right w:val="single" w:color="000000" w:sz="4" w:space="0"/>
            </w:tcBorders>
            <w:noWrap/>
            <w:vAlign w:val="center"/>
          </w:tcPr>
          <w:p>
            <w:pPr>
              <w:ind w:firstLine="199" w:firstLineChars="0"/>
              <w:jc w:val="center"/>
              <w:rPr>
                <w:rStyle w:val="14"/>
                <w:rFonts w:hint="eastAsia" w:ascii="仿宋" w:hAnsi="仿宋" w:eastAsia="仿宋" w:cs="仿宋"/>
                <w:sz w:val="24"/>
                <w:szCs w:val="24"/>
                <w:lang w:val="en-US" w:eastAsia="zh-CN" w:bidi="ar"/>
              </w:rPr>
            </w:pPr>
            <w:r>
              <w:rPr>
                <w:rFonts w:hint="eastAsia" w:ascii="仿宋" w:hAnsi="仿宋" w:eastAsia="仿宋" w:cs="仿宋"/>
                <w:b/>
                <w:bCs/>
                <w:sz w:val="24"/>
                <w:szCs w:val="24"/>
              </w:rPr>
              <w:t>名称</w:t>
            </w:r>
          </w:p>
        </w:tc>
        <w:tc>
          <w:tcPr>
            <w:tcW w:w="4709" w:type="dxa"/>
            <w:tcBorders>
              <w:top w:val="single" w:color="000000" w:sz="4" w:space="0"/>
              <w:left w:val="single" w:color="000000" w:sz="4" w:space="0"/>
              <w:bottom w:val="single" w:color="000000" w:sz="4" w:space="0"/>
              <w:right w:val="single" w:color="000000" w:sz="4" w:space="0"/>
            </w:tcBorders>
            <w:noWrap/>
            <w:vAlign w:val="center"/>
          </w:tcPr>
          <w:p>
            <w:pPr>
              <w:ind w:firstLine="199" w:firstLineChars="0"/>
              <w:jc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b/>
                <w:bCs/>
                <w:sz w:val="24"/>
                <w:szCs w:val="24"/>
              </w:rPr>
              <w:t>型号规格</w:t>
            </w:r>
          </w:p>
        </w:tc>
        <w:tc>
          <w:tcPr>
            <w:tcW w:w="7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kern w:val="2"/>
                <w:sz w:val="24"/>
                <w:szCs w:val="24"/>
                <w:lang w:val="en-US" w:eastAsia="zh-CN" w:bidi="ar-SA"/>
              </w:rPr>
            </w:pPr>
            <w:r>
              <w:rPr>
                <w:rFonts w:hint="eastAsia" w:ascii="仿宋" w:hAnsi="仿宋" w:eastAsia="仿宋" w:cs="仿宋"/>
                <w:b/>
                <w:bCs/>
                <w:sz w:val="24"/>
                <w:szCs w:val="24"/>
              </w:rPr>
              <w:t>单位</w:t>
            </w:r>
          </w:p>
        </w:tc>
        <w:tc>
          <w:tcPr>
            <w:tcW w:w="71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kern w:val="2"/>
                <w:sz w:val="24"/>
                <w:szCs w:val="24"/>
                <w:lang w:val="en-US" w:eastAsia="zh-CN" w:bidi="ar-SA"/>
              </w:rPr>
            </w:pPr>
            <w:r>
              <w:rPr>
                <w:rFonts w:hint="eastAsia" w:ascii="仿宋" w:hAnsi="仿宋" w:eastAsia="仿宋" w:cs="仿宋"/>
                <w:b/>
                <w:bCs/>
                <w:sz w:val="24"/>
                <w:szCs w:val="24"/>
              </w:rPr>
              <w:t>数量</w:t>
            </w:r>
          </w:p>
        </w:tc>
        <w:tc>
          <w:tcPr>
            <w:tcW w:w="10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kern w:val="2"/>
                <w:sz w:val="24"/>
                <w:szCs w:val="24"/>
                <w:lang w:val="en-US" w:eastAsia="zh-CN" w:bidi="ar-SA"/>
              </w:rPr>
            </w:pPr>
            <w:r>
              <w:rPr>
                <w:rFonts w:hint="eastAsia" w:ascii="仿宋" w:hAnsi="仿宋" w:eastAsia="仿宋" w:cs="仿宋"/>
                <w:b/>
                <w:bCs/>
                <w:sz w:val="24"/>
                <w:szCs w:val="24"/>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9" w:hRule="atLeast"/>
          <w:jc w:val="center"/>
        </w:trPr>
        <w:tc>
          <w:tcPr>
            <w:tcW w:w="7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Style w:val="14"/>
                <w:rFonts w:hint="eastAsia" w:ascii="仿宋" w:hAnsi="仿宋" w:eastAsia="仿宋" w:cs="仿宋"/>
                <w:sz w:val="22"/>
                <w:szCs w:val="22"/>
                <w:lang w:val="en-US" w:eastAsia="zh-CN" w:bidi="ar"/>
              </w:rPr>
            </w:pPr>
            <w:r>
              <w:rPr>
                <w:rStyle w:val="14"/>
                <w:rFonts w:hint="eastAsia" w:ascii="仿宋" w:hAnsi="仿宋" w:eastAsia="仿宋" w:cs="仿宋"/>
                <w:sz w:val="22"/>
                <w:szCs w:val="22"/>
                <w:lang w:val="en-US" w:eastAsia="zh-CN" w:bidi="ar"/>
              </w:rPr>
              <w:t>1</w:t>
            </w:r>
          </w:p>
        </w:tc>
        <w:tc>
          <w:tcPr>
            <w:tcW w:w="18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C0C0C"/>
                <w:sz w:val="22"/>
                <w:szCs w:val="22"/>
                <w:u w:val="none"/>
                <w:lang w:val="en-US"/>
              </w:rPr>
            </w:pPr>
            <w:r>
              <w:rPr>
                <w:rStyle w:val="14"/>
                <w:rFonts w:hint="eastAsia" w:ascii="仿宋" w:hAnsi="仿宋" w:eastAsia="仿宋" w:cs="仿宋"/>
                <w:sz w:val="22"/>
                <w:szCs w:val="22"/>
                <w:lang w:val="en-US" w:eastAsia="zh-CN" w:bidi="ar"/>
              </w:rPr>
              <w:t>SVG补偿装置</w:t>
            </w:r>
          </w:p>
        </w:tc>
        <w:tc>
          <w:tcPr>
            <w:tcW w:w="470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0.38KV/450Kvar 1/2</w:t>
            </w: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固定式 GGD 1000×800×2200</w:t>
            </w:r>
          </w:p>
        </w:tc>
        <w:tc>
          <w:tcPr>
            <w:tcW w:w="7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台</w:t>
            </w:r>
          </w:p>
        </w:tc>
        <w:tc>
          <w:tcPr>
            <w:tcW w:w="7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10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整套柜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9" w:hRule="atLeast"/>
          <w:jc w:val="center"/>
        </w:trPr>
        <w:tc>
          <w:tcPr>
            <w:tcW w:w="9788" w:type="dxa"/>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仿宋" w:hAnsi="仿宋" w:eastAsia="仿宋" w:cs="仿宋"/>
                <w:color w:val="auto"/>
                <w:szCs w:val="21"/>
                <w:highlight w:val="none"/>
                <w:lang w:val="en-US" w:eastAsia="zh-CN"/>
              </w:rPr>
            </w:pPr>
            <w:r>
              <w:rPr>
                <w:rFonts w:hint="eastAsia" w:ascii="仿宋" w:hAnsi="仿宋" w:eastAsia="仿宋" w:cs="仿宋"/>
                <w:i w:val="0"/>
                <w:iCs w:val="0"/>
                <w:color w:val="000000"/>
                <w:kern w:val="0"/>
                <w:sz w:val="22"/>
                <w:szCs w:val="22"/>
                <w:u w:val="none"/>
                <w:lang w:val="en-US" w:eastAsia="zh-CN" w:bidi="ar"/>
              </w:rPr>
              <w:t>注：1、塑壳断路器选用</w:t>
            </w:r>
            <w:r>
              <w:rPr>
                <w:rFonts w:hint="eastAsia" w:ascii="仿宋" w:hAnsi="仿宋" w:eastAsia="仿宋" w:cs="仿宋"/>
                <w:color w:val="auto"/>
                <w:szCs w:val="21"/>
                <w:highlight w:val="none"/>
                <w:lang w:eastAsia="zh-CN"/>
              </w:rPr>
              <w:t>北京北元电器</w:t>
            </w:r>
            <w:r>
              <w:rPr>
                <w:rFonts w:hint="eastAsia" w:ascii="仿宋" w:hAnsi="仿宋" w:eastAsia="仿宋" w:cs="仿宋"/>
                <w:color w:val="auto"/>
                <w:szCs w:val="21"/>
                <w:highlight w:val="none"/>
                <w:lang w:val="en-US" w:eastAsia="zh-CN"/>
              </w:rPr>
              <w:t>产品。</w:t>
            </w:r>
          </w:p>
          <w:p>
            <w:pPr>
              <w:keepNext w:val="0"/>
              <w:keepLines w:val="0"/>
              <w:widowControl/>
              <w:numPr>
                <w:ilvl w:val="0"/>
                <w:numId w:val="1"/>
              </w:numPr>
              <w:suppressLineNumbers w:val="0"/>
              <w:ind w:firstLine="420" w:firstLineChars="200"/>
              <w:jc w:val="both"/>
              <w:textAlignment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浪涌保护器选用安徽虹科电力产品。</w:t>
            </w:r>
          </w:p>
          <w:p>
            <w:pPr>
              <w:keepNext w:val="0"/>
              <w:keepLines w:val="0"/>
              <w:widowControl/>
              <w:numPr>
                <w:ilvl w:val="0"/>
                <w:numId w:val="1"/>
              </w:numPr>
              <w:suppressLineNumbers w:val="0"/>
              <w:ind w:firstLine="420" w:firstLineChars="200"/>
              <w:jc w:val="both"/>
              <w:textAlignment w:val="center"/>
              <w:rPr>
                <w:rFonts w:hint="eastAsia" w:ascii="仿宋" w:hAnsi="仿宋" w:eastAsia="仿宋" w:cs="仿宋"/>
                <w:color w:val="auto"/>
                <w:szCs w:val="21"/>
                <w:highlight w:val="none"/>
                <w:lang w:val="en-US" w:eastAsia="zh-CN"/>
              </w:rPr>
            </w:pPr>
            <w:r>
              <w:rPr>
                <w:rStyle w:val="15"/>
                <w:rFonts w:hint="eastAsia" w:ascii="仿宋" w:hAnsi="仿宋" w:eastAsia="仿宋" w:cs="仿宋"/>
                <w:color w:val="auto"/>
                <w:sz w:val="21"/>
                <w:szCs w:val="21"/>
                <w:highlight w:val="none"/>
                <w:lang w:val="en-US" w:eastAsia="zh-CN"/>
              </w:rPr>
              <w:t>智能电力仪表选用广东雅达产品。</w:t>
            </w:r>
          </w:p>
        </w:tc>
      </w:tr>
    </w:tbl>
    <w:p>
      <w:pPr>
        <w:rPr>
          <w:rFonts w:hint="default" w:ascii="宋体" w:hAnsi="宋体" w:cs="宋体"/>
          <w:b w:val="0"/>
          <w:color w:val="auto"/>
          <w:kern w:val="2"/>
          <w:sz w:val="24"/>
          <w:szCs w:val="24"/>
          <w:lang w:val="en-US" w:eastAsia="zh-CN" w:bidi="ar-SA"/>
        </w:rPr>
      </w:pPr>
    </w:p>
    <w:p>
      <w:pPr>
        <w:pageBreakBefore w:val="0"/>
        <w:widowControl w:val="0"/>
        <w:kinsoku/>
        <w:wordWrap/>
        <w:overflowPunct/>
        <w:topLinePunct w:val="0"/>
        <w:autoSpaceDE/>
        <w:autoSpaceDN/>
        <w:bidi w:val="0"/>
        <w:adjustRightInd/>
        <w:spacing w:line="500" w:lineRule="exact"/>
        <w:jc w:val="left"/>
        <w:textAlignment w:val="auto"/>
        <w:outlineLvl w:val="0"/>
        <w:rPr>
          <w:rFonts w:hint="eastAsia" w:ascii="仿宋" w:hAnsi="仿宋" w:eastAsia="仿宋" w:cs="仿宋"/>
          <w:b/>
          <w:bCs/>
          <w:color w:val="auto"/>
          <w:sz w:val="28"/>
          <w:szCs w:val="28"/>
          <w:highlight w:val="none"/>
          <w:lang w:val="en-US" w:eastAsia="zh-CN"/>
        </w:rPr>
      </w:pPr>
      <w:bookmarkStart w:id="18" w:name="_Toc22625"/>
      <w:bookmarkStart w:id="19" w:name="_Toc2786"/>
      <w:bookmarkStart w:id="20" w:name="_Toc25637"/>
      <w:r>
        <w:rPr>
          <w:rFonts w:hint="eastAsia" w:ascii="仿宋" w:hAnsi="仿宋" w:eastAsia="仿宋" w:cs="仿宋"/>
          <w:b/>
          <w:bCs/>
          <w:color w:val="auto"/>
          <w:sz w:val="28"/>
          <w:szCs w:val="28"/>
          <w:highlight w:val="none"/>
          <w:lang w:val="en-US" w:eastAsia="zh-CN"/>
        </w:rPr>
        <w:t>6 售后服务内容</w:t>
      </w:r>
      <w:bookmarkEnd w:id="18"/>
      <w:bookmarkEnd w:id="19"/>
      <w:bookmarkEnd w:id="2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6.1供方应派合格的、经验丰富、技术熟练和健康的技术人员到需方现场履行安装、调试和验收测试等内容的技术服务和技术指导、技术监督。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6.2由供方指派的作为合同项目的现场代表，应对合同范围内的所有技术服务和技术监督负责；保证供方技术人员履行合同规定下的责任和义务；积极与需方现场代表合作，有效的组织和安排设备调试、冷试车、热试车和验收测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6.3供方人员应在需方现场总代表的领导下，开展技术服务和技术监督工作，及时处理其间的所有技术问题，并对合同范围内的设备性能和测试数据负责。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6.4供方技术人员应向需方技术人员详细解释有关设计数据、调试技术和方法，调试过程中调整的设定值，供方技术人员应详细记录并移交需方技术人员。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6.5供方技术人员应在需方合同项目现场，对设备安装、调试、生产操作、设备维护等内容进行培训，以便使他们尽快熟悉合同项目的设备和技术。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6.6质保期：设备质保期为工程竣工验收合格后12个月。供方设备出现质量问题，接到通知后，4小时内给予答复，在24小时内赶到现场进行维修。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6.7供方有义务配合本次工程下一道相关工序的安装调试，并对涉及到供方所提供的设备在内的安装调试进行协助调试，对因供方原因造成的相关工序安装调试的失败负责，并给予需方相应赔偿。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6.8培训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为使合同设备能正常安装和运行，供方有责任提供相应的技术培训。</w:t>
      </w:r>
    </w:p>
    <w:p>
      <w:pPr>
        <w:pageBreakBefore w:val="0"/>
        <w:widowControl w:val="0"/>
        <w:kinsoku/>
        <w:wordWrap/>
        <w:overflowPunct/>
        <w:topLinePunct w:val="0"/>
        <w:autoSpaceDE/>
        <w:autoSpaceDN/>
        <w:bidi w:val="0"/>
        <w:adjustRightInd/>
        <w:spacing w:line="500" w:lineRule="exact"/>
        <w:jc w:val="left"/>
        <w:textAlignment w:val="auto"/>
        <w:outlineLvl w:val="0"/>
        <w:rPr>
          <w:rFonts w:hint="eastAsia" w:ascii="仿宋" w:hAnsi="仿宋" w:eastAsia="仿宋" w:cs="仿宋"/>
          <w:b/>
          <w:bCs/>
          <w:color w:val="auto"/>
          <w:sz w:val="28"/>
          <w:szCs w:val="28"/>
          <w:highlight w:val="none"/>
          <w:lang w:val="en-US" w:eastAsia="zh-CN"/>
        </w:rPr>
      </w:pPr>
      <w:bookmarkStart w:id="21" w:name="_Toc25947"/>
      <w:r>
        <w:rPr>
          <w:rFonts w:hint="eastAsia" w:ascii="仿宋" w:hAnsi="仿宋" w:eastAsia="仿宋" w:cs="仿宋"/>
          <w:b/>
          <w:bCs/>
          <w:color w:val="auto"/>
          <w:sz w:val="28"/>
          <w:szCs w:val="28"/>
          <w:highlight w:val="none"/>
          <w:lang w:val="en-US" w:eastAsia="zh-CN"/>
        </w:rPr>
        <w:t>7 性能验收试验</w:t>
      </w:r>
      <w:bookmarkEnd w:id="21"/>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7.1性能验收试验的目的为了检验合同设备的所有性能是否符合要求。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7.2性能验收试验的地点由合同确定，一般为需方现场。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7.3性能试验的时间：由买卖双方协商确定。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7.4性能验收试验由需方主持，供方参加。试验大纲由供方提供，与需方讨论后确定。如试验在现场进行，如试验在工厂进行，试验所需的人力和物力等由供方提供。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bookmarkStart w:id="22" w:name="_Toc16213"/>
      <w:r>
        <w:rPr>
          <w:rFonts w:hint="eastAsia" w:ascii="仿宋" w:hAnsi="仿宋" w:eastAsia="仿宋" w:cs="仿宋"/>
          <w:color w:val="auto"/>
          <w:kern w:val="2"/>
          <w:sz w:val="24"/>
          <w:szCs w:val="24"/>
          <w:lang w:val="en-US" w:eastAsia="zh-CN" w:bidi="ar-SA"/>
        </w:rPr>
        <w:t>7.5性能验收试验的内容</w:t>
      </w:r>
      <w:bookmarkEnd w:id="2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7.6试验: 试验满足国家以及机械部、电力部颁布的有关标准，且试验不小于下列项目：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7.6.1试验项目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7.6.1.1结构检查及外观检验；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7.6.1.2机械试验；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7.6.1.3绝缘试验；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7.6.1.4动热稳定试验；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7.6.1.5断路器开断、关合能力试验；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7.6.1.6断路器失步开断、关合试验；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7.6.1.7熔断器开断能力试验；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7.6.1.8配电屏正常运行温升试验；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7.6.1.9密封防雨试验；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7.6.1.10操作特性试验；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7.6.1.11断路器主回路电阻；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7.6.1.12二次回路工频耐压试验；全工况绝缘验证试验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7.6.1.13工厂规定的其它试验。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7.6.1.14出厂试验项目为12.6.1条中12.6.1.1、12.6.1.2、12.6.1.3、   7.6.1.10、12.6.1.11、12.6.1.12、12.6.1.13项。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7.6.1.15现场试验项目为12.6.1.1、12.6.1.3、12.6.1.10、12.6.1.12项。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bookmarkStart w:id="23" w:name="_Toc27590"/>
      <w:r>
        <w:rPr>
          <w:rFonts w:hint="eastAsia" w:ascii="仿宋" w:hAnsi="仿宋" w:eastAsia="仿宋" w:cs="仿宋"/>
          <w:color w:val="auto"/>
          <w:kern w:val="2"/>
          <w:sz w:val="24"/>
          <w:szCs w:val="24"/>
          <w:lang w:val="en-US" w:eastAsia="zh-CN" w:bidi="ar-SA"/>
        </w:rPr>
        <w:t>7.7试验要求</w:t>
      </w:r>
      <w:bookmarkEnd w:id="2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7.7.1结构检查及外观检查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产品及其全部零件符合正式产品图纸和技术要求。零部件装配正确、完整、无生锈、腐蚀和涂漆层剥落现象。带电体相间及对地距离符合制造标准规定值。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7.7.2机械试验及操作特性试验按GB/T1984有关规定进行，并满足要求。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7.7.3绝缘试验按GB311有关规定进行。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7.7.4断路器主回路电阻试验按GB/T11022进行，并符合产品技术条件规定。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7.7.5其余各项试验均应按GB3906和GB1984有关规定进行，并应符合要求。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7.8设备生产工艺过程，质量控制点、检测试验项目及监造项目清单。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7.8.1工艺过程检验项目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7.8.1.1进货（入库前）检验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电气元器件检验入库；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原材料、外购、外协件入库验收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7.8.1.2半成品工序检验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零部件加工工序检验（首件检、巡回检、完工检）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喷涂检验（首件检、巡回检、完工检）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装配检验（首件检、巡回检、完工检）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7.8.1.3成品检验（按出厂检验报告项目逐项检查）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7.8.1.4包装检验后合格品准予出厂。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7.8.2出厂试验项目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一般检查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测量电气间隙和爬电距离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通电操作试验，按每一个回路操作5次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绝缘电阻测试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介电强度试验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保护电路连续性试验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7.8.3监造项目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一般检查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机械操作和机械特性试验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主电路工频耐压及其它绝缘试验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回路通电动作试验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接地连续性试验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产品技术条件规定的其它生产试验项目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7.8.4在无载荷/有载荷、单体/联动测试条件下，主要设备功能和技术性能应满足设备操作和性能保证的要求。同时要保证功能的可靠性和预定条件下的使用寿命。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7.8.5在测试过程中，由于供方原因造成设备的损坏或损伤，由此造成的损失将由供方全部承担。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7.8.6供方必须提供各种设备的技术说明、验收方法及程序，经供、需双方修改确认后，作为最终验收检测的依据。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7.8.7在所有测试、考核结束后，供方提供测试报告。该测试报告经需方确认并鉴字后有效，它将作为竣工验收的依据存档。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7.8.8质保期内如因设备本身制造引起的质量问题，发生的费用由供方承担。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7.8.9安装调试过程中损坏和失效的备件，由供方提供。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7.8.10供方应根据所提供设备的特性，提出检验项目、检验方法、检验手段以及检验标准等。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7.8.11供方对产品的质量负全部责任，出厂预验收不能代替最终的验收，仅作为最终验收的一项依据。其余部件供方应在标书中说明其质量检验的相关标准。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7.8.12投产运行后产品出现质量问题，供方接到通知后应在24小时内赶到现场解决。</w:t>
      </w:r>
    </w:p>
    <w:p>
      <w:pPr>
        <w:pageBreakBefore w:val="0"/>
        <w:widowControl w:val="0"/>
        <w:kinsoku/>
        <w:wordWrap/>
        <w:overflowPunct/>
        <w:topLinePunct w:val="0"/>
        <w:autoSpaceDE/>
        <w:autoSpaceDN/>
        <w:bidi w:val="0"/>
        <w:adjustRightInd/>
        <w:spacing w:line="500" w:lineRule="exact"/>
        <w:jc w:val="left"/>
        <w:textAlignment w:val="auto"/>
        <w:outlineLvl w:val="0"/>
        <w:rPr>
          <w:rFonts w:hint="eastAsia" w:ascii="仿宋" w:hAnsi="仿宋" w:eastAsia="仿宋" w:cs="仿宋"/>
          <w:b/>
          <w:bCs/>
          <w:color w:val="auto"/>
          <w:sz w:val="28"/>
          <w:szCs w:val="28"/>
          <w:highlight w:val="none"/>
          <w:lang w:val="en-US" w:eastAsia="zh-CN"/>
        </w:rPr>
      </w:pPr>
      <w:bookmarkStart w:id="24" w:name="_Toc11074"/>
      <w:bookmarkStart w:id="25" w:name="_Toc16699"/>
      <w:bookmarkStart w:id="26" w:name="_Toc32198"/>
      <w:r>
        <w:rPr>
          <w:rFonts w:hint="eastAsia" w:ascii="仿宋" w:hAnsi="仿宋" w:eastAsia="仿宋" w:cs="仿宋"/>
          <w:b/>
          <w:bCs/>
          <w:color w:val="auto"/>
          <w:sz w:val="28"/>
          <w:szCs w:val="28"/>
          <w:highlight w:val="none"/>
          <w:lang w:val="en-US" w:eastAsia="zh-CN"/>
        </w:rPr>
        <w:t>8 包装、运输和储存</w:t>
      </w:r>
      <w:bookmarkEnd w:id="24"/>
      <w:bookmarkEnd w:id="25"/>
      <w:bookmarkEnd w:id="2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8.1所有供货的设备必须有铭牌，并标明设备的主要规格、型号及运行参数。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8.2设备、材料的包装：必须按单套设备与其附件单独包装，不允许多套设备及其附件混装。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8.3设备应按相关规范的要求进行包装。正确地标识零部件和各种材料，以便运输、安装和查找，并提供详细的装箱单。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8.4运输时，长、大部件在运输时必须垫平，防止运输变形，运输中严禁碰撞和磨擦，以免损伤。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8.5设备到场后，由供方妥善保管。</w:t>
      </w:r>
    </w:p>
    <w:p>
      <w:pPr>
        <w:pageBreakBefore w:val="0"/>
        <w:widowControl w:val="0"/>
        <w:kinsoku/>
        <w:wordWrap/>
        <w:overflowPunct/>
        <w:topLinePunct w:val="0"/>
        <w:autoSpaceDE/>
        <w:autoSpaceDN/>
        <w:bidi w:val="0"/>
        <w:adjustRightInd/>
        <w:spacing w:line="500" w:lineRule="exact"/>
        <w:jc w:val="left"/>
        <w:textAlignment w:val="auto"/>
        <w:outlineLvl w:val="0"/>
        <w:rPr>
          <w:rFonts w:hint="eastAsia" w:ascii="仿宋" w:hAnsi="仿宋" w:eastAsia="仿宋" w:cs="仿宋"/>
          <w:b/>
          <w:bCs/>
          <w:color w:val="auto"/>
          <w:sz w:val="28"/>
          <w:szCs w:val="28"/>
          <w:highlight w:val="none"/>
          <w:lang w:val="en-US" w:eastAsia="zh-CN"/>
        </w:rPr>
      </w:pPr>
      <w:bookmarkStart w:id="27" w:name="_Toc29262"/>
      <w:bookmarkStart w:id="28" w:name="_Toc16473"/>
      <w:bookmarkStart w:id="29" w:name="_Toc28283"/>
      <w:r>
        <w:rPr>
          <w:rFonts w:hint="eastAsia" w:ascii="仿宋" w:hAnsi="仿宋" w:eastAsia="仿宋" w:cs="仿宋"/>
          <w:b/>
          <w:bCs/>
          <w:color w:val="auto"/>
          <w:sz w:val="28"/>
          <w:szCs w:val="28"/>
          <w:highlight w:val="none"/>
          <w:lang w:val="en-US" w:eastAsia="zh-CN"/>
        </w:rPr>
        <w:t>9 双方的工作范围及资料交付要求</w:t>
      </w:r>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bookmarkStart w:id="30" w:name="_Toc15679"/>
      <w:bookmarkStart w:id="31" w:name="_Toc8748"/>
      <w:bookmarkStart w:id="32" w:name="_Toc1234"/>
      <w:r>
        <w:rPr>
          <w:rFonts w:hint="eastAsia" w:ascii="仿宋" w:hAnsi="仿宋" w:eastAsia="仿宋" w:cs="仿宋"/>
          <w:color w:val="auto"/>
          <w:kern w:val="2"/>
          <w:sz w:val="24"/>
          <w:szCs w:val="24"/>
          <w:lang w:val="en-US" w:eastAsia="zh-CN" w:bidi="ar-SA"/>
        </w:rPr>
        <w:t>9.1需方工作范围</w:t>
      </w:r>
      <w:bookmarkEnd w:id="30"/>
      <w:bookmarkEnd w:id="31"/>
      <w:bookmarkEnd w:id="3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9.1.1为供方提供设备的基本参数及订货图、施工图。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9.1.2对供方的设备进行出厂前的检验。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bookmarkStart w:id="33" w:name="_Toc18397"/>
      <w:bookmarkStart w:id="34" w:name="_Toc8604"/>
      <w:bookmarkStart w:id="35" w:name="_Toc20388"/>
      <w:r>
        <w:rPr>
          <w:rFonts w:hint="eastAsia" w:ascii="仿宋" w:hAnsi="仿宋" w:eastAsia="仿宋" w:cs="仿宋"/>
          <w:color w:val="auto"/>
          <w:kern w:val="2"/>
          <w:sz w:val="24"/>
          <w:szCs w:val="24"/>
          <w:lang w:val="en-US" w:eastAsia="zh-CN" w:bidi="ar-SA"/>
        </w:rPr>
        <w:t>9.2供方工作范围</w:t>
      </w:r>
      <w:bookmarkEnd w:id="33"/>
      <w:bookmarkEnd w:id="34"/>
      <w:bookmarkEnd w:id="3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9.2.1供方需根据需方提供的设备参数、设计制造要求进行设备的详细设计、制造和安装。设备的制造包括：设备的制作、油漆、材料试验和工作试验、组装及厂内试运转，检验、包装、交货、指导安装、试车、交工和验收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9.2.2供方提供的设备应完全符合本技术规范的要求。并对所供设备的完整性、安全性、可靠性负责。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9.2.3中标后，如需方提出修改要求，供方需配合需方进行设备的更改。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9.2.4在设备具备发货的条件时，可向需方发出邀请对设备进行出厂前的检验。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9.2.5供方需向需方提供优质、完善的售后服务，包括：对需方人员的培训、现场对设备安装的服务及调试指导等，过程中发生的人员食宿和交通费用由供方承担。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bookmarkStart w:id="36" w:name="_Toc27730"/>
      <w:bookmarkStart w:id="37" w:name="_Toc24046"/>
      <w:bookmarkStart w:id="38" w:name="_Toc21945"/>
      <w:r>
        <w:rPr>
          <w:rFonts w:hint="eastAsia" w:ascii="仿宋" w:hAnsi="仿宋" w:eastAsia="仿宋" w:cs="仿宋"/>
          <w:color w:val="auto"/>
          <w:kern w:val="2"/>
          <w:sz w:val="24"/>
          <w:szCs w:val="24"/>
          <w:lang w:val="en-US" w:eastAsia="zh-CN" w:bidi="ar-SA"/>
        </w:rPr>
        <w:t>9.3技术文件交付</w:t>
      </w:r>
      <w:bookmarkEnd w:id="36"/>
      <w:bookmarkEnd w:id="37"/>
      <w:bookmarkEnd w:id="38"/>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9.3.1 概述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供方提供一套有关需方本项目中4个站所有采购设备的技术文件。供方提供需方所需要详细设计、安装、调试及所属范围内设备的操作与维修方面的技术文件。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所有图纸、图表、说明和其他文件，在安装调试中，必要的修改或附加的补充，要与标出的相关文件一起由供方提供给需方。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对于设备的供货：供方的每一次发货，需方应及时得到相关文件。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供方对所有设备、组件的担保证明，各项电气、机械性能指标试验、检验报告、质量合格证、生产相关资质等，应标出检验单位、制造厂家和出厂日期。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9.3.2 技术文件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9.3.2.1供方应提供如下文件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制造单位资格证书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安装使用维护说明书，包括安装、调试、储藏运行和维护等注意事项及方法。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设备出厂安全试验报告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产品质量监督检验报告（证）书（监检单位出具）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产品质量证明书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设备出厂铭牌（标牌）附印件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性能试验报告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装箱清单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成套设备清单。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备品备件清单。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配电屏主要技术数据，内部安装接线图端子排等。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产品合格证。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电气线路图、结构图、主要部件受损元件图等；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9.3.2.2 配电屏的有关安装、调试、运行、检修、维护、介质消耗等其他方面的技术文件、各项测试报告、组件、备件清单，可随设备到货时一并提供。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9.3.2.3 各方相互提交的与本项目有关的所有技术文件，均应以书面形式反映，文件中除包括各项内容外，还应注明文件提交人姓名和提交时间，需方有权进行检查监督，并有权按照项目合同的相关条款进行处罚。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9.3.2.4 设备的装配图和部件图、电路图以及其它所有资料必须和所供设备一致。现场修改原则上不允许，如有必要，则需需方认可。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9.3.2.5提供带有索引的全部技术文件（包括转换的文件）的目录，每部分的内容目录与相关图纸一同提供。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9.3.2.7技术文件的所有图纸、电子格式的图纸和操作说明要汇编成册。</w:t>
      </w:r>
    </w:p>
    <w:p>
      <w:pPr>
        <w:pageBreakBefore w:val="0"/>
        <w:widowControl w:val="0"/>
        <w:kinsoku/>
        <w:wordWrap/>
        <w:overflowPunct/>
        <w:topLinePunct w:val="0"/>
        <w:autoSpaceDE/>
        <w:autoSpaceDN/>
        <w:bidi w:val="0"/>
        <w:adjustRightInd/>
        <w:spacing w:line="500" w:lineRule="exact"/>
        <w:jc w:val="left"/>
        <w:textAlignment w:val="auto"/>
        <w:outlineLvl w:val="0"/>
        <w:rPr>
          <w:rFonts w:hint="eastAsia" w:ascii="仿宋" w:hAnsi="仿宋" w:eastAsia="仿宋" w:cs="仿宋"/>
          <w:b/>
          <w:bCs/>
          <w:color w:val="auto"/>
          <w:sz w:val="28"/>
          <w:szCs w:val="28"/>
          <w:highlight w:val="none"/>
          <w:lang w:val="en-US" w:eastAsia="zh-CN"/>
        </w:rPr>
      </w:pPr>
      <w:bookmarkStart w:id="39" w:name="_Toc12955"/>
      <w:bookmarkStart w:id="40" w:name="_Toc27131"/>
      <w:bookmarkStart w:id="41" w:name="_Toc30736"/>
      <w:r>
        <w:rPr>
          <w:rFonts w:hint="eastAsia" w:ascii="仿宋" w:hAnsi="仿宋" w:eastAsia="仿宋" w:cs="仿宋"/>
          <w:b/>
          <w:bCs/>
          <w:color w:val="auto"/>
          <w:sz w:val="28"/>
          <w:szCs w:val="28"/>
          <w:highlight w:val="none"/>
          <w:lang w:val="zh-CN" w:eastAsia="zh-CN"/>
        </w:rPr>
        <w:t>1</w:t>
      </w:r>
      <w:r>
        <w:rPr>
          <w:rFonts w:hint="eastAsia" w:ascii="仿宋" w:hAnsi="仿宋" w:eastAsia="仿宋" w:cs="仿宋"/>
          <w:b/>
          <w:bCs/>
          <w:color w:val="auto"/>
          <w:sz w:val="28"/>
          <w:szCs w:val="28"/>
          <w:highlight w:val="none"/>
          <w:lang w:val="en-US" w:eastAsia="zh-CN"/>
        </w:rPr>
        <w:t>0 交货地点、交货日期</w:t>
      </w:r>
      <w:bookmarkEnd w:id="39"/>
      <w:bookmarkEnd w:id="40"/>
      <w:bookmarkEnd w:id="41"/>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10.1设备交货地点： 以商务合同为准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10.2设备交货日期：以商务合同为准</w:t>
      </w:r>
    </w:p>
    <w:p>
      <w:pPr>
        <w:pageBreakBefore w:val="0"/>
        <w:widowControl w:val="0"/>
        <w:kinsoku/>
        <w:wordWrap/>
        <w:overflowPunct/>
        <w:topLinePunct w:val="0"/>
        <w:autoSpaceDE/>
        <w:autoSpaceDN/>
        <w:bidi w:val="0"/>
        <w:adjustRightInd/>
        <w:spacing w:line="500" w:lineRule="exact"/>
        <w:jc w:val="left"/>
        <w:textAlignment w:val="auto"/>
        <w:outlineLvl w:val="0"/>
        <w:rPr>
          <w:rFonts w:hint="eastAsia" w:ascii="仿宋" w:hAnsi="仿宋" w:eastAsia="仿宋" w:cs="仿宋"/>
          <w:b/>
          <w:bCs/>
          <w:color w:val="auto"/>
          <w:sz w:val="28"/>
          <w:szCs w:val="28"/>
          <w:highlight w:val="none"/>
          <w:lang w:val="en-US" w:eastAsia="zh-CN"/>
        </w:rPr>
      </w:pPr>
      <w:bookmarkStart w:id="42" w:name="_Toc8055"/>
      <w:bookmarkStart w:id="43" w:name="_Toc28675"/>
      <w:bookmarkStart w:id="44" w:name="_Toc4329"/>
      <w:r>
        <w:rPr>
          <w:rFonts w:hint="eastAsia" w:ascii="仿宋" w:hAnsi="仿宋" w:eastAsia="仿宋" w:cs="仿宋"/>
          <w:b/>
          <w:bCs/>
          <w:color w:val="auto"/>
          <w:sz w:val="28"/>
          <w:szCs w:val="28"/>
          <w:highlight w:val="none"/>
          <w:lang w:val="en-US" w:eastAsia="zh-CN"/>
        </w:rPr>
        <w:t>11其它</w:t>
      </w:r>
      <w:bookmarkEnd w:id="42"/>
      <w:bookmarkEnd w:id="43"/>
      <w:bookmarkEnd w:id="44"/>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11.1本技术规格书作为合同的附件与合同具有同等法律效力，双方代表签字生效。本技术规格书为附生效条件的合同，以主合同的生效为前提条件；</w:t>
      </w:r>
      <w:r>
        <w:rPr>
          <w:rFonts w:hint="default" w:ascii="仿宋" w:hAnsi="仿宋" w:eastAsia="仿宋" w:cs="仿宋"/>
          <w:color w:val="auto"/>
          <w:kern w:val="2"/>
          <w:sz w:val="24"/>
          <w:szCs w:val="24"/>
          <w:lang w:val="en-US" w:eastAsia="zh-CN" w:bidi="ar-SA"/>
        </w:rPr>
        <w:t>若签订本</w:t>
      </w:r>
      <w:r>
        <w:rPr>
          <w:rFonts w:hint="eastAsia" w:ascii="仿宋" w:hAnsi="仿宋" w:eastAsia="仿宋" w:cs="仿宋"/>
          <w:color w:val="auto"/>
          <w:kern w:val="2"/>
          <w:sz w:val="24"/>
          <w:szCs w:val="24"/>
          <w:lang w:val="en-US" w:eastAsia="zh-CN" w:bidi="ar-SA"/>
        </w:rPr>
        <w:t>技术规格书</w:t>
      </w:r>
      <w:r>
        <w:rPr>
          <w:rFonts w:hint="default" w:ascii="仿宋" w:hAnsi="仿宋" w:eastAsia="仿宋" w:cs="仿宋"/>
          <w:color w:val="auto"/>
          <w:kern w:val="2"/>
          <w:sz w:val="24"/>
          <w:szCs w:val="24"/>
          <w:lang w:val="en-US" w:eastAsia="zh-CN" w:bidi="ar-SA"/>
        </w:rPr>
        <w:t>的</w:t>
      </w:r>
      <w:r>
        <w:rPr>
          <w:rFonts w:hint="eastAsia" w:ascii="仿宋" w:hAnsi="仿宋" w:eastAsia="仿宋" w:cs="仿宋"/>
          <w:color w:val="auto"/>
          <w:kern w:val="2"/>
          <w:sz w:val="24"/>
          <w:szCs w:val="24"/>
          <w:lang w:val="en-US" w:eastAsia="zh-CN" w:bidi="ar-SA"/>
        </w:rPr>
        <w:t>供方</w:t>
      </w:r>
      <w:r>
        <w:rPr>
          <w:rFonts w:hint="default" w:ascii="仿宋" w:hAnsi="仿宋" w:eastAsia="仿宋" w:cs="仿宋"/>
          <w:color w:val="auto"/>
          <w:kern w:val="2"/>
          <w:sz w:val="24"/>
          <w:szCs w:val="24"/>
          <w:lang w:val="en-US" w:eastAsia="zh-CN" w:bidi="ar-SA"/>
        </w:rPr>
        <w:t>不能中标，则本</w:t>
      </w:r>
      <w:r>
        <w:rPr>
          <w:rFonts w:hint="eastAsia" w:ascii="仿宋" w:hAnsi="仿宋" w:eastAsia="仿宋" w:cs="仿宋"/>
          <w:color w:val="auto"/>
          <w:kern w:val="2"/>
          <w:sz w:val="24"/>
          <w:szCs w:val="24"/>
          <w:lang w:val="en-US" w:eastAsia="zh-CN" w:bidi="ar-SA"/>
        </w:rPr>
        <w:t>技术规格书</w:t>
      </w:r>
      <w:r>
        <w:rPr>
          <w:rFonts w:hint="default" w:ascii="仿宋" w:hAnsi="仿宋" w:eastAsia="仿宋" w:cs="仿宋"/>
          <w:color w:val="auto"/>
          <w:kern w:val="2"/>
          <w:sz w:val="24"/>
          <w:szCs w:val="24"/>
          <w:lang w:val="en-US" w:eastAsia="zh-CN" w:bidi="ar-SA"/>
        </w:rPr>
        <w:t>自动失效，双方互不承担任何责任。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11.2本技术规格书一式六份，供方两份、需方两份、供方两份。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11.3供方在投标时要明确设备的质量保证期限。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11.4供方在投标时要提供详细的设备清单及随机调配件、专用检修工具清单等、对外购件需要明确厂家。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11.5供方所供的产品及外购的产品厂家必须经需方同意。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11.6其它未尽事宜，双方协商解决。</w:t>
      </w:r>
    </w:p>
    <w:p>
      <w:pPr>
        <w:rPr>
          <w:rFonts w:hint="default" w:ascii="宋体" w:hAnsi="宋体" w:cs="宋体"/>
          <w:b w:val="0"/>
          <w:color w:val="auto"/>
          <w:kern w:val="2"/>
          <w:sz w:val="24"/>
          <w:szCs w:val="24"/>
          <w:lang w:val="en-US" w:eastAsia="zh-CN" w:bidi="ar-SA"/>
        </w:rPr>
      </w:pPr>
    </w:p>
    <w:p>
      <w:pPr>
        <w:spacing w:line="360" w:lineRule="auto"/>
        <w:jc w:val="left"/>
        <w:rPr>
          <w:rFonts w:hint="eastAsia" w:ascii="仿宋" w:hAnsi="仿宋" w:eastAsia="仿宋" w:cs="仿宋"/>
          <w:b/>
          <w:bCs/>
          <w:sz w:val="28"/>
        </w:rPr>
      </w:pPr>
      <w:r>
        <w:rPr>
          <w:rFonts w:hint="eastAsia" w:ascii="仿宋" w:hAnsi="仿宋" w:eastAsia="仿宋" w:cs="仿宋"/>
          <w:b/>
          <w:bCs/>
          <w:sz w:val="28"/>
          <w:lang w:val="en-US" w:eastAsia="zh-CN"/>
        </w:rPr>
        <w:t>附件：</w:t>
      </w:r>
      <w:r>
        <w:rPr>
          <w:rFonts w:hint="eastAsia" w:ascii="仿宋" w:hAnsi="仿宋" w:eastAsia="仿宋" w:cs="仿宋"/>
          <w:b/>
          <w:bCs/>
          <w:sz w:val="28"/>
        </w:rPr>
        <w:t>低压成套设备加工制作标准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低压柜（包含GGD/MNS/GCK/动力柜等）内每个回路粘贴回路设备名称及对应的设备编号；抽屉柜回路、变频器回路、软启动回路要分别安装回路的设备名称及对应的设备编号标识框；柜内所有一、二次元件要粘贴原理图对应的英文代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2、柜门元件按回路逐一安装功能标识框（黄底黑字），柜内仪表门后部粘贴元件对应英文代号；柜内每个回路的功能标识（15cm*5cm，颜色待定）按照装配位置（柜子前后布置）粘贴在前后柜门。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3、柜内原理图如单独绘制，必须与委托方所提供控制原理、线号等完全一致，端子位置必须与提供端子图纸一致，不得出现外部对接线端子错位现象。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4、柜体出厂编号由委托方提供；出厂铭牌及试验报告以委托方提供样板为准制作；铭牌采用钢制牌并用铝钉铆拉；门楣样式及内容以委托方提供样板为准制作；柜体前后均设置眉头；柜体前后粘贴“有电危险”标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柜体厚度按照技术协议执行，未明确标注的柜体厚度不小于2mm；柜内一、二次元件按照技术协议指定厂家选型；生产辅材及铜排采用国内优质品牌；端子采用菲尼克斯或凤凰牌，端子排额定电压不小于500V，额定电流不小于5A，具有隔板、线号和端子螺丝，每个端子排都应有编号，配置好端子标记条及每组端子的标记夹，电流端子额定电流不小于20A；端子预留20%备用端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柜内元件安装位置要求合理正确,低压柜（GGD/MNS/GCK等）内端子排接线考虑与附近元件保持一定安全距离，端子排考虑预留外部接引位置。柜下部接线端子距离地面高度不得小于300mm；所有元件及母线的安装要便于现场操作、维护、更换及外部电缆接引；如元器件距离带电体较近，必须加装绝缘防护板来隔离，保证操作人员安全。每面柜体要留有足够的外部一次、二次电缆接引的空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所有易触及的带电部位（汇流排、分支排、隔离开关、塑壳断路器、接触器等）需要在柜体前后加装透明绝缘板隔离，方便拆卸且不能影响功能元件的正常操作。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柜内所有线缆具有耐热、防潮、阻燃性能；二次配线要求整齐美观，符合相关国家规范及执行标准，内部接线排列整齐美观、清晰，用螺旋管绑扎成束，导线连接紧密，不伤线芯，不断股，一个端子只能接引一根线；禁止一个螺栓上固定多根导线。所有导线、尼龙扎带、防护板等均为B级阻燃型。所有线缆不允许中间对接。协议要求柜内要布置线槽的，要严格按照协议执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8、箱、柜所有门锁采用弹跳锁；门铰链采用金属镀铬，当门长大于1.2米时装设三个铰链，小于1.2米时装设两个铰链；柜门与门、门与壳体之间缝隙均匀，缝隙差小于1mm，缝长大于1米时，均匀差不大于1.5mm；大门要有防掉角措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柜子金属部分和电器金属外壳均应良好接地，接地线不允许串接，每条地线要从接地端子分别引至柜门箱门，并做固定卡固定地线。柜门的接地线应采用≥6mm2铜编织软线，外部套阻燃绝缘套管；柜内设置接地标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10、零排和地排的电流容量至少保证和相线母排一致，设置合理的压接螺栓，禁止一个螺栓上固定多根导线。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11、柜内进线、联络柜的分支母排规格与水平排规格保持一致。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12、柜间小隔板底部要封到底，只留出零排、地排过孔，其余全封闭。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13、电流回路铜芯绝缘软线不小于2.5mm2，电压回路不小于1.5mm2，一次线与二次线不能压接在同一端子上，二次端子不能用开口线鼻子压接。柜内所有一次线采用多股铜芯软线或带热缩套管的分支母线形式，二次线全部采用多股铜芯软线，额定绝缘电压1kV。</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14、母线材料选用高导电率T2铜排；采用螺栓连接时，接头处不应少于两个螺栓，所有连接螺母置于维护侧，螺栓强度为8.8级。</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15、N排和PE排出厂前预先钻孔，孔数及大小符合进出线回路使用，并应做好钻孔两面导体紧固处不被绝缘漆覆盖；所有水平母线、垂直母线、分支母线应有绝缘护套（加套热缩管，并按照国家标准颜色区分相序，粘贴相序标识），主母线、分支母线和母线连接部位加装绝缘盒，中性线采用与相线相同的绝缘等级，绝缘物的额定电压为1000V。</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16、所有铜母线要求镀锡或镀银，要求先加工再镀锡或镀银。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17、铜排含铜率≥99.9%。（提供第三方检测报告）。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18、所有母线夹采用PMJ型，材质为BMC型不饱和树脂，母线要加热缩套管，选择母线夹时要注意，大于等于4000A,母线夹安装支架采用不锈钢材质，安装螺钉为不锈钢；绝缘子采用SM系列绝缘子，材质为不饱和聚酯树脂玻璃纤维增强模压塑件，嵌件为铜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19、主母线额定短时耐受电流（方均根值）不小于4kA（1S）,主母线额定电流满足设计图纸要求。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20、架桥柜母线伸出柜顶200mm，ABCN均按此要求，同时加装整块绝缘板，防止涡流；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21、柜内所有螺栓均采用8.8级。配齐外部电缆接引螺栓、母线连接螺栓、并柜螺栓等所有现场安装所需要的螺栓。母线连接螺栓规格及数量严格按照国家相关标准选择。柜内螺栓紧固后要点漆标记。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22、进线柜、母联柜柜后加装透明绝缘板，保证后门开启后不能直接触碰到带电母线。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23、端柜大侧封板内母线位置加装绝缘板。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24、柜体底部设置电缆固定支架。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25、顶盖设计要注意保证现场正常并柜后防护等级不降低，要求柜与柜之间配合紧密。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26、所有柜体要保证强度，对于较重的元器件及母排，要由加固措施，防止运输过程变形；每面柜体要有独立包装，要求防雨，要防止运输过程碰撞、摩擦损坏柜体及门上元器件。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27、厂家至少派1名售后人员随柜体到现场配合交接验收，待运行送电无问题后方可离开。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28、随柜体附带纸质版资料5套（系统图、原理图、端子图、配置清单），电子版资料1套（要包含总装图、布置图、底部安装开孔图等）。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29、所有元器件合格证书、出厂试验报告等至少1套。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30、柜体包装带木质底托。散发柜体必须采用木质包装。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 xml:space="preserve">31、柜门内部粘贴一次图、原理图，要求过塑。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32、端子标记条在端子进出线两侧均要安装，标记条上号码为打印，不能手写，并且方向要跟端子安装方向一致。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33、对于柜外操作的隔离开关、负荷开关、断路器，要保证紧急解锁后可以开启柜门；如果上述开关是本柜的总开关，安装时要拆除连锁装置，保证总开关合闸时，能打开柜门操作其他回路，并告知我方技术人员确认后拆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34、所有导轨安装元件，两侧必须采用堵头固定。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35、门板所有接地螺钉处要有接地标识。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36、门锁钥匙、连锁钥匙、操作手柄、抽屉摇把等附件要集中单独包装放置，不能直接插在门上或绑在柜内外。</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37、随柜要配置一定数量的易损配件，如门把手、门锁等；配置与柜体颜色一致的自喷漆，便于剐蹭划伤恢复。因表计需要第三方检测机构检测，柜体出厂时在所有试验结束后将表计单独装箱并附各箱柜安装型号，待现场检测合格后回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38、本技术规格书为附生效条件的合同，以主合同的生效为前提条件，若投标单位不中标，本技术规格书自动失效。</w:t>
      </w:r>
    </w:p>
    <w:p>
      <w:pPr>
        <w:pStyle w:val="10"/>
        <w:rPr>
          <w:rFonts w:hint="eastAsia"/>
          <w:lang w:val="en-US" w:eastAsia="zh-CN"/>
        </w:rPr>
      </w:pPr>
    </w:p>
    <w:tbl>
      <w:tblPr>
        <w:tblStyle w:val="7"/>
        <w:tblW w:w="9069" w:type="dxa"/>
        <w:jc w:val="center"/>
        <w:tblLayout w:type="fixed"/>
        <w:tblCellMar>
          <w:top w:w="0" w:type="dxa"/>
          <w:left w:w="108" w:type="dxa"/>
          <w:bottom w:w="0" w:type="dxa"/>
          <w:right w:w="108" w:type="dxa"/>
        </w:tblCellMar>
      </w:tblPr>
      <w:tblGrid>
        <w:gridCol w:w="4733"/>
        <w:gridCol w:w="4336"/>
      </w:tblGrid>
      <w:tr>
        <w:tblPrEx>
          <w:tblCellMar>
            <w:top w:w="0" w:type="dxa"/>
            <w:left w:w="108" w:type="dxa"/>
            <w:bottom w:w="0" w:type="dxa"/>
            <w:right w:w="108" w:type="dxa"/>
          </w:tblCellMar>
        </w:tblPrEx>
        <w:trPr>
          <w:trHeight w:val="1179" w:hRule="atLeast"/>
          <w:jc w:val="center"/>
        </w:trPr>
        <w:tc>
          <w:tcPr>
            <w:tcW w:w="4733" w:type="dxa"/>
            <w:noWrap/>
            <w:vAlign w:val="center"/>
          </w:tcPr>
          <w:p>
            <w:pPr>
              <w:pStyle w:val="4"/>
              <w:pageBreakBefore w:val="0"/>
              <w:widowControl w:val="0"/>
              <w:tabs>
                <w:tab w:val="left" w:pos="525"/>
                <w:tab w:val="left" w:pos="987"/>
              </w:tabs>
              <w:kinsoku/>
              <w:wordWrap/>
              <w:autoSpaceDE/>
              <w:autoSpaceDN/>
              <w:bidi w:val="0"/>
              <w:adjustRightInd/>
              <w:snapToGrid w:val="0"/>
              <w:spacing w:line="440" w:lineRule="exac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需方</w:t>
            </w:r>
            <w:r>
              <w:rPr>
                <w:rFonts w:hint="eastAsia" w:ascii="仿宋" w:hAnsi="仿宋" w:eastAsia="仿宋" w:cs="仿宋"/>
                <w:color w:val="auto"/>
                <w:sz w:val="28"/>
                <w:szCs w:val="28"/>
                <w:highlight w:val="none"/>
              </w:rPr>
              <w:t>（盖章）</w:t>
            </w:r>
            <w:r>
              <w:rPr>
                <w:rFonts w:hint="eastAsia" w:ascii="仿宋" w:hAnsi="仿宋" w:eastAsia="仿宋" w:cs="仿宋"/>
                <w:b w:val="0"/>
                <w:bCs/>
                <w:sz w:val="28"/>
                <w:szCs w:val="28"/>
                <w:lang w:val="en-US" w:eastAsia="zh-CN"/>
              </w:rPr>
              <w:t>酒钢（集团）宏联自控有限责任公司</w:t>
            </w:r>
          </w:p>
        </w:tc>
        <w:tc>
          <w:tcPr>
            <w:tcW w:w="4336" w:type="dxa"/>
            <w:noWrap/>
            <w:vAlign w:val="center"/>
          </w:tcPr>
          <w:p>
            <w:pPr>
              <w:widowControl w:val="0"/>
              <w:wordWrap/>
              <w:topLinePunct w:val="0"/>
              <w:spacing w:afterLines="0" w:line="240" w:lineRule="auto"/>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供方</w:t>
            </w:r>
            <w:r>
              <w:rPr>
                <w:rFonts w:hint="eastAsia" w:ascii="仿宋" w:hAnsi="仿宋" w:eastAsia="仿宋" w:cs="仿宋"/>
                <w:color w:val="auto"/>
                <w:sz w:val="28"/>
                <w:szCs w:val="28"/>
                <w:highlight w:val="none"/>
              </w:rPr>
              <w:t>（盖章）：</w:t>
            </w:r>
          </w:p>
        </w:tc>
      </w:tr>
      <w:tr>
        <w:tblPrEx>
          <w:tblCellMar>
            <w:top w:w="0" w:type="dxa"/>
            <w:left w:w="108" w:type="dxa"/>
            <w:bottom w:w="0" w:type="dxa"/>
            <w:right w:w="108" w:type="dxa"/>
          </w:tblCellMar>
        </w:tblPrEx>
        <w:trPr>
          <w:trHeight w:val="913" w:hRule="atLeast"/>
          <w:jc w:val="center"/>
        </w:trPr>
        <w:tc>
          <w:tcPr>
            <w:tcW w:w="4733" w:type="dxa"/>
            <w:noWrap/>
            <w:vAlign w:val="center"/>
          </w:tcPr>
          <w:p>
            <w:pPr>
              <w:widowControl w:val="0"/>
              <w:wordWrap/>
              <w:topLinePunct w:val="0"/>
              <w:spacing w:afterLines="0" w:line="240" w:lineRule="auto"/>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委托代理人：</w:t>
            </w:r>
          </w:p>
        </w:tc>
        <w:tc>
          <w:tcPr>
            <w:tcW w:w="4336" w:type="dxa"/>
            <w:noWrap/>
            <w:vAlign w:val="center"/>
          </w:tcPr>
          <w:p>
            <w:pPr>
              <w:widowControl w:val="0"/>
              <w:wordWrap/>
              <w:topLinePunct w:val="0"/>
              <w:spacing w:afterLines="0" w:line="240" w:lineRule="auto"/>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委托代理人：</w:t>
            </w:r>
          </w:p>
        </w:tc>
      </w:tr>
      <w:tr>
        <w:tblPrEx>
          <w:tblCellMar>
            <w:top w:w="0" w:type="dxa"/>
            <w:left w:w="108" w:type="dxa"/>
            <w:bottom w:w="0" w:type="dxa"/>
            <w:right w:w="108" w:type="dxa"/>
          </w:tblCellMar>
        </w:tblPrEx>
        <w:trPr>
          <w:trHeight w:val="525" w:hRule="atLeast"/>
          <w:jc w:val="center"/>
        </w:trPr>
        <w:tc>
          <w:tcPr>
            <w:tcW w:w="4733" w:type="dxa"/>
            <w:noWrap/>
            <w:vAlign w:val="center"/>
          </w:tcPr>
          <w:p>
            <w:pPr>
              <w:widowControl w:val="0"/>
              <w:wordWrap/>
              <w:topLinePunct w:val="0"/>
              <w:spacing w:afterLines="0" w:line="240" w:lineRule="auto"/>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联系电话：</w:t>
            </w:r>
          </w:p>
        </w:tc>
        <w:tc>
          <w:tcPr>
            <w:tcW w:w="4336" w:type="dxa"/>
            <w:noWrap/>
            <w:vAlign w:val="center"/>
          </w:tcPr>
          <w:p>
            <w:pPr>
              <w:spacing w:afterLines="0" w:line="360" w:lineRule="exact"/>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w:t>
            </w:r>
            <w:r>
              <w:rPr>
                <w:rFonts w:hint="eastAsia" w:ascii="仿宋" w:hAnsi="仿宋" w:eastAsia="仿宋" w:cs="仿宋"/>
                <w:snapToGrid w:val="0"/>
                <w:color w:val="auto"/>
                <w:sz w:val="28"/>
                <w:szCs w:val="28"/>
                <w:highlight w:val="none"/>
              </w:rPr>
              <w:t xml:space="preserve">电话： </w:t>
            </w:r>
          </w:p>
        </w:tc>
      </w:tr>
    </w:tbl>
    <w:p>
      <w:pPr>
        <w:pStyle w:val="13"/>
        <w:spacing w:line="360" w:lineRule="auto"/>
        <w:ind w:firstLine="0" w:firstLineChars="0"/>
        <w:jc w:val="left"/>
        <w:rPr>
          <w:rFonts w:hint="eastAsia" w:ascii="宋体" w:hAnsi="宋体" w:eastAsia="宋体" w:cs="宋体"/>
          <w:color w:val="auto"/>
          <w:kern w:val="2"/>
          <w:sz w:val="24"/>
          <w:szCs w:val="24"/>
        </w:rPr>
      </w:pP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right" w:y="1"/>
      <w:tabs>
        <w:tab w:val="center" w:pos="4153"/>
        <w:tab w:val="right" w:pos="8306"/>
      </w:tabs>
    </w:pPr>
    <w:r>
      <w:fldChar w:fldCharType="begin"/>
    </w:r>
    <w:r>
      <w:instrText xml:space="preserve">PAGE  </w:instrText>
    </w:r>
    <w:r>
      <w:fldChar w:fldCharType="end"/>
    </w:r>
  </w:p>
  <w:p>
    <w:pPr>
      <w:tabs>
        <w:tab w:val="center" w:pos="4153"/>
        <w:tab w:val="right" w:pos="8306"/>
      </w:tabs>
      <w:ind w:right="360"/>
    </w:pPr>
  </w:p>
  <w:p>
    <w:pPr>
      <w:tabs>
        <w:tab w:val="center" w:pos="4153"/>
        <w:tab w:val="right" w:pos="830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jc w:val="center"/>
    </w:pPr>
  </w:p>
  <w:p>
    <w:pPr>
      <w:tabs>
        <w:tab w:val="center" w:pos="4153"/>
        <w:tab w:val="right" w:pos="83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781182"/>
    <w:multiLevelType w:val="singleLevel"/>
    <w:tmpl w:val="1278118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0YjM1N2M2ZGY1MzQwM2FkMTE1MDZmMzRiNDkwYTUifQ=="/>
  </w:docVars>
  <w:rsids>
    <w:rsidRoot w:val="1E8D4796"/>
    <w:rsid w:val="1E8D4796"/>
    <w:rsid w:val="35803A8F"/>
    <w:rsid w:val="36CA5B37"/>
    <w:rsid w:val="3F3F13AD"/>
    <w:rsid w:val="619B62FC"/>
    <w:rsid w:val="67E44DAC"/>
    <w:rsid w:val="7AC659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0"/>
    <w:pPr>
      <w:keepNext/>
      <w:keepLines/>
      <w:adjustRightInd/>
      <w:spacing w:before="260" w:after="260" w:line="360" w:lineRule="auto"/>
      <w:ind w:firstLine="420"/>
      <w:jc w:val="both"/>
      <w:textAlignment w:val="auto"/>
      <w:outlineLvl w:val="1"/>
    </w:pPr>
    <w:rPr>
      <w:rFonts w:ascii="宋体" w:hAnsi="宋体" w:eastAsia="宋体"/>
      <w:b/>
      <w:bCs/>
      <w:kern w:val="2"/>
      <w:sz w:val="30"/>
      <w:szCs w:val="30"/>
    </w:rPr>
  </w:style>
  <w:style w:type="paragraph" w:styleId="3">
    <w:name w:val="heading 3"/>
    <w:basedOn w:val="1"/>
    <w:next w:val="1"/>
    <w:qFormat/>
    <w:uiPriority w:val="0"/>
    <w:pPr>
      <w:keepNext/>
      <w:keepLines/>
      <w:spacing w:beforeLines="0" w:beforeAutospacing="0" w:afterLines="0" w:afterAutospacing="0" w:line="413" w:lineRule="auto"/>
      <w:outlineLvl w:val="2"/>
    </w:pPr>
    <w:rPr>
      <w:rFonts w:ascii="Times New Roman" w:hAnsi="Times New Roman" w:eastAsia="宋体"/>
      <w:b/>
      <w:sz w:val="32"/>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Body Text"/>
    <w:basedOn w:val="1"/>
    <w:next w:val="5"/>
    <w:qFormat/>
    <w:uiPriority w:val="0"/>
    <w:pPr>
      <w:spacing w:after="120" w:afterLines="0"/>
    </w:pPr>
    <w:rPr>
      <w:kern w:val="2"/>
      <w:sz w:val="21"/>
    </w:rPr>
  </w:style>
  <w:style w:type="paragraph" w:styleId="5">
    <w:name w:val="toc 2"/>
    <w:basedOn w:val="1"/>
    <w:next w:val="1"/>
    <w:qFormat/>
    <w:uiPriority w:val="0"/>
    <w:pPr>
      <w:ind w:left="420" w:leftChars="200"/>
    </w:pPr>
  </w:style>
  <w:style w:type="paragraph" w:styleId="6">
    <w:name w:val="header"/>
    <w:basedOn w:val="1"/>
    <w:qFormat/>
    <w:uiPriority w:val="0"/>
    <w:pPr>
      <w:pBdr>
        <w:bottom w:val="single" w:color="auto" w:sz="6" w:space="1"/>
      </w:pBdr>
      <w:tabs>
        <w:tab w:val="center" w:pos="4153"/>
        <w:tab w:val="right" w:pos="8306"/>
      </w:tabs>
      <w:snapToGrid w:val="0"/>
      <w:jc w:val="center"/>
    </w:pPr>
    <w:rPr>
      <w:kern w:val="2"/>
      <w:sz w:val="18"/>
      <w:szCs w:val="18"/>
    </w:rPr>
  </w:style>
  <w:style w:type="character" w:styleId="9">
    <w:name w:val="Strong"/>
    <w:basedOn w:val="8"/>
    <w:autoRedefine/>
    <w:qFormat/>
    <w:uiPriority w:val="0"/>
    <w:rPr>
      <w:b/>
    </w:rPr>
  </w:style>
  <w:style w:type="paragraph" w:customStyle="1" w:styleId="10">
    <w:name w:val="Default"/>
    <w:basedOn w:val="11"/>
    <w:next w:val="1"/>
    <w:qFormat/>
    <w:uiPriority w:val="0"/>
    <w:pPr>
      <w:widowControl w:val="0"/>
      <w:autoSpaceDE w:val="0"/>
      <w:autoSpaceDN w:val="0"/>
      <w:adjustRightInd w:val="0"/>
    </w:pPr>
    <w:rPr>
      <w:rFonts w:ascii="仿宋_GB2312" w:eastAsia="仿宋_GB2312" w:cs="仿宋_GB2312"/>
      <w:color w:val="000000"/>
      <w:sz w:val="24"/>
      <w:szCs w:val="24"/>
      <w:lang w:val="en-US" w:eastAsia="zh-CN" w:bidi="ar-SA"/>
    </w:rPr>
  </w:style>
  <w:style w:type="paragraph" w:customStyle="1" w:styleId="11">
    <w:name w:val="表格17"/>
    <w:qFormat/>
    <w:uiPriority w:val="0"/>
    <w:pPr>
      <w:widowControl w:val="0"/>
      <w:adjustRightInd w:val="0"/>
      <w:jc w:val="center"/>
    </w:pPr>
    <w:rPr>
      <w:rFonts w:ascii="Times New Roman" w:hAnsi="Times New Roman" w:eastAsia="宋体" w:cs="Times New Roman"/>
      <w:kern w:val="28"/>
      <w:sz w:val="28"/>
      <w:lang w:val="en-US" w:eastAsia="zh-CN" w:bidi="ar-SA"/>
    </w:rPr>
  </w:style>
  <w:style w:type="paragraph" w:customStyle="1" w:styleId="12">
    <w:name w:val="Body Text First Indent1"/>
    <w:basedOn w:val="4"/>
    <w:autoRedefine/>
    <w:qFormat/>
    <w:uiPriority w:val="0"/>
    <w:pPr>
      <w:ind w:firstLine="420" w:firstLineChars="100"/>
    </w:pPr>
  </w:style>
  <w:style w:type="paragraph" w:customStyle="1" w:styleId="13">
    <w:name w:val="段"/>
    <w:qFormat/>
    <w:uiPriority w:val="0"/>
    <w:pPr>
      <w:ind w:firstLine="200" w:firstLineChars="200"/>
      <w:jc w:val="both"/>
    </w:pPr>
    <w:rPr>
      <w:rFonts w:ascii="宋体" w:hAnsi="Times New Roman" w:eastAsia="宋体" w:cs="Times New Roman"/>
      <w:sz w:val="21"/>
      <w:lang w:val="en-US" w:eastAsia="zh-CN" w:bidi="ar-SA"/>
    </w:rPr>
  </w:style>
  <w:style w:type="character" w:customStyle="1" w:styleId="14">
    <w:name w:val="font11"/>
    <w:basedOn w:val="8"/>
    <w:qFormat/>
    <w:uiPriority w:val="0"/>
    <w:rPr>
      <w:rFonts w:hint="eastAsia" w:ascii="宋体" w:hAnsi="宋体" w:eastAsia="宋体" w:cs="宋体"/>
      <w:color w:val="0C0C0C"/>
      <w:sz w:val="22"/>
      <w:szCs w:val="22"/>
      <w:u w:val="none"/>
    </w:rPr>
  </w:style>
  <w:style w:type="character" w:customStyle="1" w:styleId="15">
    <w:name w:val="x41"/>
    <w:autoRedefine/>
    <w:qFormat/>
    <w:uiPriority w:val="0"/>
    <w:rPr>
      <w:color w:val="3C3C3C"/>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2023-12-06T09:55:00Z</dcterms:created>
  <dc:creator>风烟</dc:creator>
  <cp:lastModifiedBy>风烟</cp:lastModifiedBy>
  <dcterms:modified xsi:type="dcterms:W3CDTF">2024-01-18T09:40:47Z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DA9FACB437504F70A47CC289B316C656_11</vt:lpwstr>
  </property>
</Properties>
</file>