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小标宋简体" w:hAnsi="华文中宋" w:eastAsia="方正小标宋简体" w:cs="华文中宋"/>
          <w:sz w:val="36"/>
          <w:szCs w:val="36"/>
          <w:highlight w:val="none"/>
        </w:rPr>
      </w:pPr>
      <w:r>
        <w:rPr>
          <w:rFonts w:hint="eastAsia" w:ascii="方正小标宋简体" w:hAnsi="仿宋" w:eastAsia="方正小标宋简体" w:cs="仿宋"/>
          <w:sz w:val="36"/>
          <w:szCs w:val="36"/>
          <w:highlight w:val="none"/>
        </w:rPr>
        <w:t>清渣</w:t>
      </w:r>
      <w:r>
        <w:rPr>
          <w:rFonts w:hint="eastAsia" w:ascii="方正小标宋简体" w:hAnsi="华文中宋" w:eastAsia="方正小标宋简体" w:cs="华文中宋"/>
          <w:sz w:val="36"/>
          <w:szCs w:val="36"/>
          <w:highlight w:val="none"/>
        </w:rPr>
        <w:t>剂</w:t>
      </w:r>
      <w:r>
        <w:rPr>
          <w:rFonts w:hint="eastAsia" w:ascii="方正小标宋简体" w:hAnsi="仿宋" w:eastAsia="方正小标宋简体" w:cs="仿宋"/>
          <w:sz w:val="36"/>
          <w:szCs w:val="36"/>
          <w:highlight w:val="none"/>
        </w:rPr>
        <w:t>技术规格书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3" w:firstLineChars="200"/>
        <w:textAlignment w:val="auto"/>
        <w:rPr>
          <w:rFonts w:hint="eastAsia" w:ascii="仿宋_GB2312" w:hAnsi="华文仿宋" w:eastAsia="仿宋_GB2312" w:cs="华文仿宋"/>
          <w:b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/>
          <w:kern w:val="0"/>
          <w:sz w:val="32"/>
          <w:szCs w:val="32"/>
          <w:highlight w:val="none"/>
        </w:rPr>
        <w:t>1 适用范围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本标准规定了铝及铝合金溶剂的要求、试验方法、检验规则、标准、包装、运输、储存及合同内容等。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本标准适用于公司采购的清渣剂的检验与验收。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3" w:firstLineChars="200"/>
        <w:textAlignment w:val="auto"/>
        <w:rPr>
          <w:rFonts w:hint="eastAsia" w:ascii="仿宋_GB2312" w:hAnsi="华文仿宋" w:eastAsia="仿宋_GB2312" w:cs="华文仿宋"/>
          <w:b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/>
          <w:kern w:val="0"/>
          <w:sz w:val="32"/>
          <w:szCs w:val="32"/>
          <w:highlight w:val="none"/>
        </w:rPr>
        <w:t>2 规范性引用文件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下列文件中的条款通过本标准的引用而成为本标准的条款。凡是注明日期的引用文件，仅注日期的版本适用于本文件。凡是不注日期的引用文件，其最新版本适用于本文件。</w:t>
      </w:r>
    </w:p>
    <w:p>
      <w:pPr>
        <w:keepNext w:val="0"/>
        <w:keepLines w:val="0"/>
        <w:pageBreakBefore w:val="0"/>
        <w:widowControl w:val="0"/>
        <w:tabs>
          <w:tab w:val="left" w:pos="8085"/>
          <w:tab w:val="left" w:pos="8220"/>
          <w:tab w:val="left" w:pos="9345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YS/T 491-2020 铝及铝合金用溶剂。</w:t>
      </w:r>
    </w:p>
    <w:p>
      <w:pPr>
        <w:keepNext w:val="0"/>
        <w:keepLines w:val="0"/>
        <w:pageBreakBefore w:val="0"/>
        <w:widowControl w:val="0"/>
        <w:tabs>
          <w:tab w:val="left" w:pos="8085"/>
          <w:tab w:val="left" w:pos="8220"/>
          <w:tab w:val="left" w:pos="9345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GB/T 3199-2007 铝及铝合金加工产品、包装、标志、运输、贮存。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3" w:firstLineChars="200"/>
        <w:textAlignment w:val="auto"/>
        <w:rPr>
          <w:rFonts w:hint="eastAsia" w:ascii="仿宋_GB2312" w:hAnsi="华文仿宋" w:eastAsia="仿宋_GB2312" w:cs="华文仿宋"/>
          <w:b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/>
          <w:kern w:val="0"/>
          <w:sz w:val="32"/>
          <w:szCs w:val="32"/>
          <w:highlight w:val="none"/>
        </w:rPr>
        <w:t>3 技术要求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3.1 技术指标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添加剂的主要化学成分应符合下表规定：</w:t>
      </w:r>
    </w:p>
    <w:tbl>
      <w:tblPr>
        <w:tblStyle w:val="4"/>
        <w:tblpPr w:leftFromText="180" w:rightFromText="180" w:vertAnchor="text" w:horzAnchor="page" w:tblpXSpec="center" w:tblpY="62"/>
        <w:tblOverlap w:val="never"/>
        <w:tblW w:w="9214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10"/>
        <w:gridCol w:w="850"/>
        <w:gridCol w:w="1038"/>
        <w:gridCol w:w="956"/>
        <w:gridCol w:w="1040"/>
        <w:gridCol w:w="859"/>
        <w:gridCol w:w="973"/>
        <w:gridCol w:w="108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  <w:jc w:val="center"/>
        </w:trPr>
        <w:tc>
          <w:tcPr>
            <w:tcW w:w="2410" w:type="dxa"/>
            <w:vAlign w:val="center"/>
          </w:tcPr>
          <w:p>
            <w:pPr>
              <w:adjustRightInd w:val="0"/>
              <w:snapToGrid w:val="0"/>
              <w:spacing w:line="600" w:lineRule="exact"/>
              <w:jc w:val="center"/>
              <w:rPr>
                <w:rFonts w:hint="eastAsia" w:ascii="仿宋_GB2312" w:hAnsi="华文仿宋" w:eastAsia="仿宋_GB2312" w:cs="华文仿宋"/>
                <w:kern w:val="0"/>
                <w:sz w:val="24"/>
                <w:highlight w:val="none"/>
              </w:rPr>
            </w:pPr>
            <w:r>
              <w:rPr>
                <w:rFonts w:hint="eastAsia" w:ascii="仿宋_GB2312" w:hAnsi="华文仿宋" w:eastAsia="仿宋_GB2312" w:cs="华文仿宋"/>
                <w:kern w:val="0"/>
                <w:sz w:val="24"/>
                <w:highlight w:val="none"/>
              </w:rPr>
              <w:t>配方化学成分（%）</w:t>
            </w:r>
          </w:p>
        </w:tc>
        <w:tc>
          <w:tcPr>
            <w:tcW w:w="850" w:type="dxa"/>
            <w:vAlign w:val="center"/>
          </w:tcPr>
          <w:p>
            <w:pPr>
              <w:adjustRightInd w:val="0"/>
              <w:snapToGrid w:val="0"/>
              <w:spacing w:line="600" w:lineRule="exact"/>
              <w:jc w:val="center"/>
              <w:rPr>
                <w:rFonts w:hint="eastAsia" w:ascii="仿宋_GB2312" w:hAnsi="华文仿宋" w:eastAsia="仿宋_GB2312" w:cs="华文仿宋"/>
                <w:kern w:val="0"/>
                <w:sz w:val="24"/>
                <w:highlight w:val="none"/>
              </w:rPr>
            </w:pPr>
            <w:r>
              <w:rPr>
                <w:rFonts w:hint="eastAsia" w:ascii="仿宋_GB2312" w:hAnsi="华文仿宋" w:eastAsia="仿宋_GB2312" w:cs="华文仿宋"/>
                <w:kern w:val="0"/>
                <w:sz w:val="24"/>
                <w:highlight w:val="none"/>
              </w:rPr>
              <w:t>K</w:t>
            </w:r>
          </w:p>
        </w:tc>
        <w:tc>
          <w:tcPr>
            <w:tcW w:w="1038" w:type="dxa"/>
            <w:vAlign w:val="center"/>
          </w:tcPr>
          <w:p>
            <w:pPr>
              <w:adjustRightInd w:val="0"/>
              <w:snapToGrid w:val="0"/>
              <w:spacing w:line="600" w:lineRule="exact"/>
              <w:jc w:val="center"/>
              <w:rPr>
                <w:rFonts w:hint="eastAsia" w:ascii="仿宋_GB2312" w:hAnsi="华文仿宋" w:eastAsia="仿宋_GB2312" w:cs="华文仿宋"/>
                <w:kern w:val="0"/>
                <w:sz w:val="24"/>
                <w:highlight w:val="none"/>
              </w:rPr>
            </w:pPr>
            <w:r>
              <w:rPr>
                <w:rFonts w:hint="eastAsia" w:ascii="仿宋_GB2312" w:hAnsi="华文仿宋" w:eastAsia="仿宋_GB2312" w:cs="华文仿宋"/>
                <w:kern w:val="0"/>
                <w:sz w:val="24"/>
                <w:highlight w:val="none"/>
              </w:rPr>
              <w:t>C</w:t>
            </w:r>
          </w:p>
        </w:tc>
        <w:tc>
          <w:tcPr>
            <w:tcW w:w="956" w:type="dxa"/>
            <w:vAlign w:val="center"/>
          </w:tcPr>
          <w:p>
            <w:pPr>
              <w:adjustRightInd w:val="0"/>
              <w:snapToGrid w:val="0"/>
              <w:spacing w:line="600" w:lineRule="exact"/>
              <w:jc w:val="center"/>
              <w:rPr>
                <w:rFonts w:hint="eastAsia" w:ascii="仿宋_GB2312" w:hAnsi="华文仿宋" w:eastAsia="仿宋_GB2312" w:cs="华文仿宋"/>
                <w:kern w:val="0"/>
                <w:sz w:val="24"/>
                <w:highlight w:val="none"/>
              </w:rPr>
            </w:pPr>
            <w:r>
              <w:rPr>
                <w:rFonts w:hint="eastAsia" w:ascii="仿宋_GB2312" w:hAnsi="华文仿宋" w:eastAsia="仿宋_GB2312" w:cs="华文仿宋"/>
                <w:kern w:val="0"/>
                <w:sz w:val="24"/>
                <w:highlight w:val="none"/>
              </w:rPr>
              <w:t>Si</w:t>
            </w:r>
          </w:p>
        </w:tc>
        <w:tc>
          <w:tcPr>
            <w:tcW w:w="1040" w:type="dxa"/>
            <w:vAlign w:val="center"/>
          </w:tcPr>
          <w:p>
            <w:pPr>
              <w:adjustRightInd w:val="0"/>
              <w:snapToGrid w:val="0"/>
              <w:spacing w:line="600" w:lineRule="exact"/>
              <w:jc w:val="center"/>
              <w:rPr>
                <w:rFonts w:hint="eastAsia" w:ascii="仿宋_GB2312" w:hAnsi="华文仿宋" w:eastAsia="仿宋_GB2312" w:cs="华文仿宋"/>
                <w:kern w:val="0"/>
                <w:sz w:val="24"/>
                <w:highlight w:val="none"/>
              </w:rPr>
            </w:pPr>
            <w:r>
              <w:rPr>
                <w:rFonts w:hint="eastAsia" w:ascii="仿宋_GB2312" w:hAnsi="华文仿宋" w:eastAsia="仿宋_GB2312" w:cs="华文仿宋"/>
                <w:kern w:val="0"/>
                <w:sz w:val="24"/>
                <w:highlight w:val="none"/>
              </w:rPr>
              <w:t>Cl</w:t>
            </w:r>
          </w:p>
        </w:tc>
        <w:tc>
          <w:tcPr>
            <w:tcW w:w="859" w:type="dxa"/>
            <w:vAlign w:val="center"/>
          </w:tcPr>
          <w:p>
            <w:pPr>
              <w:adjustRightInd w:val="0"/>
              <w:snapToGrid w:val="0"/>
              <w:spacing w:line="600" w:lineRule="exact"/>
              <w:jc w:val="center"/>
              <w:rPr>
                <w:rFonts w:hint="eastAsia" w:ascii="仿宋_GB2312" w:hAnsi="华文仿宋" w:eastAsia="仿宋_GB2312" w:cs="华文仿宋"/>
                <w:kern w:val="0"/>
                <w:sz w:val="24"/>
                <w:highlight w:val="none"/>
              </w:rPr>
            </w:pPr>
            <w:r>
              <w:rPr>
                <w:rFonts w:hint="eastAsia" w:ascii="仿宋_GB2312" w:hAnsi="华文仿宋" w:eastAsia="仿宋_GB2312" w:cs="华文仿宋"/>
                <w:kern w:val="0"/>
                <w:sz w:val="24"/>
                <w:highlight w:val="none"/>
              </w:rPr>
              <w:t>F</w:t>
            </w:r>
          </w:p>
        </w:tc>
        <w:tc>
          <w:tcPr>
            <w:tcW w:w="973" w:type="dxa"/>
            <w:vAlign w:val="center"/>
          </w:tcPr>
          <w:p>
            <w:pPr>
              <w:adjustRightInd w:val="0"/>
              <w:snapToGrid w:val="0"/>
              <w:spacing w:line="600" w:lineRule="exact"/>
              <w:jc w:val="center"/>
              <w:rPr>
                <w:rFonts w:hint="eastAsia" w:ascii="仿宋_GB2312" w:hAnsi="华文仿宋" w:eastAsia="仿宋_GB2312" w:cs="华文仿宋"/>
                <w:kern w:val="0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_GB2312" w:hAnsi="华文仿宋" w:eastAsia="仿宋_GB2312" w:cs="华文仿宋"/>
                <w:kern w:val="0"/>
                <w:sz w:val="24"/>
                <w:highlight w:val="none"/>
              </w:rPr>
              <w:t>A</w:t>
            </w:r>
            <w:r>
              <w:rPr>
                <w:rFonts w:hint="eastAsia" w:ascii="仿宋_GB2312" w:hAnsi="华文仿宋" w:eastAsia="仿宋_GB2312" w:cs="华文仿宋"/>
                <w:kern w:val="0"/>
                <w:sz w:val="24"/>
                <w:highlight w:val="none"/>
                <w:lang w:val="en-US" w:eastAsia="zh-CN"/>
              </w:rPr>
              <w:t>l</w:t>
            </w:r>
          </w:p>
        </w:tc>
        <w:tc>
          <w:tcPr>
            <w:tcW w:w="1088" w:type="dxa"/>
            <w:vAlign w:val="center"/>
          </w:tcPr>
          <w:p>
            <w:pPr>
              <w:adjustRightInd w:val="0"/>
              <w:snapToGrid w:val="0"/>
              <w:spacing w:line="600" w:lineRule="exact"/>
              <w:jc w:val="center"/>
              <w:rPr>
                <w:rFonts w:hint="eastAsia" w:ascii="仿宋_GB2312" w:hAnsi="华文仿宋" w:eastAsia="仿宋_GB2312" w:cs="华文仿宋"/>
                <w:kern w:val="0"/>
                <w:sz w:val="24"/>
                <w:highlight w:val="none"/>
              </w:rPr>
            </w:pPr>
            <w:r>
              <w:rPr>
                <w:rFonts w:hint="eastAsia" w:ascii="仿宋_GB2312" w:hAnsi="华文仿宋" w:eastAsia="仿宋_GB2312" w:cs="华文仿宋"/>
                <w:kern w:val="0"/>
                <w:sz w:val="24"/>
                <w:highlight w:val="none"/>
              </w:rPr>
              <w:t>Na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" w:hRule="atLeast"/>
          <w:jc w:val="center"/>
        </w:trPr>
        <w:tc>
          <w:tcPr>
            <w:tcW w:w="2410" w:type="dxa"/>
            <w:vAlign w:val="center"/>
          </w:tcPr>
          <w:p>
            <w:pPr>
              <w:adjustRightInd w:val="0"/>
              <w:snapToGrid w:val="0"/>
              <w:spacing w:line="600" w:lineRule="exact"/>
              <w:jc w:val="center"/>
              <w:rPr>
                <w:rFonts w:hint="eastAsia" w:ascii="仿宋_GB2312" w:hAnsi="华文仿宋" w:eastAsia="仿宋_GB2312" w:cs="华文仿宋"/>
                <w:kern w:val="0"/>
                <w:sz w:val="24"/>
                <w:highlight w:val="none"/>
              </w:rPr>
            </w:pPr>
            <w:r>
              <w:rPr>
                <w:rFonts w:hint="eastAsia" w:ascii="仿宋_GB2312" w:hAnsi="华文仿宋" w:eastAsia="仿宋_GB2312" w:cs="华文仿宋"/>
                <w:kern w:val="0"/>
                <w:sz w:val="24"/>
                <w:highlight w:val="none"/>
              </w:rPr>
              <w:t>成分范围</w:t>
            </w:r>
          </w:p>
        </w:tc>
        <w:tc>
          <w:tcPr>
            <w:tcW w:w="850" w:type="dxa"/>
            <w:vAlign w:val="center"/>
          </w:tcPr>
          <w:p>
            <w:pPr>
              <w:tabs>
                <w:tab w:val="left" w:pos="372"/>
              </w:tabs>
              <w:adjustRightInd w:val="0"/>
              <w:snapToGrid w:val="0"/>
              <w:spacing w:line="600" w:lineRule="exact"/>
              <w:jc w:val="center"/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</w:rPr>
            </w:pPr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</w:rPr>
              <w:t>≤</w:t>
            </w:r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  <w:lang w:val="en-US" w:eastAsia="zh-CN"/>
              </w:rPr>
              <w:t>0.5</w:t>
            </w:r>
          </w:p>
        </w:tc>
        <w:tc>
          <w:tcPr>
            <w:tcW w:w="1038" w:type="dxa"/>
            <w:vAlign w:val="center"/>
          </w:tcPr>
          <w:p>
            <w:pPr>
              <w:tabs>
                <w:tab w:val="left" w:pos="372"/>
              </w:tabs>
              <w:adjustRightInd w:val="0"/>
              <w:snapToGrid w:val="0"/>
              <w:spacing w:line="600" w:lineRule="exact"/>
              <w:jc w:val="center"/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</w:rPr>
            </w:pPr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</w:rPr>
              <w:t>≤</w:t>
            </w:r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  <w:lang w:val="en-US" w:eastAsia="zh-CN"/>
              </w:rPr>
              <w:t>0.5</w:t>
            </w:r>
          </w:p>
        </w:tc>
        <w:tc>
          <w:tcPr>
            <w:tcW w:w="956" w:type="dxa"/>
            <w:vAlign w:val="center"/>
          </w:tcPr>
          <w:p>
            <w:pPr>
              <w:tabs>
                <w:tab w:val="left" w:pos="372"/>
              </w:tabs>
              <w:adjustRightInd w:val="0"/>
              <w:snapToGrid w:val="0"/>
              <w:spacing w:line="600" w:lineRule="exact"/>
              <w:jc w:val="center"/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</w:rPr>
            </w:pPr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</w:rPr>
              <w:t>≤</w:t>
            </w:r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  <w:lang w:val="en-US" w:eastAsia="zh-CN"/>
              </w:rPr>
              <w:t>3</w:t>
            </w:r>
          </w:p>
        </w:tc>
        <w:tc>
          <w:tcPr>
            <w:tcW w:w="1040" w:type="dxa"/>
            <w:vAlign w:val="center"/>
          </w:tcPr>
          <w:p>
            <w:pPr>
              <w:tabs>
                <w:tab w:val="left" w:pos="372"/>
              </w:tabs>
              <w:adjustRightInd w:val="0"/>
              <w:snapToGrid w:val="0"/>
              <w:spacing w:line="600" w:lineRule="exact"/>
              <w:jc w:val="center"/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</w:rPr>
            </w:pPr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</w:rPr>
              <w:t>5-15</w:t>
            </w:r>
          </w:p>
        </w:tc>
        <w:tc>
          <w:tcPr>
            <w:tcW w:w="859" w:type="dxa"/>
            <w:vAlign w:val="center"/>
          </w:tcPr>
          <w:p>
            <w:pPr>
              <w:tabs>
                <w:tab w:val="left" w:pos="372"/>
              </w:tabs>
              <w:adjustRightInd w:val="0"/>
              <w:snapToGrid w:val="0"/>
              <w:spacing w:line="600" w:lineRule="exact"/>
              <w:jc w:val="center"/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</w:rPr>
            </w:pPr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</w:rPr>
              <w:t>5-1</w:t>
            </w:r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  <w:lang w:val="en-US" w:eastAsia="zh-CN"/>
              </w:rPr>
              <w:t>5</w:t>
            </w:r>
          </w:p>
        </w:tc>
        <w:tc>
          <w:tcPr>
            <w:tcW w:w="973" w:type="dxa"/>
            <w:vAlign w:val="center"/>
          </w:tcPr>
          <w:p>
            <w:pPr>
              <w:tabs>
                <w:tab w:val="left" w:pos="372"/>
              </w:tabs>
              <w:adjustRightInd w:val="0"/>
              <w:snapToGrid w:val="0"/>
              <w:spacing w:line="600" w:lineRule="exact"/>
              <w:jc w:val="center"/>
              <w:rPr>
                <w:rFonts w:hint="default" w:ascii="仿宋_GB2312" w:hAnsi="仿宋" w:eastAsia="仿宋_GB2312" w:cs="仿宋"/>
                <w:kern w:val="0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</w:rPr>
              <w:t>≤1</w:t>
            </w:r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  <w:lang w:val="en-US" w:eastAsia="zh-CN"/>
              </w:rPr>
              <w:t>.0</w:t>
            </w:r>
          </w:p>
        </w:tc>
        <w:tc>
          <w:tcPr>
            <w:tcW w:w="1088" w:type="dxa"/>
            <w:vAlign w:val="center"/>
          </w:tcPr>
          <w:p>
            <w:pPr>
              <w:tabs>
                <w:tab w:val="left" w:pos="372"/>
              </w:tabs>
              <w:adjustRightInd w:val="0"/>
              <w:snapToGrid w:val="0"/>
              <w:spacing w:line="600" w:lineRule="exact"/>
              <w:jc w:val="center"/>
              <w:rPr>
                <w:rFonts w:hint="default" w:ascii="仿宋_GB2312" w:hAnsi="仿宋" w:eastAsia="仿宋_GB2312" w:cs="仿宋"/>
                <w:kern w:val="0"/>
                <w:sz w:val="24"/>
                <w:highlight w:val="none"/>
                <w:lang w:val="en-US"/>
              </w:rPr>
            </w:pPr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  <w:lang w:val="en-US" w:eastAsia="zh-CN"/>
              </w:rPr>
              <w:t>25</w:t>
            </w:r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</w:rPr>
              <w:t>-</w:t>
            </w:r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  <w:lang w:val="en-US" w:eastAsia="zh-CN"/>
              </w:rPr>
              <w:t>40</w:t>
            </w:r>
          </w:p>
        </w:tc>
      </w:tr>
    </w:tbl>
    <w:p>
      <w:pPr>
        <w:keepNext w:val="0"/>
        <w:keepLines w:val="0"/>
        <w:pageBreakBefore w:val="0"/>
        <w:tabs>
          <w:tab w:val="left" w:pos="5685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3.2 水含量</w:t>
      </w:r>
    </w:p>
    <w:p>
      <w:pPr>
        <w:keepNext w:val="0"/>
        <w:keepLines w:val="0"/>
        <w:pageBreakBefore w:val="0"/>
        <w:tabs>
          <w:tab w:val="left" w:pos="5685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溶剂水含量要求≤4%。</w:t>
      </w:r>
    </w:p>
    <w:p>
      <w:pPr>
        <w:keepNext w:val="0"/>
        <w:keepLines w:val="0"/>
        <w:pageBreakBefore w:val="0"/>
        <w:tabs>
          <w:tab w:val="left" w:pos="5685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熔点：≤670</w:t>
      </w:r>
      <w:r>
        <w:rPr>
          <w:rFonts w:hint="eastAsia" w:ascii="仿宋_GB2312" w:hAnsi="华文仿宋" w:eastAsia="仿宋_GB2312" w:cs="华文仿宋"/>
          <w:bCs/>
          <w:kern w:val="0"/>
          <w:sz w:val="32"/>
          <w:szCs w:val="32"/>
          <w:highlight w:val="none"/>
        </w:rPr>
        <w:t>℃。</w:t>
      </w:r>
    </w:p>
    <w:p>
      <w:pPr>
        <w:keepNext w:val="0"/>
        <w:keepLines w:val="0"/>
        <w:pageBreakBefore w:val="0"/>
        <w:tabs>
          <w:tab w:val="left" w:pos="5685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3.3溶剂的外形要求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用于打渣、精炼的溶剂，为粉末状。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color w:val="000000"/>
          <w:kern w:val="0"/>
          <w:sz w:val="32"/>
          <w:szCs w:val="32"/>
          <w:highlight w:val="none"/>
        </w:rPr>
        <w:t>熔剂的粒度要求:</w:t>
      </w: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粒度-14目</w:t>
      </w: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  <w:lang w:val="en-US" w:eastAsia="zh-CN"/>
        </w:rPr>
        <w:t>≥98</w:t>
      </w: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%。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3.4其他技术要求</w:t>
      </w:r>
    </w:p>
    <w:p>
      <w:pPr>
        <w:keepNext w:val="0"/>
        <w:keepLines w:val="0"/>
        <w:pageBreakBefore w:val="0"/>
        <w:tabs>
          <w:tab w:val="left" w:pos="5685"/>
        </w:tabs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3.4.1</w:t>
      </w:r>
      <w:r>
        <w:rPr>
          <w:rFonts w:hint="eastAsia" w:ascii="仿宋_GB2312" w:hAnsi="华文仿宋" w:eastAsia="仿宋_GB2312" w:cs="华文仿宋"/>
          <w:bCs/>
          <w:color w:val="000000"/>
          <w:kern w:val="0"/>
          <w:sz w:val="32"/>
          <w:szCs w:val="32"/>
          <w:highlight w:val="none"/>
        </w:rPr>
        <w:t>粒度均匀性≥</w:t>
      </w:r>
      <w:r>
        <w:rPr>
          <w:rFonts w:hint="eastAsia" w:ascii="仿宋_GB2312" w:hAnsi="华文仿宋" w:eastAsia="仿宋_GB2312" w:cs="华文仿宋"/>
          <w:bCs/>
          <w:kern w:val="0"/>
          <w:sz w:val="32"/>
          <w:szCs w:val="32"/>
          <w:highlight w:val="none"/>
        </w:rPr>
        <w:t>95%</w:t>
      </w:r>
      <w:r>
        <w:rPr>
          <w:rFonts w:hint="eastAsia" w:ascii="仿宋_GB2312" w:hAnsi="华文仿宋" w:eastAsia="仿宋_GB2312" w:cs="华文仿宋"/>
          <w:bCs/>
          <w:color w:val="000000"/>
          <w:kern w:val="0"/>
          <w:sz w:val="32"/>
          <w:szCs w:val="32"/>
          <w:highlight w:val="none"/>
        </w:rPr>
        <w:t>；熔剂的粒度测量及筛网尺寸按</w:t>
      </w: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YS/T 491-2020铝及铝合金用溶剂</w:t>
      </w:r>
      <w:r>
        <w:rPr>
          <w:rFonts w:hint="eastAsia" w:ascii="仿宋_GB2312" w:hAnsi="华文仿宋" w:eastAsia="仿宋_GB2312" w:cs="华文仿宋"/>
          <w:bCs/>
          <w:color w:val="000000"/>
          <w:kern w:val="0"/>
          <w:sz w:val="32"/>
          <w:szCs w:val="32"/>
          <w:highlight w:val="none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3.4.2</w:t>
      </w:r>
      <w:r>
        <w:rPr>
          <w:rFonts w:hint="eastAsia" w:ascii="仿宋_GB2312" w:hAnsi="华文仿宋" w:eastAsia="仿宋_GB2312" w:cs="华文仿宋"/>
          <w:bCs/>
          <w:kern w:val="0"/>
          <w:sz w:val="32"/>
          <w:szCs w:val="32"/>
          <w:highlight w:val="none"/>
        </w:rPr>
        <w:t>清渣剂</w:t>
      </w:r>
      <w:r>
        <w:rPr>
          <w:rFonts w:hint="eastAsia" w:ascii="仿宋_GB2312" w:hAnsi="华文仿宋" w:eastAsia="仿宋_GB2312" w:cs="华文仿宋"/>
          <w:bCs/>
          <w:color w:val="000000"/>
          <w:kern w:val="0"/>
          <w:sz w:val="32"/>
          <w:szCs w:val="32"/>
          <w:highlight w:val="none"/>
        </w:rPr>
        <w:t>熔点≤700℃</w:t>
      </w: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3.4.3清渣剂必须满足生产牌号为6063、6005、6061、6082、3003、7003、A356的合金产品，保证铝渣分离效果</w:t>
      </w: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  <w:lang w:val="en-US" w:eastAsia="zh-CN"/>
        </w:rPr>
        <w:t>的前提下，</w:t>
      </w: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清渣剂用量</w:t>
      </w: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  <w:lang w:val="en-US" w:eastAsia="zh-CN"/>
        </w:rPr>
        <w:t>每锅</w:t>
      </w: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≤</w:t>
      </w: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  <w:lang w:val="en-US" w:eastAsia="zh-CN"/>
        </w:rPr>
        <w:t>5</w:t>
      </w: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kg。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3.4.</w:t>
      </w: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  <w:lang w:val="en-US" w:eastAsia="zh-CN"/>
        </w:rPr>
        <w:t>4</w:t>
      </w: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供应商熔剂进行使用时，依据清渣时烟气量、熔体含氢量、铝渣分离效果以及烧损综合评价性价比。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3" w:firstLineChars="200"/>
        <w:textAlignment w:val="auto"/>
        <w:rPr>
          <w:rFonts w:hint="eastAsia" w:ascii="仿宋_GB2312" w:hAnsi="华文仿宋" w:eastAsia="仿宋_GB2312" w:cs="华文仿宋"/>
          <w:b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/>
          <w:kern w:val="0"/>
          <w:sz w:val="32"/>
          <w:szCs w:val="32"/>
          <w:highlight w:val="none"/>
        </w:rPr>
        <w:t>4 检验方法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4.1 化学分析方法按供需双方商定的办法进行检验。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4.2 水含量检测方法及结果表示计算按YS/T 491-2020中内容执行。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  <w:t>4.3外形尺寸检验方法用筛网进行检验。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3" w:firstLineChars="200"/>
        <w:textAlignment w:val="auto"/>
        <w:rPr>
          <w:rFonts w:hint="eastAsia" w:ascii="仿宋_GB2312" w:hAnsi="华文仿宋" w:eastAsia="仿宋_GB2312" w:cs="华文仿宋"/>
          <w:b/>
          <w:kern w:val="0"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/>
          <w:kern w:val="0"/>
          <w:sz w:val="32"/>
          <w:szCs w:val="32"/>
          <w:highlight w:val="none"/>
        </w:rPr>
        <w:t>5检验规则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5.1检查和验收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5.1.1所有熔炼用熔剂进厂必须附有产品合格证和产品质量证明书，否则仓库要拒收。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5.1.2熔剂应成批供货，每批应由同一成分、同一种类、同一形状产品组成。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5.1.3仓库要检查所有材料的包装，要求包装完好，如果发现包装破损，要通知进行确认是否影响使用。熔剂不允许存在肉眼可见的异物或结块，如果有此类现象存在，判该批不合格，做退货处理。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5.1.4原料进厂后，生产运行室在办入库之前，通知技术质量室对来料进行取样化验。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5.1.5进厂的熔炼用熔剂每批都要检验，同一批随机选，任取一包装袋，从中部至少取100克或一块熔剂，送</w:t>
      </w: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  <w:lang w:val="en-US" w:eastAsia="zh-CN"/>
        </w:rPr>
        <w:t>技术质量部门</w:t>
      </w: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进行检测。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5.1.6每批熔炼用熔剂均应进行外观质量、水分、粒度及氯含量的检测。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5.1.7检验结果与本标准及订货合同的规定不符时，应以书面形式向供方提出，由供需双方协商解决。如需仲裁，供需双方应在需方共同进行仲裁取样。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5.1.8 产品应有供货商进行检验，保证产品质量符合技术要求及采购合同约定的规定，并填写质量证明书及产品责任书；因供货产品质量问题、不符合技术要求造成我方损失均由产品供货商承担。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08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spacing w:val="-8"/>
          <w:sz w:val="32"/>
          <w:szCs w:val="32"/>
          <w:highlight w:val="none"/>
        </w:rPr>
        <w:t>5.1.9 产品成分未达到技术约定要求和超出技术约定，实际使用效果未达到试用产品效果的，按</w:t>
      </w:r>
      <w:r>
        <w:rPr>
          <w:rFonts w:hint="eastAsia" w:ascii="仿宋_GB2312" w:hAnsi="华文仿宋" w:eastAsia="仿宋_GB2312" w:cs="华文仿宋"/>
          <w:spacing w:val="-11"/>
          <w:sz w:val="32"/>
          <w:szCs w:val="32"/>
          <w:highlight w:val="none"/>
        </w:rPr>
        <w:t>退货或换货</w:t>
      </w:r>
      <w:r>
        <w:rPr>
          <w:rFonts w:hint="eastAsia" w:ascii="仿宋_GB2312" w:hAnsi="华文仿宋" w:eastAsia="仿宋_GB2312" w:cs="华文仿宋"/>
          <w:spacing w:val="-8"/>
          <w:sz w:val="32"/>
          <w:szCs w:val="32"/>
          <w:highlight w:val="none"/>
        </w:rPr>
        <w:t>方式处理。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3" w:firstLineChars="200"/>
        <w:textAlignment w:val="auto"/>
        <w:rPr>
          <w:rFonts w:hint="eastAsia" w:ascii="仿宋_GB2312" w:hAnsi="华文仿宋" w:eastAsia="仿宋_GB2312" w:cs="华文仿宋"/>
          <w:b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/>
          <w:sz w:val="32"/>
          <w:szCs w:val="32"/>
          <w:highlight w:val="none"/>
        </w:rPr>
        <w:t>6包装、标志、运输、贮存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6.1包装</w:t>
      </w:r>
    </w:p>
    <w:p>
      <w:pPr>
        <w:keepNext w:val="0"/>
        <w:keepLines w:val="0"/>
        <w:pageBreakBefore w:val="0"/>
        <w:tabs>
          <w:tab w:val="left" w:pos="5685"/>
        </w:tabs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熔剂用塑料袋包装，规格：5kg一小包，2</w:t>
      </w: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  <w:lang w:val="en-US" w:eastAsia="zh-CN"/>
        </w:rPr>
        <w:t>0</w:t>
      </w: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kg一大包，最终装入箱内或</w:t>
      </w: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  <w:lang w:val="en-US" w:eastAsia="zh-CN"/>
        </w:rPr>
        <w:t>吨包</w:t>
      </w: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袋中进行运输。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6.2每一箱</w:t>
      </w: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  <w:lang w:val="en-US" w:eastAsia="zh-CN"/>
        </w:rPr>
        <w:t>或每一袋</w:t>
      </w: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都注明：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6.2.1供方名称、商标；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6.2.2牌号；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6.2.3批号；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6.2.4毛重和净重；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6.2.5本标准编号；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6.2.6生产日期；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6.2.7“防潮”字样。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6.3质量证明书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每批产品附有产品质量证明书，注明：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6.3.1供方名称、地址、电话、传真；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6.3.2产品名称；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6.3.3牌号；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6.3.4批号；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6.3.5件数和净重；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6.3.6各项分析检验结果和供方质量检验部门印记；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6.3.7本标准编号；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6.3.8出厂日期（或包装日期）；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6.4运输、贮存：熔剂在运输过程中不能破损及散包，应贮存在通风、干燥的库房内。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3" w:firstLineChars="200"/>
        <w:textAlignment w:val="auto"/>
        <w:rPr>
          <w:rFonts w:hint="eastAsia" w:ascii="仿宋_GB2312" w:hAnsi="华文仿宋" w:eastAsia="仿宋_GB2312" w:cs="华文仿宋"/>
          <w:b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/>
          <w:sz w:val="32"/>
          <w:szCs w:val="32"/>
          <w:highlight w:val="none"/>
        </w:rPr>
        <w:t>7进厂物资不合格品处置标准</w:t>
      </w:r>
    </w:p>
    <w:p>
      <w:pPr>
        <w:keepNext w:val="0"/>
        <w:keepLines w:val="0"/>
        <w:pageBreakBefore w:val="0"/>
        <w:tabs>
          <w:tab w:val="left" w:pos="108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</w:pPr>
      <w:r>
        <w:rPr>
          <w:rFonts w:hint="eastAsia" w:ascii="仿宋_GB2312" w:hAnsi="华文仿宋" w:eastAsia="仿宋_GB2312" w:cs="华文仿宋"/>
          <w:bCs/>
          <w:sz w:val="32"/>
          <w:szCs w:val="32"/>
          <w:highlight w:val="none"/>
        </w:rPr>
        <w:t>7.1当清渣剂取样检验结果不合格时按此标准进行处置：</w:t>
      </w:r>
    </w:p>
    <w:tbl>
      <w:tblPr>
        <w:tblStyle w:val="4"/>
        <w:tblpPr w:leftFromText="180" w:rightFromText="180" w:vertAnchor="text" w:tblpXSpec="center" w:tblpY="262"/>
        <w:tblW w:w="1006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8"/>
        <w:gridCol w:w="1559"/>
        <w:gridCol w:w="1134"/>
        <w:gridCol w:w="2268"/>
        <w:gridCol w:w="2126"/>
        <w:gridCol w:w="1985"/>
      </w:tblGrid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0" w:hRule="atLeast"/>
        </w:trPr>
        <w:tc>
          <w:tcPr>
            <w:tcW w:w="100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spacing w:line="520" w:lineRule="exact"/>
              <w:jc w:val="center"/>
              <w:textAlignment w:val="center"/>
              <w:rPr>
                <w:rFonts w:hint="eastAsia" w:ascii="仿宋_GB2312" w:hAnsi="宋体" w:eastAsia="仿宋_GB2312" w:cs="宋体"/>
                <w:b/>
                <w:bCs/>
                <w:color w:val="000000"/>
                <w:sz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color w:val="000000"/>
                <w:kern w:val="0"/>
                <w:sz w:val="24"/>
                <w:highlight w:val="none"/>
                <w:lang w:bidi="ar"/>
              </w:rPr>
              <w:t>进厂物资不合格品处置标准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4" w:hRule="atLeast"/>
        </w:trPr>
        <w:tc>
          <w:tcPr>
            <w:tcW w:w="9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名称</w:t>
            </w:r>
          </w:p>
        </w:tc>
        <w:tc>
          <w:tcPr>
            <w:tcW w:w="2693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技术指标要求</w:t>
            </w:r>
          </w:p>
        </w:tc>
        <w:tc>
          <w:tcPr>
            <w:tcW w:w="22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降价1%</w:t>
            </w:r>
          </w:p>
        </w:tc>
        <w:tc>
          <w:tcPr>
            <w:tcW w:w="212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降价2%</w:t>
            </w:r>
          </w:p>
        </w:tc>
        <w:tc>
          <w:tcPr>
            <w:tcW w:w="19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退货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8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清渣剂</w:t>
            </w:r>
          </w:p>
        </w:tc>
        <w:tc>
          <w:tcPr>
            <w:tcW w:w="15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K（%）</w:t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default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</w:pPr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</w:rPr>
              <w:t>≤</w:t>
            </w:r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  <w:lang w:val="en-US" w:eastAsia="zh-CN"/>
              </w:rPr>
              <w:t>0.5</w:t>
            </w:r>
          </w:p>
        </w:tc>
        <w:tc>
          <w:tcPr>
            <w:tcW w:w="22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default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0.5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＜值≤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0.8</w:t>
            </w:r>
          </w:p>
        </w:tc>
        <w:tc>
          <w:tcPr>
            <w:tcW w:w="212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eastAsia="zh-CN"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0.8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＜值≤1.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1</w:t>
            </w:r>
          </w:p>
        </w:tc>
        <w:tc>
          <w:tcPr>
            <w:tcW w:w="19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default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/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0" w:hRule="atLeast"/>
        </w:trPr>
        <w:tc>
          <w:tcPr>
            <w:tcW w:w="98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</w:p>
        </w:tc>
        <w:tc>
          <w:tcPr>
            <w:tcW w:w="15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C（%）</w:t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</w:rPr>
              <w:t>≤</w:t>
            </w:r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  <w:lang w:val="en-US" w:eastAsia="zh-CN"/>
              </w:rPr>
              <w:t>0.5</w:t>
            </w:r>
          </w:p>
        </w:tc>
        <w:tc>
          <w:tcPr>
            <w:tcW w:w="22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0.5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＜值≤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0.8</w:t>
            </w:r>
          </w:p>
        </w:tc>
        <w:tc>
          <w:tcPr>
            <w:tcW w:w="212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0.8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＜值≤1.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1</w:t>
            </w:r>
          </w:p>
        </w:tc>
        <w:tc>
          <w:tcPr>
            <w:tcW w:w="19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/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2" w:hRule="atLeast"/>
        </w:trPr>
        <w:tc>
          <w:tcPr>
            <w:tcW w:w="98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</w:p>
        </w:tc>
        <w:tc>
          <w:tcPr>
            <w:tcW w:w="15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Si（%）</w:t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default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</w:pPr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</w:rPr>
              <w:t>≤</w:t>
            </w:r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  <w:lang w:val="en-US" w:eastAsia="zh-CN"/>
              </w:rPr>
              <w:t>3</w:t>
            </w:r>
          </w:p>
        </w:tc>
        <w:tc>
          <w:tcPr>
            <w:tcW w:w="22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3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＜值≤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4</w:t>
            </w:r>
          </w:p>
        </w:tc>
        <w:tc>
          <w:tcPr>
            <w:tcW w:w="212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default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4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＜值≤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5</w:t>
            </w:r>
          </w:p>
        </w:tc>
        <w:tc>
          <w:tcPr>
            <w:tcW w:w="19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/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6" w:hRule="atLeast"/>
        </w:trPr>
        <w:tc>
          <w:tcPr>
            <w:tcW w:w="98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</w:p>
        </w:tc>
        <w:tc>
          <w:tcPr>
            <w:tcW w:w="15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Cl（%）</w:t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</w:rPr>
              <w:t>5-15</w:t>
            </w:r>
          </w:p>
        </w:tc>
        <w:tc>
          <w:tcPr>
            <w:tcW w:w="22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3≤值＜5或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br w:type="textWrapping"/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15＜值≤17</w:t>
            </w:r>
          </w:p>
        </w:tc>
        <w:tc>
          <w:tcPr>
            <w:tcW w:w="212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1≤值＜3或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br w:type="textWrapping"/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17＜值≤19</w:t>
            </w:r>
          </w:p>
        </w:tc>
        <w:tc>
          <w:tcPr>
            <w:tcW w:w="19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default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/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0" w:hRule="atLeast"/>
        </w:trPr>
        <w:tc>
          <w:tcPr>
            <w:tcW w:w="98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</w:p>
        </w:tc>
        <w:tc>
          <w:tcPr>
            <w:tcW w:w="15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F（%）</w:t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</w:rPr>
              <w:t>5-1</w:t>
            </w:r>
            <w:bookmarkStart w:id="0" w:name="_GoBack"/>
            <w:bookmarkEnd w:id="0"/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</w:rPr>
              <w:t>5</w:t>
            </w:r>
          </w:p>
        </w:tc>
        <w:tc>
          <w:tcPr>
            <w:tcW w:w="22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3≤值＜5或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br w:type="textWrapping"/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15＜值≤17</w:t>
            </w:r>
          </w:p>
        </w:tc>
        <w:tc>
          <w:tcPr>
            <w:tcW w:w="212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1≤值＜3或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br w:type="textWrapping"/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17＜值≤19</w:t>
            </w:r>
          </w:p>
        </w:tc>
        <w:tc>
          <w:tcPr>
            <w:tcW w:w="19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/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0" w:hRule="atLeast"/>
        </w:trPr>
        <w:tc>
          <w:tcPr>
            <w:tcW w:w="98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</w:p>
        </w:tc>
        <w:tc>
          <w:tcPr>
            <w:tcW w:w="15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A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l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（%）</w:t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default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</w:pPr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</w:rPr>
              <w:t>≤1</w:t>
            </w:r>
            <w:r>
              <w:rPr>
                <w:rFonts w:hint="eastAsia" w:ascii="仿宋_GB2312" w:hAnsi="仿宋" w:eastAsia="仿宋_GB2312" w:cs="仿宋"/>
                <w:kern w:val="0"/>
                <w:sz w:val="24"/>
                <w:highlight w:val="none"/>
                <w:lang w:val="en-US" w:eastAsia="zh-CN"/>
              </w:rPr>
              <w:t>.0</w:t>
            </w:r>
          </w:p>
        </w:tc>
        <w:tc>
          <w:tcPr>
            <w:tcW w:w="22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default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1.0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＜值≤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1.2</w:t>
            </w:r>
          </w:p>
        </w:tc>
        <w:tc>
          <w:tcPr>
            <w:tcW w:w="212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default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1.2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＜值≤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1.4</w:t>
            </w:r>
          </w:p>
        </w:tc>
        <w:tc>
          <w:tcPr>
            <w:tcW w:w="19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default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/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0" w:hRule="atLeast"/>
        </w:trPr>
        <w:tc>
          <w:tcPr>
            <w:tcW w:w="98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</w:p>
        </w:tc>
        <w:tc>
          <w:tcPr>
            <w:tcW w:w="15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Na（%）</w:t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25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-40</w:t>
            </w:r>
          </w:p>
        </w:tc>
        <w:tc>
          <w:tcPr>
            <w:tcW w:w="22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2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3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≤值＜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25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或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br w:type="textWrapping"/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40＜值≤42</w:t>
            </w:r>
          </w:p>
        </w:tc>
        <w:tc>
          <w:tcPr>
            <w:tcW w:w="212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2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1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≤值＜2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3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或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br w:type="textWrapping"/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42＜值≤44</w:t>
            </w:r>
          </w:p>
        </w:tc>
        <w:tc>
          <w:tcPr>
            <w:tcW w:w="19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default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/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98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</w:p>
        </w:tc>
        <w:tc>
          <w:tcPr>
            <w:tcW w:w="15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-14目(%）</w:t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default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≥98</w:t>
            </w:r>
          </w:p>
        </w:tc>
        <w:tc>
          <w:tcPr>
            <w:tcW w:w="22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default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96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≤值＜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98</w:t>
            </w:r>
          </w:p>
        </w:tc>
        <w:tc>
          <w:tcPr>
            <w:tcW w:w="212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94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≤值＜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96</w:t>
            </w:r>
          </w:p>
        </w:tc>
        <w:tc>
          <w:tcPr>
            <w:tcW w:w="19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/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98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</w:p>
        </w:tc>
        <w:tc>
          <w:tcPr>
            <w:tcW w:w="155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水分(%)</w:t>
            </w:r>
          </w:p>
        </w:tc>
        <w:tc>
          <w:tcPr>
            <w:tcW w:w="11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≤4</w:t>
            </w:r>
          </w:p>
        </w:tc>
        <w:tc>
          <w:tcPr>
            <w:tcW w:w="22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4＜值≤6</w:t>
            </w:r>
          </w:p>
        </w:tc>
        <w:tc>
          <w:tcPr>
            <w:tcW w:w="212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>6＜值≤8</w:t>
            </w:r>
          </w:p>
        </w:tc>
        <w:tc>
          <w:tcPr>
            <w:tcW w:w="198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/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40" w:hRule="atLeast"/>
        </w:trPr>
        <w:tc>
          <w:tcPr>
            <w:tcW w:w="1006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center"/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</w:pP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 xml:space="preserve">说明：1、涉及物资降价时，按不合格指标累加，降价金额=不合格量×单价×降价 幅度。                                                                                                                                      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br w:type="textWrapping"/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 xml:space="preserve">      2、当表中退货栏为“/”，满足使用要求时，对应指标按降价幅度顺延降价；不能满足使用要求时，退货处理。</w:t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br w:type="textWrapping"/>
            </w:r>
            <w:r>
              <w:rPr>
                <w:rFonts w:hint="eastAsia" w:ascii="仿宋_GB2312" w:hAnsi="宋体" w:eastAsia="仿宋_GB2312" w:cs="宋体"/>
                <w:color w:val="000000"/>
                <w:kern w:val="0"/>
                <w:sz w:val="24"/>
                <w:highlight w:val="none"/>
                <w:lang w:bidi="ar"/>
              </w:rPr>
              <w:t xml:space="preserve">      3、当指标偏差达到退货标准，因生产需要等原因使用时，会议决定后，按降价幅度顺延。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3" w:firstLineChars="200"/>
        <w:textAlignment w:val="auto"/>
        <w:rPr>
          <w:rFonts w:hint="eastAsia" w:ascii="仿宋_GB2312" w:hAnsi="仿宋" w:eastAsia="仿宋_GB2312" w:cs="仿宋"/>
          <w:b/>
          <w:kern w:val="0"/>
          <w:sz w:val="32"/>
          <w:szCs w:val="32"/>
          <w:highlight w:val="none"/>
        </w:rPr>
      </w:pPr>
      <w:r>
        <w:rPr>
          <w:rFonts w:hint="eastAsia" w:ascii="仿宋_GB2312" w:hAnsi="仿宋" w:eastAsia="仿宋_GB2312" w:cs="仿宋"/>
          <w:b/>
          <w:kern w:val="0"/>
          <w:sz w:val="32"/>
          <w:szCs w:val="32"/>
          <w:highlight w:val="none"/>
        </w:rPr>
        <w:t>8其他约定事项：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仿宋" w:eastAsia="仿宋_GB2312" w:cs="仿宋"/>
          <w:kern w:val="0"/>
          <w:sz w:val="32"/>
          <w:szCs w:val="32"/>
          <w:highlight w:val="none"/>
        </w:rPr>
      </w:pPr>
      <w:r>
        <w:rPr>
          <w:rFonts w:hint="eastAsia" w:ascii="仿宋_GB2312" w:hAnsi="仿宋" w:eastAsia="仿宋_GB2312" w:cs="仿宋"/>
          <w:kern w:val="0"/>
          <w:sz w:val="32"/>
          <w:szCs w:val="32"/>
          <w:highlight w:val="none"/>
        </w:rPr>
        <w:t>8.1本规范书一式四份，甲方三份，乙方一份。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仿宋" w:eastAsia="仿宋_GB2312" w:cs="仿宋"/>
          <w:kern w:val="0"/>
          <w:sz w:val="32"/>
          <w:szCs w:val="32"/>
          <w:highlight w:val="none"/>
        </w:rPr>
      </w:pPr>
      <w:r>
        <w:rPr>
          <w:rFonts w:hint="eastAsia" w:ascii="仿宋_GB2312" w:hAnsi="仿宋" w:eastAsia="仿宋_GB2312" w:cs="仿宋"/>
          <w:kern w:val="0"/>
          <w:sz w:val="32"/>
          <w:szCs w:val="32"/>
          <w:highlight w:val="none"/>
        </w:rPr>
        <w:t>8.2此协议具有同等法律效力，但若乙方不能中标，则本技术规格书自动失效，双方互不承担任何责任。本技术规格书为附生效条件的合同，以主合同的生效为前提条件。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方正仿宋_GB2312" w:eastAsia="仿宋_GB2312" w:cs="方正仿宋_GB2312"/>
          <w:sz w:val="32"/>
          <w:szCs w:val="32"/>
          <w:highlight w:val="none"/>
        </w:rPr>
      </w:pPr>
      <w:r>
        <w:rPr>
          <w:rFonts w:hint="eastAsia" w:ascii="仿宋_GB2312" w:hAnsi="仿宋" w:eastAsia="仿宋_GB2312" w:cs="仿宋"/>
          <w:kern w:val="0"/>
          <w:sz w:val="32"/>
          <w:szCs w:val="32"/>
          <w:highlight w:val="none"/>
        </w:rPr>
        <w:t xml:space="preserve">8.3本协议内容经由甲乙双方于 </w:t>
      </w:r>
      <w:r>
        <w:rPr>
          <w:rFonts w:hint="eastAsia" w:ascii="仿宋_GB2312" w:hAnsi="方正仿宋_GB2312" w:eastAsia="仿宋_GB2312" w:cs="方正仿宋_GB2312"/>
          <w:sz w:val="32"/>
          <w:szCs w:val="32"/>
          <w:highlight w:val="none"/>
        </w:rPr>
        <w:t>于</w:t>
      </w:r>
      <w:r>
        <w:rPr>
          <w:rFonts w:hint="eastAsia" w:ascii="仿宋_GB2312" w:hAnsi="方正仿宋_GB2312" w:eastAsia="仿宋_GB2312" w:cs="方正仿宋_GB2312"/>
          <w:sz w:val="32"/>
          <w:szCs w:val="32"/>
          <w:highlight w:val="none"/>
          <w:u w:val="single"/>
        </w:rPr>
        <w:t xml:space="preserve">    </w:t>
      </w:r>
      <w:r>
        <w:rPr>
          <w:rFonts w:hint="eastAsia" w:ascii="仿宋_GB2312" w:hAnsi="方正仿宋_GB2312" w:eastAsia="仿宋_GB2312" w:cs="方正仿宋_GB2312"/>
          <w:sz w:val="32"/>
          <w:szCs w:val="32"/>
          <w:highlight w:val="none"/>
        </w:rPr>
        <w:t>年</w:t>
      </w:r>
      <w:r>
        <w:rPr>
          <w:rFonts w:hint="eastAsia" w:ascii="仿宋_GB2312" w:hAnsi="方正仿宋_GB2312" w:eastAsia="仿宋_GB2312" w:cs="方正仿宋_GB2312"/>
          <w:sz w:val="32"/>
          <w:szCs w:val="32"/>
          <w:highlight w:val="none"/>
          <w:u w:val="single"/>
        </w:rPr>
        <w:t xml:space="preserve">   </w:t>
      </w:r>
      <w:r>
        <w:rPr>
          <w:rFonts w:hint="eastAsia" w:ascii="仿宋_GB2312" w:hAnsi="方正仿宋_GB2312" w:eastAsia="仿宋_GB2312" w:cs="方正仿宋_GB2312"/>
          <w:sz w:val="32"/>
          <w:szCs w:val="32"/>
          <w:highlight w:val="none"/>
        </w:rPr>
        <w:t>月</w:t>
      </w:r>
      <w:r>
        <w:rPr>
          <w:rFonts w:hint="eastAsia" w:ascii="仿宋_GB2312" w:hAnsi="方正仿宋_GB2312" w:eastAsia="仿宋_GB2312" w:cs="方正仿宋_GB2312"/>
          <w:sz w:val="32"/>
          <w:szCs w:val="32"/>
          <w:highlight w:val="none"/>
          <w:u w:val="single"/>
        </w:rPr>
        <w:t xml:space="preserve">   </w:t>
      </w:r>
      <w:r>
        <w:rPr>
          <w:rFonts w:hint="eastAsia" w:ascii="仿宋_GB2312" w:hAnsi="方正仿宋_GB2312" w:eastAsia="仿宋_GB2312" w:cs="方正仿宋_GB2312"/>
          <w:sz w:val="32"/>
          <w:szCs w:val="32"/>
          <w:highlight w:val="none"/>
        </w:rPr>
        <w:t>日</w:t>
      </w:r>
      <w:r>
        <w:rPr>
          <w:rFonts w:hint="eastAsia" w:ascii="仿宋_GB2312" w:hAnsi="方正仿宋_GB2312" w:eastAsia="仿宋_GB2312" w:cs="方正仿宋_GB2312"/>
          <w:sz w:val="32"/>
          <w:szCs w:val="32"/>
          <w:highlight w:val="none"/>
          <w:u w:val="single"/>
        </w:rPr>
        <w:t xml:space="preserve">   </w:t>
      </w:r>
      <w:r>
        <w:rPr>
          <w:rFonts w:hint="eastAsia" w:ascii="仿宋_GB2312" w:hAnsi="方正仿宋_GB2312" w:eastAsia="仿宋_GB2312" w:cs="方正仿宋_GB2312"/>
          <w:sz w:val="32"/>
          <w:szCs w:val="32"/>
          <w:highlight w:val="none"/>
        </w:rPr>
        <w:t>时通过</w:t>
      </w:r>
      <w:r>
        <w:rPr>
          <w:rFonts w:hint="eastAsia" w:ascii="仿宋_GB2312" w:hAnsi="方正仿宋_GB2312" w:eastAsia="仿宋_GB2312" w:cs="方正仿宋_GB2312"/>
          <w:sz w:val="32"/>
          <w:szCs w:val="32"/>
          <w:highlight w:val="none"/>
          <w:u w:val="single"/>
        </w:rPr>
        <w:t xml:space="preserve">   </w:t>
      </w:r>
      <w:r>
        <w:rPr>
          <w:rFonts w:hint="eastAsia" w:ascii="仿宋_GB2312" w:hAnsi="方正仿宋_GB2312" w:eastAsia="仿宋_GB2312" w:cs="方正仿宋_GB2312"/>
          <w:sz w:val="32"/>
          <w:szCs w:val="32"/>
          <w:highlight w:val="none"/>
        </w:rPr>
        <w:t xml:space="preserve">方式商定。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仿宋" w:eastAsia="仿宋_GB2312" w:cs="仿宋"/>
          <w:kern w:val="0"/>
          <w:sz w:val="32"/>
          <w:szCs w:val="32"/>
          <w:highlight w:val="none"/>
        </w:rPr>
      </w:pPr>
      <w:r>
        <w:rPr>
          <w:rFonts w:ascii="Calibri" w:hAnsi="Calibri" w:eastAsia="仿宋_GB2312" w:cs="Calibri"/>
          <w:kern w:val="0"/>
          <w:sz w:val="32"/>
          <w:szCs w:val="32"/>
          <w:highlight w:val="none"/>
        </w:rPr>
        <w:t> </w:t>
      </w:r>
      <w:r>
        <w:rPr>
          <w:rFonts w:hint="eastAsia" w:ascii="仿宋_GB2312" w:hAnsi="仿宋" w:eastAsia="仿宋_GB2312" w:cs="仿宋"/>
          <w:kern w:val="0"/>
          <w:sz w:val="32"/>
          <w:szCs w:val="32"/>
          <w:highlight w:val="none"/>
        </w:rPr>
        <w:t>8.4甲乙双方应当就签订本协议的相关事宜保密，不得将签订主体、时间、内容等信息透露给其他第三人。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_GB2312" w:hAnsi="仿宋" w:eastAsia="仿宋_GB2312" w:cs="仿宋"/>
          <w:kern w:val="0"/>
          <w:sz w:val="32"/>
          <w:szCs w:val="32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textAlignment w:val="auto"/>
        <w:rPr>
          <w:rFonts w:hint="eastAsia" w:ascii="仿宋_GB2312" w:hAnsi="仿宋" w:eastAsia="仿宋_GB2312" w:cs="仿宋"/>
          <w:kern w:val="0"/>
          <w:sz w:val="32"/>
          <w:szCs w:val="32"/>
          <w:highlight w:val="none"/>
        </w:rPr>
      </w:pPr>
      <w:r>
        <w:rPr>
          <w:rFonts w:hint="eastAsia" w:ascii="仿宋_GB2312" w:hAnsi="仿宋" w:eastAsia="仿宋_GB2312" w:cs="仿宋"/>
          <w:kern w:val="0"/>
          <w:sz w:val="32"/>
          <w:szCs w:val="32"/>
          <w:highlight w:val="none"/>
        </w:rPr>
        <w:t>需方：甘肃东兴嘉信新材料有限公司   供方：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textAlignment w:val="auto"/>
        <w:rPr>
          <w:rFonts w:hint="eastAsia" w:ascii="仿宋_GB2312" w:hAnsi="仿宋" w:eastAsia="仿宋_GB2312" w:cs="仿宋"/>
          <w:kern w:val="0"/>
          <w:sz w:val="32"/>
          <w:szCs w:val="32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textAlignment w:val="auto"/>
        <w:rPr>
          <w:rFonts w:hint="eastAsia" w:ascii="仿宋_GB2312" w:hAnsi="仿宋" w:eastAsia="仿宋_GB2312" w:cs="仿宋"/>
          <w:kern w:val="0"/>
          <w:sz w:val="32"/>
          <w:szCs w:val="32"/>
          <w:highlight w:val="none"/>
        </w:rPr>
      </w:pPr>
      <w:r>
        <w:rPr>
          <w:rFonts w:hint="eastAsia" w:ascii="仿宋_GB2312" w:hAnsi="仿宋" w:eastAsia="仿宋_GB2312" w:cs="仿宋"/>
          <w:kern w:val="0"/>
          <w:sz w:val="32"/>
          <w:szCs w:val="32"/>
          <w:highlight w:val="none"/>
        </w:rPr>
        <w:t>需方代表：                         供方代表：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textAlignment w:val="auto"/>
        <w:rPr>
          <w:rFonts w:hint="eastAsia" w:ascii="仿宋_GB2312" w:hAnsi="仿宋" w:eastAsia="仿宋_GB2312" w:cs="仿宋"/>
          <w:kern w:val="0"/>
          <w:sz w:val="32"/>
          <w:szCs w:val="32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textAlignment w:val="auto"/>
        <w:rPr>
          <w:rFonts w:hint="eastAsia" w:ascii="仿宋_GB2312" w:hAnsi="华文仿宋" w:eastAsia="仿宋_GB2312" w:cs="华文仿宋"/>
          <w:kern w:val="0"/>
          <w:sz w:val="32"/>
          <w:szCs w:val="32"/>
          <w:highlight w:val="none"/>
        </w:rPr>
      </w:pPr>
      <w:r>
        <w:rPr>
          <w:rFonts w:hint="eastAsia" w:ascii="仿宋_GB2312" w:hAnsi="仿宋" w:eastAsia="仿宋_GB2312" w:cs="仿宋"/>
          <w:kern w:val="0"/>
          <w:sz w:val="32"/>
          <w:szCs w:val="32"/>
          <w:highlight w:val="none"/>
        </w:rPr>
        <w:t>签订时间：                         签订时间：</w:t>
      </w:r>
    </w:p>
    <w:sectPr>
      <w:pgSz w:w="11906" w:h="16838"/>
      <w:pgMar w:top="1440" w:right="1417" w:bottom="1440" w:left="1417" w:header="851" w:footer="992" w:gutter="0"/>
      <w:cols w:space="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9AC00734-B367-48BC-8738-640CDD5361D8}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  <w:embedRegular r:id="rId2" w:fontKey="{6921980B-3AD4-440F-9291-E9CA56FFBDE3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5A186369-31C0-4AB7-A51E-4CBBFF66E014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6D7B86E8-81D0-48CF-9D35-54C738E0296D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5" w:fontKey="{B1B7E6E2-D18A-4642-B150-0DC62FD0E371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6" w:fontKey="{301635BD-DC6D-4673-9BF8-F40B8BCAE69C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7" w:fontKey="{DC4DFC00-8937-496A-91CE-42E828C60D32}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8" w:fontKey="{D858C1F5-D9EB-456F-BF9F-5F7EEFB977FB}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9" w:fontKey="{DA8290ED-F82A-4766-8D82-CD1CBBC0166F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10" w:fontKey="{AE98FD17-1333-4BC5-9436-CC8923B22637}"/>
  </w:font>
  <w:font w:name="仿宋_GB2312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11" w:fontKey="{9F1698A8-A8A8-46FD-B442-C2345BC3E863}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2" w:fontKey="{13BD3BB0-179D-4334-A945-16C757331627}"/>
  </w:font>
  <w:font w:name="方正仿宋_GB2312">
    <w:altName w:val="仿宋"/>
    <w:panose1 w:val="00000000000000000000"/>
    <w:charset w:val="86"/>
    <w:family w:val="auto"/>
    <w:pitch w:val="default"/>
    <w:sig w:usb0="00000000" w:usb1="00000000" w:usb2="00000012" w:usb3="00000000" w:csb0="00040001" w:csb1="00000000"/>
    <w:embedRegular r:id="rId13" w:fontKey="{58171DBA-1847-4CD3-BBAF-40F0240A496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embedTrueTypeFonts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TgyMGVlNGNlYjYzOGVmZTRmNDIwOTAxN2U3NzJmMGIifQ=="/>
  </w:docVars>
  <w:rsids>
    <w:rsidRoot w:val="1FCC5734"/>
    <w:rsid w:val="00024ADB"/>
    <w:rsid w:val="00052C5B"/>
    <w:rsid w:val="00157B08"/>
    <w:rsid w:val="00175B75"/>
    <w:rsid w:val="001D339D"/>
    <w:rsid w:val="00230CEA"/>
    <w:rsid w:val="002819E9"/>
    <w:rsid w:val="002A49F8"/>
    <w:rsid w:val="00335237"/>
    <w:rsid w:val="004E770E"/>
    <w:rsid w:val="0057618B"/>
    <w:rsid w:val="005B261B"/>
    <w:rsid w:val="0074036C"/>
    <w:rsid w:val="00801DED"/>
    <w:rsid w:val="00A378BF"/>
    <w:rsid w:val="00B1393C"/>
    <w:rsid w:val="00CB2AD8"/>
    <w:rsid w:val="00CD2A56"/>
    <w:rsid w:val="00CD30F2"/>
    <w:rsid w:val="00CE077C"/>
    <w:rsid w:val="00D532C6"/>
    <w:rsid w:val="00E22FE3"/>
    <w:rsid w:val="00E63A7E"/>
    <w:rsid w:val="00F20E00"/>
    <w:rsid w:val="01242B44"/>
    <w:rsid w:val="03947346"/>
    <w:rsid w:val="03D83430"/>
    <w:rsid w:val="049F185D"/>
    <w:rsid w:val="050C1959"/>
    <w:rsid w:val="066F34D6"/>
    <w:rsid w:val="06C431C1"/>
    <w:rsid w:val="06F112AC"/>
    <w:rsid w:val="0831659E"/>
    <w:rsid w:val="0A3C608A"/>
    <w:rsid w:val="0B6E2579"/>
    <w:rsid w:val="0E2557C4"/>
    <w:rsid w:val="0ED91C40"/>
    <w:rsid w:val="0F575014"/>
    <w:rsid w:val="0FA4583E"/>
    <w:rsid w:val="0FAF452D"/>
    <w:rsid w:val="107B7E97"/>
    <w:rsid w:val="10EA11F8"/>
    <w:rsid w:val="114D292E"/>
    <w:rsid w:val="12140CF8"/>
    <w:rsid w:val="12326994"/>
    <w:rsid w:val="13C4778A"/>
    <w:rsid w:val="146032F3"/>
    <w:rsid w:val="14E41576"/>
    <w:rsid w:val="15845C04"/>
    <w:rsid w:val="164351B9"/>
    <w:rsid w:val="168B3451"/>
    <w:rsid w:val="17B5264E"/>
    <w:rsid w:val="19AC7906"/>
    <w:rsid w:val="1A7A5E4E"/>
    <w:rsid w:val="1BB4477B"/>
    <w:rsid w:val="1CDC1BDE"/>
    <w:rsid w:val="1D491F5C"/>
    <w:rsid w:val="1FCC5734"/>
    <w:rsid w:val="1FF42436"/>
    <w:rsid w:val="20BB6DE3"/>
    <w:rsid w:val="20EF71C7"/>
    <w:rsid w:val="2188220F"/>
    <w:rsid w:val="22E74A0B"/>
    <w:rsid w:val="2362274D"/>
    <w:rsid w:val="238901AF"/>
    <w:rsid w:val="24930F37"/>
    <w:rsid w:val="25241FA5"/>
    <w:rsid w:val="255F0A5A"/>
    <w:rsid w:val="290C1796"/>
    <w:rsid w:val="2A18027C"/>
    <w:rsid w:val="2A3143B3"/>
    <w:rsid w:val="2AB36A71"/>
    <w:rsid w:val="2AED1FBB"/>
    <w:rsid w:val="2C9F0344"/>
    <w:rsid w:val="2DE243A6"/>
    <w:rsid w:val="2E7F3160"/>
    <w:rsid w:val="302B46C0"/>
    <w:rsid w:val="30FD59FF"/>
    <w:rsid w:val="324745C3"/>
    <w:rsid w:val="329B2421"/>
    <w:rsid w:val="329F149F"/>
    <w:rsid w:val="333F5186"/>
    <w:rsid w:val="33F60EE1"/>
    <w:rsid w:val="34932EA0"/>
    <w:rsid w:val="350C5091"/>
    <w:rsid w:val="35131936"/>
    <w:rsid w:val="352E79C1"/>
    <w:rsid w:val="35737F6C"/>
    <w:rsid w:val="38A05C7B"/>
    <w:rsid w:val="3A6140AC"/>
    <w:rsid w:val="3AE3013A"/>
    <w:rsid w:val="3AE80991"/>
    <w:rsid w:val="3D376906"/>
    <w:rsid w:val="3E1B7EE0"/>
    <w:rsid w:val="3F1242C9"/>
    <w:rsid w:val="3FC13148"/>
    <w:rsid w:val="3FCC084D"/>
    <w:rsid w:val="408F05F9"/>
    <w:rsid w:val="40932A6E"/>
    <w:rsid w:val="4197410F"/>
    <w:rsid w:val="41BB36F1"/>
    <w:rsid w:val="42D00689"/>
    <w:rsid w:val="43911BC6"/>
    <w:rsid w:val="44126C60"/>
    <w:rsid w:val="44826007"/>
    <w:rsid w:val="44CB0D12"/>
    <w:rsid w:val="45091C30"/>
    <w:rsid w:val="45544185"/>
    <w:rsid w:val="45EA380F"/>
    <w:rsid w:val="46120035"/>
    <w:rsid w:val="47507FEA"/>
    <w:rsid w:val="47EF7BBD"/>
    <w:rsid w:val="48973E76"/>
    <w:rsid w:val="49A73E8E"/>
    <w:rsid w:val="4A70254B"/>
    <w:rsid w:val="4A8F7CEB"/>
    <w:rsid w:val="4DCC4AAA"/>
    <w:rsid w:val="4DDB7B36"/>
    <w:rsid w:val="4E3F5455"/>
    <w:rsid w:val="4EC030EE"/>
    <w:rsid w:val="50850CED"/>
    <w:rsid w:val="509A5085"/>
    <w:rsid w:val="528146D3"/>
    <w:rsid w:val="532A657E"/>
    <w:rsid w:val="53E421E6"/>
    <w:rsid w:val="55612B58"/>
    <w:rsid w:val="55952096"/>
    <w:rsid w:val="560A5976"/>
    <w:rsid w:val="563E592D"/>
    <w:rsid w:val="564C2938"/>
    <w:rsid w:val="56A64A3B"/>
    <w:rsid w:val="573867A5"/>
    <w:rsid w:val="58C66886"/>
    <w:rsid w:val="59232528"/>
    <w:rsid w:val="598A0BE1"/>
    <w:rsid w:val="5A0E2856"/>
    <w:rsid w:val="5CB547B2"/>
    <w:rsid w:val="5CCF144E"/>
    <w:rsid w:val="5D2C3AEB"/>
    <w:rsid w:val="5E762809"/>
    <w:rsid w:val="5E9A368F"/>
    <w:rsid w:val="5EE763D6"/>
    <w:rsid w:val="5F6C79D5"/>
    <w:rsid w:val="5FB95727"/>
    <w:rsid w:val="5FFA24B5"/>
    <w:rsid w:val="60644C5C"/>
    <w:rsid w:val="60E170B6"/>
    <w:rsid w:val="633241A9"/>
    <w:rsid w:val="67CE7F56"/>
    <w:rsid w:val="6A1D5293"/>
    <w:rsid w:val="6B3B477B"/>
    <w:rsid w:val="6C105D22"/>
    <w:rsid w:val="6C117402"/>
    <w:rsid w:val="6C14492A"/>
    <w:rsid w:val="6CB22B2A"/>
    <w:rsid w:val="6D871CAD"/>
    <w:rsid w:val="6DEF1117"/>
    <w:rsid w:val="6E8A2DE2"/>
    <w:rsid w:val="6EB53D23"/>
    <w:rsid w:val="6ED4162F"/>
    <w:rsid w:val="709E0692"/>
    <w:rsid w:val="71994DBF"/>
    <w:rsid w:val="738B142C"/>
    <w:rsid w:val="75AD355A"/>
    <w:rsid w:val="75E83F83"/>
    <w:rsid w:val="76695453"/>
    <w:rsid w:val="794E1619"/>
    <w:rsid w:val="79F714F8"/>
    <w:rsid w:val="79FD2BDD"/>
    <w:rsid w:val="7A2E4953"/>
    <w:rsid w:val="7A8A45DF"/>
    <w:rsid w:val="7B056933"/>
    <w:rsid w:val="7C951B61"/>
    <w:rsid w:val="7DE329CA"/>
    <w:rsid w:val="7E7348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qFormat/>
    <w:uiPriority w:val="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7">
    <w:name w:val="页眉 字符"/>
    <w:basedOn w:val="6"/>
    <w:link w:val="3"/>
    <w:qFormat/>
    <w:uiPriority w:val="0"/>
    <w:rPr>
      <w:kern w:val="2"/>
      <w:sz w:val="18"/>
      <w:szCs w:val="18"/>
    </w:rPr>
  </w:style>
  <w:style w:type="character" w:customStyle="1" w:styleId="8">
    <w:name w:val="页脚 字符"/>
    <w:basedOn w:val="6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1881</Words>
  <Characters>2258</Characters>
  <Lines>19</Lines>
  <Paragraphs>5</Paragraphs>
  <TotalTime>21</TotalTime>
  <ScaleCrop>false</ScaleCrop>
  <LinksUpToDate>false</LinksUpToDate>
  <CharactersWithSpaces>2440</CharactersWithSpaces>
  <Application>WPS Office_11.8.2.8506_F1E327BC-269C-435d-A152-05C5408002CA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2023-10-25T09:00:00Z</dcterms:created>
  <dc:creator>第？四个＆影子</dc:creator>
  <cp:lastModifiedBy>wyq</cp:lastModifiedBy>
  <cp:lastPrinted>2021-11-08T04:10:00Z</cp:lastPrinted>
  <dcterms:modified xsi:type="dcterms:W3CDTF">2025-06-30T01:30:53Z</dcterms:modified>
  <cp:revision>15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2052-11.8.2.8506</vt:lpwstr>
  </property>
  <property fmtid="{D5CDD505-2E9C-101B-9397-08002B2CF9AE}" pid="3" name="ICV">
    <vt:lpwstr>5D7382E0543E442885C7465D1441BCD9_13</vt:lpwstr>
  </property>
  <property fmtid="{D5CDD505-2E9C-101B-9397-08002B2CF9AE}" pid="4" name="KSOTemplateDocerSaveRecord">
    <vt:lpwstr>eyJoZGlkIjoiMzEwNTM5NzYwMDRjMzkwZTVkZjY2ODkwMGIxNGU0OTUiLCJ1c2VySWQiOiIzNTQyNTY4NTMifQ==</vt:lpwstr>
  </property>
</Properties>
</file>