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家具技术参数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                                                </w:t>
      </w:r>
      <w:r>
        <w:rPr>
          <w:rFonts w:hint="eastAsia"/>
          <w:sz w:val="24"/>
          <w:szCs w:val="32"/>
          <w:lang w:val="en-US" w:eastAsia="zh-CN"/>
        </w:rPr>
        <w:t xml:space="preserve">            </w:t>
      </w:r>
    </w:p>
    <w:tbl>
      <w:tblPr>
        <w:tblStyle w:val="5"/>
        <w:tblpPr w:leftFromText="180" w:rightFromText="180" w:vertAnchor="text" w:horzAnchor="page" w:tblpX="1095" w:tblpY="651"/>
        <w:tblOverlap w:val="never"/>
        <w:tblW w:w="13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448"/>
        <w:gridCol w:w="1581"/>
        <w:gridCol w:w="4540"/>
        <w:gridCol w:w="770"/>
        <w:gridCol w:w="810"/>
        <w:gridCol w:w="3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2" w:type="dxa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序号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物料编码</w:t>
            </w:r>
          </w:p>
        </w:tc>
        <w:tc>
          <w:tcPr>
            <w:tcW w:w="1581" w:type="dxa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货物名称</w:t>
            </w:r>
          </w:p>
        </w:tc>
        <w:tc>
          <w:tcPr>
            <w:tcW w:w="4540" w:type="dxa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技术参数</w:t>
            </w:r>
          </w:p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单位</w:t>
            </w:r>
          </w:p>
        </w:tc>
        <w:tc>
          <w:tcPr>
            <w:tcW w:w="810" w:type="dxa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数量</w:t>
            </w:r>
          </w:p>
        </w:tc>
        <w:tc>
          <w:tcPr>
            <w:tcW w:w="3910" w:type="dxa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2" w:type="dxa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70407834</w:t>
            </w:r>
          </w:p>
        </w:tc>
        <w:tc>
          <w:tcPr>
            <w:tcW w:w="1581" w:type="dxa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办公桌</w:t>
            </w:r>
          </w:p>
        </w:tc>
        <w:tc>
          <w:tcPr>
            <w:tcW w:w="4540" w:type="dxa"/>
          </w:tcPr>
          <w:p>
            <w:pPr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1400*700*750mm1.饰面：采用厚度≧0.6mm胡桃木或其他同等材质实木贴面，无 节疤、腐朽、裂纹、虫眼、夹皮 、变色等缺陷，用于同一件产品的木皮颜色、纹理一致，木纹清晰。 </w:t>
            </w:r>
          </w:p>
          <w:p>
            <w:pPr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2.基材:采用中密度板，甲醛释放量达到GB/T 39600-2021 《人造板及其制品甲醛释放量分级》E0级，其他符GB/T11718-20 </w:t>
            </w:r>
          </w:p>
          <w:p>
            <w:pPr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21《中密度纤维板》标准；密度 ≥0.70g/cm3；厚度根据尺寸要配置合理。 </w:t>
            </w:r>
          </w:p>
          <w:p>
            <w:pPr>
              <w:jc w:val="left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3.油漆：采用环保水性漆，底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</w:rPr>
              <w:t>着色，清晰体现实木质感，表面耐划痕、耐高温、耐酸碱，双面均衡油饰，表面平整，无明显颗粒、渣点，颜色均匀，硬度高，耐磨性强，能长久保持漆面效果，油漆面光洁平整, 木纹纹理清晰</w:t>
            </w:r>
            <w:r>
              <w:rPr>
                <w:rFonts w:hint="eastAsia"/>
                <w:sz w:val="24"/>
                <w:szCs w:val="32"/>
                <w:lang w:eastAsia="zh-CN"/>
              </w:rPr>
              <w:t>。</w:t>
            </w:r>
          </w:p>
          <w:p>
            <w:pPr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4.五金配件：采用三节导轨、阻尼铰链、锁具，轨道在负重条件下，可连续滑动5万次不损坏，承重重量可达45公斤。铰链，能开合8-12万次无故障，无声响。 </w:t>
            </w:r>
          </w:p>
        </w:tc>
        <w:tc>
          <w:tcPr>
            <w:tcW w:w="770" w:type="dxa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套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3910" w:type="dxa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 w:eastAsiaTheme="minorEastAsia"/>
                <w:sz w:val="24"/>
                <w:szCs w:val="32"/>
                <w:lang w:eastAsia="zh-CN"/>
              </w:rPr>
              <w:drawing>
                <wp:inline distT="0" distB="0" distL="114300" distR="114300">
                  <wp:extent cx="2343150" cy="1870710"/>
                  <wp:effectExtent l="0" t="0" r="6350" b="8890"/>
                  <wp:docPr id="1" name="图片 1" descr="1bf118b1809450d073475556cbad7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bf118b1809450d073475556cbad7d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187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2" w:type="dxa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70275600</w:t>
            </w:r>
          </w:p>
        </w:tc>
        <w:tc>
          <w:tcPr>
            <w:tcW w:w="1581" w:type="dxa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办公椅</w:t>
            </w:r>
          </w:p>
        </w:tc>
        <w:tc>
          <w:tcPr>
            <w:tcW w:w="4540" w:type="dxa"/>
          </w:tcPr>
          <w:p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900×450×460mm1.面料：特网，加尼龙料，弹力强，耐摩擦 10 万次。三层结构</w:t>
            </w:r>
          </w:p>
          <w:p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，中间层双丝结构，防水，防污，阻燃，透气、不易变色、无毒性、环保。</w:t>
            </w:r>
          </w:p>
          <w:p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2.海棉：座面部位的海绵密度≥25kg/m³，其他部位海绵密度≥18kg/m³，海绵的75%压缩永久变形≤5%，回弹率≥45%,不易</w:t>
            </w:r>
          </w:p>
          <w:p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变形。厚实、弹性好，表面涂防止老化变形的保护膜，确保使用期间回弹正常不变形。</w:t>
            </w:r>
          </w:p>
          <w:p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32"/>
              </w:rPr>
              <w:t>.钢架：表面镀铬处理，钢管壁</w:t>
            </w:r>
          </w:p>
          <w:p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厚度≥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1.5</w:t>
            </w:r>
            <w:r>
              <w:rPr>
                <w:rFonts w:hint="eastAsia"/>
                <w:sz w:val="24"/>
                <w:szCs w:val="32"/>
              </w:rPr>
              <w:t>mm,承重≥100kg。</w:t>
            </w:r>
          </w:p>
        </w:tc>
        <w:tc>
          <w:tcPr>
            <w:tcW w:w="770" w:type="dxa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件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3910" w:type="dxa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 w:eastAsiaTheme="minorEastAsia"/>
                <w:sz w:val="24"/>
                <w:szCs w:val="32"/>
                <w:lang w:eastAsia="zh-CN"/>
              </w:rPr>
              <w:drawing>
                <wp:inline distT="0" distB="0" distL="114300" distR="114300">
                  <wp:extent cx="2339340" cy="2339340"/>
                  <wp:effectExtent l="0" t="0" r="10160" b="10160"/>
                  <wp:docPr id="3" name="图片 3" descr="53ae2a325d6129bead8b3cc15386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3ae2a325d6129bead8b3cc1538686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340" cy="233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2" w:type="dxa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48" w:type="dxa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70147656</w:t>
            </w:r>
          </w:p>
        </w:tc>
        <w:tc>
          <w:tcPr>
            <w:tcW w:w="1581" w:type="dxa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文件柜</w:t>
            </w:r>
          </w:p>
        </w:tc>
        <w:tc>
          <w:tcPr>
            <w:tcW w:w="4540" w:type="dxa"/>
          </w:tcPr>
          <w:p>
            <w:pPr>
              <w:jc w:val="both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1820×850×390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mm1.材质：采用一级冷轧钢板，柜体≥0.6mm厚。</w:t>
            </w:r>
          </w:p>
          <w:p>
            <w:pPr>
              <w:jc w:val="both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2.工艺：表面经过除油、除锈、磷化、钝化等防锈处理，再进行静电粉末喷涂，表面光滑平整无瑕疵，确保使用期间内不生锈。</w:t>
            </w:r>
          </w:p>
          <w:p>
            <w:pPr>
              <w:jc w:val="both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3.结构：上节内设两块可调层板，下节一块层板。</w:t>
            </w:r>
          </w:p>
        </w:tc>
        <w:tc>
          <w:tcPr>
            <w:tcW w:w="770" w:type="dxa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套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3910" w:type="dxa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 w:eastAsiaTheme="minorEastAsia"/>
                <w:sz w:val="24"/>
                <w:szCs w:val="32"/>
                <w:lang w:eastAsia="zh-CN"/>
              </w:rPr>
              <w:drawing>
                <wp:inline distT="0" distB="0" distL="114300" distR="114300">
                  <wp:extent cx="2336800" cy="2336800"/>
                  <wp:effectExtent l="0" t="0" r="0" b="0"/>
                  <wp:docPr id="4" name="图片 4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23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F092E"/>
    <w:rsid w:val="450779CA"/>
    <w:rsid w:val="5F983439"/>
    <w:rsid w:val="732D3AE3"/>
    <w:rsid w:val="7360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2025-06-25T08:35:00Z</dcterms:created>
  <dc:creator>yiran2013</dc:creator>
  <cp:lastModifiedBy>Administrator</cp:lastModifiedBy>
  <dcterms:modified xsi:type="dcterms:W3CDTF">2025-06-30T02:36:47Z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KSOTemplateDocerSaveRecord">
    <vt:lpwstr>eyJoZGlkIjoiYTc2ZGZiNzZiNDVlOGViOWVmM2JhOTY0NGJkNjUyYzgiLCJ1c2VySWQiOiI0NDEyMDE2NDYifQ==</vt:lpwstr>
  </property>
  <property fmtid="{D5CDD505-2E9C-101B-9397-08002B2CF9AE}" pid="4" name="ICV">
    <vt:lpwstr>091003A7AD734E869F5130030A87EC7F_12</vt:lpwstr>
  </property>
</Properties>
</file>