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制氮吸附筒技术规格书</w:t>
      </w:r>
      <w:bookmarkEnd w:id="0"/>
    </w:p>
    <w:p>
      <w:pPr>
        <w:pStyle w:val="2"/>
        <w:rPr>
          <w:rFonts w:ascii="宋体" w:hAnsi="宋体" w:eastAsia="宋体" w:cs="宋体"/>
          <w:b/>
        </w:rPr>
      </w:pPr>
    </w:p>
    <w:p>
      <w:pPr>
        <w:pStyle w:val="2"/>
        <w:rPr>
          <w:rFonts w:ascii="宋体" w:hAnsi="宋体" w:eastAsia="宋体" w:cs="宋体"/>
          <w:b/>
        </w:rPr>
      </w:pPr>
    </w:p>
    <w:p>
      <w:pPr>
        <w:numPr>
          <w:ilvl w:val="0"/>
          <w:numId w:val="1"/>
        </w:numPr>
        <w:spacing w:line="360" w:lineRule="auto"/>
        <w:jc w:val="left"/>
        <w:outlineLvl w:val="1"/>
        <w:rPr>
          <w:rFonts w:ascii="宋体" w:hAnsi="宋体" w:cs="宋体"/>
          <w:b/>
          <w:sz w:val="24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供货范围及参数：</w:t>
      </w:r>
    </w:p>
    <w:tbl>
      <w:tblPr>
        <w:tblStyle w:val="5"/>
        <w:tblpPr w:leftFromText="180" w:rightFromText="180" w:vertAnchor="text" w:horzAnchor="page" w:tblpX="2242" w:tblpY="248"/>
        <w:tblOverlap w:val="never"/>
        <w:tblW w:w="950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395"/>
        <w:gridCol w:w="2337"/>
        <w:gridCol w:w="740"/>
        <w:gridCol w:w="725"/>
        <w:gridCol w:w="1840"/>
        <w:gridCol w:w="12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设备名称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规格型号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技术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参数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单位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备注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品牌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制氮吸附筒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ZSN-4600型变压吸附制氮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氮气纯度： ≥99.5%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常压露点： ≤-50℃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 尘 量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≤0.01um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工作压力：0.8MPa（G）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氮气压力：0.7MPa（G）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压力损失： ≤0.1MPa</w:t>
            </w:r>
          </w:p>
          <w:p>
            <w:pPr>
              <w:rPr>
                <w:rFonts w:hint="default" w:eastAsia="新宋体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流量： ≥4600m3/h(标准状态)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sq-AL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sq-AL"/>
              </w:rPr>
              <w:t>台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sq-AL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Arial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制氮吸附塔内构件包含：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Arial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Arial"/>
                <w:kern w:val="2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迷宫式气流扩散器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国家发明专利：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200910153316.3)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Arial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Arial"/>
                <w:kern w:val="2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气流旋风式空气扩散装置（国家专利号：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ZL200920198345.7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Arial"/>
                <w:kern w:val="2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中部均压管。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Arial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附件包含压紧气缸、耶垫、丝网。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浙江正大空分</w: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outlineLvl w:val="1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性能</w:t>
      </w:r>
      <w:r>
        <w:rPr>
          <w:rFonts w:hint="eastAsia" w:ascii="宋体" w:hAnsi="宋体" w:cs="宋体"/>
          <w:b/>
          <w:sz w:val="24"/>
          <w:lang w:val="zh-CN"/>
        </w:rPr>
        <w:t>参数：</w:t>
      </w:r>
    </w:p>
    <w:p>
      <w:pPr>
        <w:spacing w:line="360" w:lineRule="auto"/>
        <w:ind w:left="495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吸附塔（主要技术参数）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型    号：ZSN-4600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材    质：Q345R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eastAsia" w:ascii="宋体" w:hAnsi="宋体"/>
          <w:color w:val="000000"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red"/>
          <w:lang w:val="en-US" w:eastAsia="zh-CN"/>
        </w:rPr>
        <w:t>容器封头厚度：14mm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default" w:ascii="宋体" w:hAnsi="宋体"/>
          <w:color w:val="000000"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red"/>
          <w:lang w:val="en-US" w:eastAsia="zh-CN"/>
        </w:rPr>
        <w:t>容器直边厚度：12mm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设计温度：80℃</w:t>
      </w:r>
    </w:p>
    <w:p>
      <w:pPr>
        <w:numPr>
          <w:ilvl w:val="0"/>
          <w:numId w:val="2"/>
        </w:numPr>
        <w:tabs>
          <w:tab w:val="left" w:pos="945"/>
          <w:tab w:val="clear" w:pos="915"/>
        </w:tabs>
        <w:spacing w:line="360" w:lineRule="auto"/>
        <w:ind w:left="945"/>
        <w:rPr>
          <w:rFonts w:hint="default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工作温度：45℃</w:t>
      </w:r>
    </w:p>
    <w:tbl>
      <w:tblPr>
        <w:tblStyle w:val="5"/>
        <w:tblpPr w:leftFromText="180" w:rightFromText="180" w:vertAnchor="text" w:horzAnchor="page" w:tblpX="2237" w:tblpY="478"/>
        <w:tblOverlap w:val="never"/>
        <w:tblW w:w="952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1"/>
        <w:gridCol w:w="63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标准号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标准、规范名称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JB/T 6427-2001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变压吸附制氧、制氮设备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GB150-2011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钢制压力容器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TSG R0004-2009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《固定式压力容器安全技术监察规程》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TSG R0003-2007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《简单压力容器安全技术监察规程》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GB713-2008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锅炉和压力容器用钢板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HG/T20592-2009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管法兰标准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JB/T4700~4707-2005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压力容器法兰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GB/T 13306-2011</w:t>
            </w:r>
          </w:p>
        </w:tc>
        <w:tc>
          <w:tcPr>
            <w:tcW w:w="6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Ansi="宋体"/>
                <w:b/>
                <w:bCs/>
                <w:spacing w:val="4"/>
                <w:szCs w:val="24"/>
              </w:rPr>
            </w:pPr>
            <w:r>
              <w:rPr>
                <w:rFonts w:hint="eastAsia" w:hAnsi="宋体"/>
                <w:szCs w:val="24"/>
              </w:rPr>
              <w:t>标牌</w:t>
            </w:r>
          </w:p>
        </w:tc>
      </w:tr>
    </w:tbl>
    <w:p>
      <w:pPr>
        <w:pStyle w:val="2"/>
      </w:pP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三</w:t>
      </w:r>
      <w:r>
        <w:rPr>
          <w:rFonts w:hint="eastAsia" w:ascii="宋体" w:hAnsi="宋体" w:cs="宋体"/>
          <w:b/>
          <w:sz w:val="24"/>
        </w:rPr>
        <w:t>、质量要求：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1、乙方应保证提供符合现有技术和标准文件的优质产品。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2、乙方提供的设备必须具有是全新、规范、先进的高质量可靠产品，能够确保连续稳定、安全工作。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3、乙方应持有相应特种设备制造许可证，在设备的材料采购、制造、检验等过程须符合国家标准、规范要求，并对所提供设备质量负责。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4、乙方须对</w:t>
      </w:r>
      <w:r>
        <w:rPr>
          <w:rFonts w:hint="eastAsia" w:ascii="宋体" w:hAnsi="宋体" w:cs="宋体"/>
          <w:sz w:val="24"/>
          <w:lang w:eastAsia="zh-CN"/>
        </w:rPr>
        <w:t>吸附筒</w:t>
      </w:r>
      <w:r>
        <w:rPr>
          <w:rFonts w:hint="eastAsia" w:ascii="宋体" w:hAnsi="宋体" w:cs="宋体"/>
          <w:sz w:val="24"/>
        </w:rPr>
        <w:t>的完整性、合理性和设计质量承担全部责任，保证其达到正常使用要求。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5、设备本质保证期限为12个月，从设备登记注册下发使用证之日起计；质量保证期内如正常使用而出现质量问题乙方应负责无偿处理，直至恢复设备使用性能，造成甲方损失的，由双方协商处理。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6、设备安装调试后带负荷运行试车，72小时内运行稳定、可靠、设备的性能达到规定技术要求。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7、质保期结束后，设备出现质量问题，乙方仍提供上门服务，若因人为操作造成设备部件损坏，费用由甲方承担；若在部件使用寿命期间出现制造质量问题，费用由乙方承担。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四</w:t>
      </w:r>
      <w:r>
        <w:rPr>
          <w:rFonts w:hint="eastAsia" w:ascii="宋体" w:hAnsi="宋体" w:cs="宋体"/>
          <w:b/>
          <w:sz w:val="24"/>
        </w:rPr>
        <w:t>、设备制造验收标准：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1、乙方应保证所有交货设备符合本技术协议的要求，并且应保证设计、材质、制造、性能等全部没有缺陷及使用障碍。现场安装后提供技术指导及负荷试车服务，直至生产运行正常。设备交付后，乙方对所提供的设备进行跟踪服务，提供终身技术服务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如在安装调试和试运期间发现部件缺陷、损坏情况，在证实设备储存安装、维护和运行都符合要求时，乙方应尽快免费更换。若出现产品质量问题，乙方在接到甲方通知后1个工作日内予以答复（明确解决方案），如需现场解决问题，乙方应在48小时内派技术人员抵达现场安排进行处理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3、乙方负责</w:t>
      </w:r>
      <w:r>
        <w:rPr>
          <w:rFonts w:hint="eastAsia" w:ascii="宋体" w:hAnsi="宋体" w:cs="宋体"/>
          <w:sz w:val="24"/>
          <w:highlight w:val="red"/>
          <w:lang w:val="en-US" w:eastAsia="zh-CN"/>
        </w:rPr>
        <w:t>制氮吸附筒</w:t>
      </w:r>
      <w:r>
        <w:rPr>
          <w:rFonts w:hint="eastAsia" w:ascii="宋体" w:hAnsi="宋体" w:cs="宋体"/>
          <w:sz w:val="24"/>
          <w:highlight w:val="red"/>
        </w:rPr>
        <w:t>设备</w:t>
      </w:r>
      <w:r>
        <w:rPr>
          <w:rFonts w:hint="eastAsia" w:ascii="宋体" w:hAnsi="宋体" w:cs="宋体"/>
          <w:sz w:val="24"/>
          <w:highlight w:val="red"/>
          <w:lang w:val="en-US" w:eastAsia="zh-CN"/>
        </w:rPr>
        <w:t>指导</w:t>
      </w:r>
      <w:r>
        <w:rPr>
          <w:rFonts w:hint="eastAsia" w:ascii="宋体" w:hAnsi="宋体" w:cs="宋体"/>
          <w:sz w:val="24"/>
          <w:highlight w:val="red"/>
        </w:rPr>
        <w:t>安装调试工作</w:t>
      </w:r>
      <w:r>
        <w:rPr>
          <w:rFonts w:hint="eastAsia" w:ascii="宋体" w:hAnsi="宋体" w:cs="宋体"/>
          <w:sz w:val="24"/>
        </w:rPr>
        <w:t>，直至达到技术质量要求。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4、所提供的备件在现场按技术要求进行验收，验收如存在质量问题，乙方无条件负责免费更换。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五</w:t>
      </w:r>
      <w:r>
        <w:rPr>
          <w:rFonts w:hint="eastAsia" w:ascii="宋体" w:hAnsi="宋体" w:cs="宋体"/>
          <w:b/>
          <w:sz w:val="24"/>
        </w:rPr>
        <w:t>、设备的功能考核与验收：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1、所提供的设备必须达到技术规格要求。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2、在调试过程中，由于乙方原因造成设备的损坏或损伤，由乙方承担全部损失。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3、在所有测试、考核和验收中，甲方将协助乙方提供必需的测试条件。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4、在所有测试、考核结束后，乙方应提供测试报告。该测试报告经甲方确认并签字后有效，它将作为验收的依据存档。</w:t>
      </w:r>
    </w:p>
    <w:p>
      <w:pPr>
        <w:snapToGrid w:val="0"/>
        <w:spacing w:line="360" w:lineRule="auto"/>
        <w:rPr>
          <w:rFonts w:hint="eastAsia" w:ascii="宋体" w:hAnsi="宋体" w:cs="宋体"/>
          <w:b/>
          <w:sz w:val="24"/>
          <w:lang w:eastAsia="zh-CN"/>
        </w:rPr>
      </w:pPr>
      <w:r>
        <w:rPr>
          <w:rFonts w:hint="eastAsia" w:ascii="宋体" w:hAnsi="宋体" w:cs="宋体"/>
          <w:b/>
          <w:sz w:val="24"/>
          <w:lang w:eastAsia="zh-CN"/>
        </w:rPr>
        <w:t>六、交货地点及交货期</w:t>
      </w:r>
    </w:p>
    <w:p>
      <w:pPr>
        <w:snapToGrid w:val="0"/>
        <w:spacing w:line="360" w:lineRule="auto"/>
        <w:ind w:firstLine="537" w:firstLineChars="224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交货地点：甘肃</w:t>
      </w:r>
      <w:r>
        <w:rPr>
          <w:rFonts w:hint="eastAsia" w:ascii="宋体" w:hAnsi="宋体" w:cs="宋体"/>
          <w:sz w:val="24"/>
          <w:lang w:val="en-US" w:eastAsia="zh-CN"/>
        </w:rPr>
        <w:t>宏汇能源化工有限公司   张宁13321267641</w:t>
      </w:r>
    </w:p>
    <w:p>
      <w:pPr>
        <w:snapToGrid w:val="0"/>
        <w:spacing w:line="360" w:lineRule="auto"/>
        <w:ind w:firstLine="537" w:firstLineChars="22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交货日期：</w:t>
      </w:r>
      <w:r>
        <w:rPr>
          <w:rFonts w:hint="eastAsia" w:ascii="宋体" w:hAnsi="宋体" w:cs="宋体"/>
          <w:sz w:val="24"/>
          <w:lang w:val="en-US" w:eastAsia="zh-CN"/>
        </w:rPr>
        <w:t>2024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31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乙方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公司不能中标，则本技术协议自动失效，双方互不承担任何责任。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甲方：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                                     乙方：</w:t>
      </w: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adjustRightInd w:val="0"/>
        <w:spacing w:line="360" w:lineRule="atLeast"/>
        <w:jc w:val="left"/>
        <w:textAlignment w:val="baseline"/>
        <w:rPr>
          <w:rFonts w:hint="eastAsia"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甲方代表：</w:t>
      </w:r>
      <w:r>
        <w:rPr>
          <w:rFonts w:ascii="宋体" w:hAnsi="宋体"/>
          <w:b/>
          <w:kern w:val="0"/>
          <w:szCs w:val="21"/>
        </w:rPr>
        <w:tab/>
      </w:r>
      <w:r>
        <w:rPr>
          <w:rFonts w:hint="eastAsia" w:ascii="宋体" w:hAnsi="宋体"/>
          <w:b/>
          <w:kern w:val="0"/>
          <w:szCs w:val="21"/>
        </w:rPr>
        <w:t xml:space="preserve">                        </w:t>
      </w:r>
      <w:r>
        <w:rPr>
          <w:rFonts w:hint="eastAsia" w:ascii="宋体" w:hAnsi="宋体"/>
          <w:b/>
          <w:kern w:val="0"/>
          <w:szCs w:val="21"/>
          <w:lang w:val="en-US" w:eastAsia="zh-CN"/>
        </w:rPr>
        <w:t xml:space="preserve">             </w:t>
      </w:r>
      <w:r>
        <w:rPr>
          <w:rFonts w:hint="eastAsia" w:ascii="宋体" w:hAnsi="宋体"/>
          <w:b/>
          <w:kern w:val="0"/>
          <w:szCs w:val="21"/>
        </w:rPr>
        <w:t xml:space="preserve">  乙方代表：</w:t>
      </w:r>
    </w:p>
    <w:p>
      <w:pPr>
        <w:tabs>
          <w:tab w:val="left" w:pos="3179"/>
        </w:tabs>
        <w:adjustRightInd w:val="0"/>
        <w:spacing w:line="360" w:lineRule="atLeast"/>
        <w:jc w:val="left"/>
        <w:textAlignment w:val="baseline"/>
        <w:rPr>
          <w:rFonts w:hint="eastAsia" w:ascii="宋体" w:hAnsi="宋体"/>
          <w:b/>
          <w:kern w:val="0"/>
          <w:szCs w:val="21"/>
        </w:rPr>
      </w:pPr>
    </w:p>
    <w:p>
      <w:pPr>
        <w:adjustRightInd w:val="0"/>
        <w:spacing w:line="360" w:lineRule="atLeast"/>
        <w:jc w:val="left"/>
        <w:textAlignment w:val="baseline"/>
        <w:rPr>
          <w:rFonts w:hint="eastAsia" w:ascii="宋体" w:hAnsi="宋体"/>
          <w:b/>
          <w:kern w:val="0"/>
          <w:szCs w:val="21"/>
        </w:rPr>
      </w:pPr>
    </w:p>
    <w:p>
      <w:pPr>
        <w:widowControl/>
        <w:jc w:val="left"/>
        <w:rPr>
          <w:rFonts w:ascii="宋体" w:hAnsi="宋体"/>
          <w:b/>
          <w:sz w:val="36"/>
          <w:szCs w:val="36"/>
          <w:lang w:val="sq-AL"/>
        </w:rPr>
      </w:pPr>
      <w:r>
        <w:rPr>
          <w:rFonts w:hint="eastAsia" w:ascii="宋体" w:hAnsi="宋体"/>
          <w:b/>
          <w:kern w:val="0"/>
          <w:szCs w:val="21"/>
        </w:rPr>
        <w:t xml:space="preserve">   年   月   日</w:t>
      </w:r>
      <w:r>
        <w:rPr>
          <w:rFonts w:ascii="宋体" w:hAnsi="宋体"/>
          <w:b/>
          <w:kern w:val="0"/>
          <w:szCs w:val="21"/>
        </w:rPr>
        <w:tab/>
      </w:r>
      <w:r>
        <w:rPr>
          <w:rFonts w:hint="eastAsia" w:ascii="宋体" w:hAnsi="宋体"/>
          <w:b/>
          <w:kern w:val="0"/>
          <w:szCs w:val="21"/>
        </w:rPr>
        <w:t xml:space="preserve">                           </w:t>
      </w:r>
      <w:r>
        <w:rPr>
          <w:rFonts w:hint="eastAsia" w:ascii="宋体" w:hAnsi="宋体"/>
          <w:b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b/>
          <w:kern w:val="0"/>
          <w:szCs w:val="21"/>
        </w:rPr>
        <w:t xml:space="preserve">  年   月   日</w:t>
      </w:r>
    </w:p>
    <w:p>
      <w:pPr>
        <w:pStyle w:val="2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sectPr>
      <w:footerReference r:id="rId3" w:type="default"/>
      <w:pgSz w:w="11906" w:h="16838"/>
      <w:pgMar w:top="113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75717"/>
    <w:multiLevelType w:val="singleLevel"/>
    <w:tmpl w:val="374757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D1188B"/>
    <w:multiLevelType w:val="multilevel"/>
    <w:tmpl w:val="67D1188B"/>
    <w:lvl w:ilvl="0" w:tentative="0">
      <w:start w:val="1"/>
      <w:numFmt w:val="bullet"/>
      <w:lvlText w:val=""/>
      <w:lvlJc w:val="left"/>
      <w:pPr>
        <w:tabs>
          <w:tab w:val="left" w:pos="915"/>
        </w:tabs>
        <w:ind w:left="915" w:hanging="420"/>
      </w:pPr>
      <w:rPr>
        <w:rFonts w:hint="default" w:ascii="Wingdings" w:hAnsi="Wingdings"/>
        <w:color w:val="auto"/>
        <w:sz w:val="24"/>
        <w:szCs w:val="24"/>
      </w:rPr>
    </w:lvl>
    <w:lvl w:ilvl="1" w:tentative="0">
      <w:start w:val="1"/>
      <w:numFmt w:val="bullet"/>
      <w:lvlText w:val=""/>
      <w:lvlJc w:val="left"/>
      <w:pPr>
        <w:tabs>
          <w:tab w:val="left" w:pos="1335"/>
        </w:tabs>
        <w:ind w:left="1335" w:hanging="420"/>
      </w:pPr>
      <w:rPr>
        <w:rFonts w:hint="default" w:ascii="Wingdings" w:hAnsi="Wingdings"/>
        <w:color w:val="auto"/>
      </w:rPr>
    </w:lvl>
    <w:lvl w:ilvl="2" w:tentative="0">
      <w:start w:val="1"/>
      <w:numFmt w:val="bullet"/>
      <w:lvlText w:val=""/>
      <w:lvlJc w:val="left"/>
      <w:pPr>
        <w:tabs>
          <w:tab w:val="left" w:pos="1755"/>
        </w:tabs>
        <w:ind w:left="175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75"/>
        </w:tabs>
        <w:ind w:left="217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95"/>
        </w:tabs>
        <w:ind w:left="259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015"/>
        </w:tabs>
        <w:ind w:left="301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435"/>
        </w:tabs>
        <w:ind w:left="343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855"/>
        </w:tabs>
        <w:ind w:left="385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75"/>
        </w:tabs>
        <w:ind w:left="427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xNGJmMmM3YTM2YmJkZjRiZGVhY2E3ZDJhMzE4OTMifQ=="/>
  </w:docVars>
  <w:rsids>
    <w:rsidRoot w:val="545B00E0"/>
    <w:rsid w:val="001C3B77"/>
    <w:rsid w:val="001D127D"/>
    <w:rsid w:val="00226494"/>
    <w:rsid w:val="002A48B4"/>
    <w:rsid w:val="004B5856"/>
    <w:rsid w:val="005E575F"/>
    <w:rsid w:val="005F05A2"/>
    <w:rsid w:val="00600532"/>
    <w:rsid w:val="0060284C"/>
    <w:rsid w:val="00806C1C"/>
    <w:rsid w:val="00876EFC"/>
    <w:rsid w:val="009023D3"/>
    <w:rsid w:val="00924C95"/>
    <w:rsid w:val="00AB2E16"/>
    <w:rsid w:val="00AC1226"/>
    <w:rsid w:val="00AE1B81"/>
    <w:rsid w:val="00BE0E98"/>
    <w:rsid w:val="00DC1BBC"/>
    <w:rsid w:val="00FD4377"/>
    <w:rsid w:val="00FF7DE4"/>
    <w:rsid w:val="01E139E4"/>
    <w:rsid w:val="02345933"/>
    <w:rsid w:val="04024A44"/>
    <w:rsid w:val="04CE55DE"/>
    <w:rsid w:val="06AB431A"/>
    <w:rsid w:val="083628ED"/>
    <w:rsid w:val="09362768"/>
    <w:rsid w:val="0AEE277F"/>
    <w:rsid w:val="0B315AD3"/>
    <w:rsid w:val="0C1D0288"/>
    <w:rsid w:val="0C6572C5"/>
    <w:rsid w:val="0C8A2C23"/>
    <w:rsid w:val="0D49062D"/>
    <w:rsid w:val="0D8536BD"/>
    <w:rsid w:val="0F307AB2"/>
    <w:rsid w:val="10D279E9"/>
    <w:rsid w:val="11505FBB"/>
    <w:rsid w:val="11546DC4"/>
    <w:rsid w:val="117F262B"/>
    <w:rsid w:val="11BD13A5"/>
    <w:rsid w:val="141450F1"/>
    <w:rsid w:val="174B6A7F"/>
    <w:rsid w:val="1A4646AB"/>
    <w:rsid w:val="1C714F0D"/>
    <w:rsid w:val="1CC80EC6"/>
    <w:rsid w:val="1D2F1B6F"/>
    <w:rsid w:val="1E340C41"/>
    <w:rsid w:val="1FDB2A52"/>
    <w:rsid w:val="238B1303"/>
    <w:rsid w:val="24C044DA"/>
    <w:rsid w:val="25682630"/>
    <w:rsid w:val="25BD21AD"/>
    <w:rsid w:val="2D6F0515"/>
    <w:rsid w:val="2D886EC1"/>
    <w:rsid w:val="2E2E6CB9"/>
    <w:rsid w:val="2F927906"/>
    <w:rsid w:val="2FEA5603"/>
    <w:rsid w:val="30D6342B"/>
    <w:rsid w:val="31CC4642"/>
    <w:rsid w:val="31ED3189"/>
    <w:rsid w:val="33C87867"/>
    <w:rsid w:val="342E6182"/>
    <w:rsid w:val="36971411"/>
    <w:rsid w:val="37757EE3"/>
    <w:rsid w:val="38D55B7C"/>
    <w:rsid w:val="38E140B2"/>
    <w:rsid w:val="3A7B57D6"/>
    <w:rsid w:val="3A8C418F"/>
    <w:rsid w:val="3CD613E9"/>
    <w:rsid w:val="3D857043"/>
    <w:rsid w:val="40931465"/>
    <w:rsid w:val="41C276F1"/>
    <w:rsid w:val="4D0F5E59"/>
    <w:rsid w:val="4E3B4A67"/>
    <w:rsid w:val="4E9E6D0A"/>
    <w:rsid w:val="4EF265D8"/>
    <w:rsid w:val="50967C10"/>
    <w:rsid w:val="53574AD9"/>
    <w:rsid w:val="545B00E0"/>
    <w:rsid w:val="550463F8"/>
    <w:rsid w:val="560969A2"/>
    <w:rsid w:val="561548D9"/>
    <w:rsid w:val="565644DB"/>
    <w:rsid w:val="566C0EEA"/>
    <w:rsid w:val="57C942D5"/>
    <w:rsid w:val="5A271671"/>
    <w:rsid w:val="5B275232"/>
    <w:rsid w:val="5D0B0C89"/>
    <w:rsid w:val="5D426316"/>
    <w:rsid w:val="5EB72109"/>
    <w:rsid w:val="5F8274C3"/>
    <w:rsid w:val="6045632E"/>
    <w:rsid w:val="61763176"/>
    <w:rsid w:val="62B86D17"/>
    <w:rsid w:val="646315C1"/>
    <w:rsid w:val="65847385"/>
    <w:rsid w:val="65E16585"/>
    <w:rsid w:val="688B4E92"/>
    <w:rsid w:val="68D55C77"/>
    <w:rsid w:val="69805AE1"/>
    <w:rsid w:val="6A333127"/>
    <w:rsid w:val="6C891E5D"/>
    <w:rsid w:val="6E0663DE"/>
    <w:rsid w:val="707E5907"/>
    <w:rsid w:val="70D54F38"/>
    <w:rsid w:val="70DC0166"/>
    <w:rsid w:val="71E64DDC"/>
    <w:rsid w:val="72521989"/>
    <w:rsid w:val="73350736"/>
    <w:rsid w:val="767263BB"/>
    <w:rsid w:val="78AB696F"/>
    <w:rsid w:val="7AE21CA9"/>
    <w:rsid w:val="7BF30DFF"/>
    <w:rsid w:val="7C5F249A"/>
    <w:rsid w:val="7D4D31DA"/>
    <w:rsid w:val="7DF53835"/>
    <w:rsid w:val="7E105802"/>
    <w:rsid w:val="7E3D05C1"/>
    <w:rsid w:val="7F7D7D3E"/>
    <w:rsid w:val="7F95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" w:hAnsi="Times New Roman" w:eastAsia="新宋体" w:cs="新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式样1"/>
    <w:basedOn w:val="1"/>
    <w:qFormat/>
    <w:uiPriority w:val="0"/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761</Words>
  <Characters>4338</Characters>
  <Lines>36</Lines>
  <Paragraphs>10</Paragraphs>
  <TotalTime>0</TotalTime>
  <ScaleCrop>false</ScaleCrop>
  <LinksUpToDate>false</LinksUpToDate>
  <CharactersWithSpaces>5089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2023-01-16T06:58:00Z</dcterms:created>
  <dc:creator>精忠报国</dc:creator>
  <cp:lastModifiedBy>付庭阁</cp:lastModifiedBy>
  <cp:lastPrinted>2023-06-29T06:55:00Z</cp:lastPrinted>
  <dcterms:modified xsi:type="dcterms:W3CDTF">2023-11-15T02:43:55Z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3A71AB94B5394E78AF6BF7A453D4E827</vt:lpwstr>
  </property>
</Properties>
</file>