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2FBC1">
      <w:pPr>
        <w:autoSpaceDE w:val="0"/>
        <w:autoSpaceDN w:val="0"/>
        <w:spacing w:line="360" w:lineRule="auto"/>
        <w:ind w:firstLine="883" w:firstLineChars="200"/>
        <w:jc w:val="both"/>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39FF5980">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回转机构缓冲器\Z1240TL-406BZ 开口机</w:t>
      </w:r>
    </w:p>
    <w:p w14:paraId="0E95F27B">
      <w:pPr>
        <w:snapToGrid w:val="0"/>
        <w:spacing w:line="360" w:lineRule="auto"/>
        <w:ind w:right="-447"/>
        <w:jc w:val="center"/>
        <w:rPr>
          <w:rFonts w:hint="default"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(70418603)</w:t>
      </w:r>
    </w:p>
    <w:p w14:paraId="050C1C0F">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链条涨紧轮\Z1240TL-103BZ-3 开口机</w:t>
      </w:r>
    </w:p>
    <w:p w14:paraId="0E0A3010">
      <w:pPr>
        <w:snapToGrid w:val="0"/>
        <w:spacing w:line="360" w:lineRule="auto"/>
        <w:ind w:right="-447"/>
        <w:jc w:val="center"/>
        <w:rPr>
          <w:rFonts w:hint="default"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(70418604)</w:t>
      </w:r>
    </w:p>
    <w:p w14:paraId="1A72702A">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链条涨紧轮销轴\Z1240TL-102BZ-10 开口机</w:t>
      </w:r>
    </w:p>
    <w:p w14:paraId="22C38608">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(70418605)</w:t>
      </w:r>
    </w:p>
    <w:p w14:paraId="41615E9E">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回转油缸销轴二\Z1240TL-405BZ 开口机</w:t>
      </w:r>
    </w:p>
    <w:p w14:paraId="5B978122">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(70418613)</w:t>
      </w:r>
    </w:p>
    <w:p w14:paraId="2EFF2E8D">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回转油缸销轴一\Z1240TL-404BZ 开口机</w:t>
      </w:r>
    </w:p>
    <w:p w14:paraId="32D8A9D0">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(70418612)</w:t>
      </w:r>
    </w:p>
    <w:p w14:paraId="480C1878">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倾斜油缸销轴二\Z1240TL-206BZ 开口机</w:t>
      </w:r>
    </w:p>
    <w:p w14:paraId="21959D5F">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(70418611)</w:t>
      </w:r>
    </w:p>
    <w:p w14:paraId="65494A62">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倾斜油缸销轴一\Z1240TL-204BZ 开口机</w:t>
      </w:r>
    </w:p>
    <w:p w14:paraId="19CA4AA6">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(70418610)</w:t>
      </w:r>
    </w:p>
    <w:p w14:paraId="7995FCAD">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链条前导向轮销轴\Z1240TL-103BZ-1 开口机</w:t>
      </w:r>
    </w:p>
    <w:p w14:paraId="2B822C2D">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(70418609)</w:t>
      </w:r>
    </w:p>
    <w:p w14:paraId="1D948353">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链条前导向轮\Z1240TL-103BZ-3 开口机</w:t>
      </w:r>
    </w:p>
    <w:p w14:paraId="4407B5CE">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(70418608)</w:t>
      </w:r>
    </w:p>
    <w:p w14:paraId="3BF0F4FC">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链条后导向轮销轴\Z1240TL-102BZ-6 开口机</w:t>
      </w:r>
    </w:p>
    <w:p w14:paraId="1CFCC625">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(70418607)</w:t>
      </w:r>
    </w:p>
    <w:p w14:paraId="193C17F6">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链条后导向轮\Z1240TL-102BZ-11 开口机</w:t>
      </w:r>
    </w:p>
    <w:p w14:paraId="2871A34C">
      <w:pPr>
        <w:snapToGrid w:val="0"/>
        <w:spacing w:line="360" w:lineRule="auto"/>
        <w:ind w:right="-447"/>
        <w:jc w:val="center"/>
        <w:rPr>
          <w:rFonts w:hint="eastAsia" w:ascii="仿宋" w:hAnsi="仿宋" w:eastAsia="仿宋" w:cs="仿宋"/>
          <w:b/>
          <w:color w:val="auto"/>
          <w:sz w:val="32"/>
          <w:szCs w:val="32"/>
          <w:highlight w:val="none"/>
        </w:rPr>
      </w:pPr>
      <w:r>
        <w:rPr>
          <w:rFonts w:hint="eastAsia" w:ascii="仿宋" w:hAnsi="仿宋" w:eastAsia="仿宋" w:cs="仿宋"/>
          <w:b/>
          <w:color w:val="auto"/>
          <w:sz w:val="28"/>
          <w:szCs w:val="40"/>
          <w:highlight w:val="none"/>
          <w:lang w:val="en-US" w:eastAsia="zh-CN"/>
        </w:rPr>
        <w:t>(70418606)</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40"/>
          <w:szCs w:val="52"/>
          <w:highlight w:val="none"/>
        </w:rPr>
        <w:t>采购技术</w:t>
      </w:r>
      <w:r>
        <w:rPr>
          <w:rFonts w:hint="eastAsia" w:ascii="仿宋" w:hAnsi="仿宋" w:eastAsia="仿宋" w:cs="仿宋"/>
          <w:b/>
          <w:color w:val="auto"/>
          <w:sz w:val="40"/>
          <w:szCs w:val="52"/>
          <w:highlight w:val="none"/>
          <w:lang w:val="en-US" w:eastAsia="zh-CN"/>
        </w:rPr>
        <w:t>规格书</w:t>
      </w:r>
    </w:p>
    <w:p w14:paraId="00E5C296">
      <w:pPr>
        <w:snapToGrid w:val="0"/>
        <w:spacing w:line="360" w:lineRule="auto"/>
        <w:ind w:right="-447"/>
        <w:jc w:val="center"/>
        <w:rPr>
          <w:rFonts w:hint="eastAsia" w:ascii="仿宋" w:hAnsi="仿宋" w:eastAsia="仿宋" w:cs="仿宋"/>
          <w:b/>
          <w:color w:val="auto"/>
          <w:sz w:val="36"/>
          <w:szCs w:val="48"/>
          <w:highlight w:val="none"/>
        </w:rPr>
      </w:pPr>
    </w:p>
    <w:p w14:paraId="2BA5DF9D">
      <w:pPr>
        <w:snapToGrid w:val="0"/>
        <w:spacing w:line="360" w:lineRule="auto"/>
        <w:ind w:right="-447"/>
        <w:jc w:val="center"/>
        <w:rPr>
          <w:rFonts w:hint="eastAsia" w:ascii="仿宋" w:hAnsi="仿宋" w:eastAsia="仿宋" w:cs="仿宋"/>
          <w:b/>
          <w:color w:val="auto"/>
          <w:sz w:val="36"/>
          <w:szCs w:val="48"/>
          <w:highlight w:val="none"/>
        </w:rPr>
      </w:pPr>
    </w:p>
    <w:p w14:paraId="38A061F7">
      <w:pPr>
        <w:pStyle w:val="3"/>
        <w:rPr>
          <w:rFonts w:hint="eastAsia" w:ascii="仿宋" w:hAnsi="仿宋" w:eastAsia="仿宋" w:cs="仿宋"/>
          <w:color w:val="auto"/>
          <w:highlight w:val="none"/>
        </w:rPr>
      </w:pPr>
    </w:p>
    <w:p w14:paraId="36F9A90A">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18C6477F">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666132ED">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077B2376">
      <w:pPr>
        <w:snapToGrid w:val="0"/>
        <w:spacing w:before="100" w:beforeAutospacing="1" w:after="100" w:afterAutospacing="1" w:line="360" w:lineRule="auto"/>
        <w:ind w:right="-447" w:firstLine="722" w:firstLineChars="257"/>
        <w:jc w:val="both"/>
        <w:rPr>
          <w:rFonts w:hint="eastAsia" w:ascii="仿宋" w:hAnsi="仿宋" w:eastAsia="仿宋" w:cs="仿宋"/>
          <w:color w:val="auto"/>
          <w:sz w:val="48"/>
          <w:szCs w:val="48"/>
          <w:highlight w:val="none"/>
        </w:rPr>
      </w:pPr>
      <w:r>
        <w:rPr>
          <w:rFonts w:hint="eastAsia" w:ascii="仿宋" w:hAnsi="仿宋" w:eastAsia="仿宋" w:cs="仿宋"/>
          <w:b/>
          <w:color w:val="auto"/>
          <w:sz w:val="28"/>
          <w:szCs w:val="28"/>
          <w:highlight w:val="none"/>
        </w:rPr>
        <w:t>乙方代表（签字）：</w:t>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lang w:val="en-US" w:eastAsia="zh-CN"/>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日</w:t>
      </w:r>
    </w:p>
    <w:p w14:paraId="00CDCE9B">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Cs/>
          <w:color w:val="auto"/>
          <w:highlight w:val="none"/>
        </w:rPr>
        <w:br w:type="textWrapping"/>
      </w:r>
      <w:r>
        <w:rPr>
          <w:rFonts w:hint="eastAsia" w:ascii="仿宋" w:hAnsi="仿宋" w:eastAsia="仿宋" w:cs="仿宋"/>
          <w:bCs/>
          <w:color w:val="auto"/>
          <w:highlight w:val="none"/>
        </w:rPr>
        <w:br w:type="textWrapping"/>
      </w:r>
      <w:r>
        <w:rPr>
          <w:rFonts w:hint="eastAsia" w:ascii="仿宋" w:hAnsi="仿宋" w:eastAsia="仿宋" w:cs="仿宋"/>
          <w:b/>
          <w:color w:val="auto"/>
          <w:sz w:val="36"/>
          <w:szCs w:val="36"/>
          <w:highlight w:val="none"/>
        </w:rPr>
        <w:t>目    录</w:t>
      </w:r>
    </w:p>
    <w:p w14:paraId="5A0A244E">
      <w:pPr>
        <w:spacing w:line="360" w:lineRule="auto"/>
        <w:ind w:firstLine="3791" w:firstLineChars="1049"/>
        <w:rPr>
          <w:rFonts w:hint="eastAsia" w:ascii="仿宋" w:hAnsi="仿宋" w:eastAsia="仿宋" w:cs="仿宋"/>
          <w:b/>
          <w:color w:val="auto"/>
          <w:sz w:val="36"/>
          <w:szCs w:val="36"/>
          <w:highlight w:val="none"/>
        </w:rPr>
      </w:pPr>
    </w:p>
    <w:p w14:paraId="69210FB1">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31569AC7">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4FCC549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03C2EB80">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30209950">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365B5D6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6F9E5569">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18F6572F">
      <w:pPr>
        <w:snapToGrid w:val="0"/>
        <w:spacing w:line="360" w:lineRule="auto"/>
        <w:ind w:right="-447"/>
        <w:jc w:val="both"/>
        <w:rPr>
          <w:rFonts w:hint="eastAsia" w:ascii="仿宋" w:hAnsi="仿宋" w:eastAsia="仿宋" w:cs="仿宋"/>
          <w:b/>
          <w:color w:val="auto"/>
          <w:sz w:val="28"/>
          <w:szCs w:val="28"/>
          <w:highlight w:val="none"/>
        </w:rPr>
      </w:pPr>
    </w:p>
    <w:p w14:paraId="23E5C7F1">
      <w:pPr>
        <w:snapToGrid w:val="0"/>
        <w:spacing w:line="360" w:lineRule="auto"/>
        <w:ind w:right="-447"/>
        <w:jc w:val="both"/>
        <w:rPr>
          <w:rFonts w:hint="eastAsia" w:ascii="仿宋" w:hAnsi="仿宋" w:eastAsia="仿宋" w:cs="仿宋"/>
          <w:b/>
          <w:color w:val="auto"/>
          <w:sz w:val="28"/>
          <w:szCs w:val="28"/>
          <w:highlight w:val="none"/>
        </w:rPr>
      </w:pPr>
    </w:p>
    <w:p w14:paraId="6D56FEEC">
      <w:pPr>
        <w:snapToGrid w:val="0"/>
        <w:spacing w:line="360" w:lineRule="auto"/>
        <w:ind w:right="-447"/>
        <w:jc w:val="both"/>
        <w:rPr>
          <w:rFonts w:hint="eastAsia" w:ascii="仿宋" w:hAnsi="仿宋" w:eastAsia="仿宋" w:cs="仿宋"/>
          <w:b/>
          <w:color w:val="auto"/>
          <w:sz w:val="28"/>
          <w:szCs w:val="28"/>
          <w:highlight w:val="none"/>
        </w:rPr>
      </w:pPr>
    </w:p>
    <w:p w14:paraId="4396B200">
      <w:pPr>
        <w:snapToGrid w:val="0"/>
        <w:spacing w:line="360" w:lineRule="auto"/>
        <w:ind w:right="-447"/>
        <w:jc w:val="both"/>
        <w:rPr>
          <w:rFonts w:hint="eastAsia" w:ascii="仿宋" w:hAnsi="仿宋" w:eastAsia="仿宋" w:cs="仿宋"/>
          <w:b/>
          <w:color w:val="auto"/>
          <w:sz w:val="28"/>
          <w:szCs w:val="28"/>
          <w:highlight w:val="none"/>
        </w:rPr>
      </w:pPr>
    </w:p>
    <w:p w14:paraId="1EE0DAB0">
      <w:pPr>
        <w:snapToGrid w:val="0"/>
        <w:spacing w:line="360" w:lineRule="auto"/>
        <w:ind w:right="-447"/>
        <w:jc w:val="both"/>
        <w:rPr>
          <w:rFonts w:hint="eastAsia" w:ascii="仿宋" w:hAnsi="仿宋" w:eastAsia="仿宋" w:cs="仿宋"/>
          <w:b/>
          <w:color w:val="auto"/>
          <w:sz w:val="28"/>
          <w:szCs w:val="28"/>
          <w:highlight w:val="none"/>
        </w:rPr>
      </w:pPr>
    </w:p>
    <w:p w14:paraId="46E5266F">
      <w:pPr>
        <w:snapToGrid w:val="0"/>
        <w:spacing w:line="360" w:lineRule="auto"/>
        <w:ind w:right="-447"/>
        <w:jc w:val="both"/>
        <w:rPr>
          <w:rFonts w:hint="eastAsia" w:ascii="仿宋" w:hAnsi="仿宋" w:eastAsia="仿宋" w:cs="仿宋"/>
          <w:b/>
          <w:color w:val="auto"/>
          <w:sz w:val="28"/>
          <w:szCs w:val="28"/>
          <w:highlight w:val="none"/>
        </w:rPr>
      </w:pPr>
    </w:p>
    <w:p w14:paraId="2EF2659D">
      <w:pPr>
        <w:snapToGrid w:val="0"/>
        <w:spacing w:line="360" w:lineRule="auto"/>
        <w:ind w:right="-447"/>
        <w:jc w:val="both"/>
        <w:rPr>
          <w:rFonts w:hint="eastAsia" w:ascii="仿宋" w:hAnsi="仿宋" w:eastAsia="仿宋" w:cs="仿宋"/>
          <w:b/>
          <w:color w:val="auto"/>
          <w:sz w:val="28"/>
          <w:szCs w:val="28"/>
          <w:highlight w:val="none"/>
        </w:rPr>
      </w:pPr>
    </w:p>
    <w:p w14:paraId="0684076A">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31685B28">
      <w:pPr>
        <w:widowControl/>
        <w:autoSpaceDE w:val="0"/>
        <w:autoSpaceDN w:val="0"/>
        <w:adjustRightInd/>
        <w:spacing w:line="360" w:lineRule="auto"/>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链条涨紧轮\Z1240TL-103BZ-3 开口机、回转机构缓冲器\Z1240TL-406BZ 开口机、链条涨紧轮销轴\Z1240TL-102BZ-10 开口机、回转油缸销轴二\Z1240TL-405BZ 开口机、回转油缸销轴一\Z1240TL-404BZ 开口机、倾斜油缸销轴二\Z1240TL-206BZ 开口机、倾斜油缸销轴一\Z1240TL-204BZ 开口机、链条前导向轮销轴\Z1240TL-103BZ-1 开口机、链条前导向轮\Z1240TL-103BZ-3 开口机、链条后导向轮销轴\Z1240TL-102BZ-6 开口机、链条后导向轮\Z1240TL-102BZ-11 开口机</w:t>
      </w:r>
      <w:r>
        <w:rPr>
          <w:rFonts w:hint="eastAsia" w:ascii="仿宋" w:hAnsi="仿宋" w:eastAsia="仿宋" w:cs="仿宋"/>
          <w:color w:val="auto"/>
          <w:sz w:val="21"/>
          <w:szCs w:val="21"/>
          <w:highlight w:val="none"/>
        </w:rPr>
        <w:t>采购经双方协商，达成如下技术协议：</w:t>
      </w:r>
    </w:p>
    <w:p w14:paraId="13B943C5">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4AB961AD">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14:paraId="0AFF8CFA">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03772FE1">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74737715">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4FB7AAD8">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2A84B206">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1.5乙方须对振动电动机的完整性、合理性和设计质量承担全部责任。保证设备满足系统工艺要求。</w:t>
      </w:r>
    </w:p>
    <w:p w14:paraId="20E6D36E">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1E39A4BA">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14:paraId="641BBEC3">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0ED33042">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51B09F57">
      <w:pPr>
        <w:spacing w:line="360" w:lineRule="auto"/>
        <w:ind w:firstLine="411" w:firstLineChars="196"/>
        <w:rPr>
          <w:rFonts w:hint="eastAsia" w:ascii="仿宋" w:hAnsi="仿宋" w:eastAsia="仿宋" w:cs="仿宋"/>
          <w:color w:val="FF0000"/>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rPr>
        <w:t>该</w:t>
      </w:r>
      <w:r>
        <w:rPr>
          <w:rFonts w:hint="eastAsia" w:ascii="仿宋" w:hAnsi="仿宋" w:eastAsia="仿宋" w:cs="仿宋"/>
          <w:color w:val="auto"/>
          <w:sz w:val="21"/>
          <w:szCs w:val="21"/>
          <w:highlight w:val="none"/>
          <w:lang w:val="en-US" w:eastAsia="zh-CN"/>
        </w:rPr>
        <w:t>此批开口机各部位销轴</w:t>
      </w:r>
      <w:r>
        <w:rPr>
          <w:rFonts w:hint="eastAsia" w:ascii="仿宋" w:hAnsi="仿宋" w:eastAsia="仿宋" w:cs="仿宋"/>
          <w:color w:val="auto"/>
          <w:sz w:val="21"/>
          <w:szCs w:val="21"/>
          <w:highlight w:val="none"/>
        </w:rPr>
        <w:t>使用于酒钢</w:t>
      </w:r>
      <w:r>
        <w:rPr>
          <w:rFonts w:hint="eastAsia" w:ascii="仿宋" w:hAnsi="仿宋" w:eastAsia="仿宋" w:cs="仿宋"/>
          <w:color w:val="auto"/>
          <w:sz w:val="21"/>
          <w:szCs w:val="21"/>
          <w:highlight w:val="none"/>
          <w:lang w:val="en-US" w:eastAsia="zh-CN"/>
        </w:rPr>
        <w:t>高炉炉前液压开口机系统</w:t>
      </w:r>
      <w:r>
        <w:rPr>
          <w:rFonts w:hint="eastAsia" w:ascii="仿宋" w:hAnsi="仿宋" w:eastAsia="仿宋" w:cs="仿宋"/>
          <w:color w:val="auto"/>
          <w:sz w:val="21"/>
          <w:szCs w:val="21"/>
          <w:highlight w:val="none"/>
        </w:rPr>
        <w:t>，环境温度为</w:t>
      </w:r>
      <w:r>
        <w:rPr>
          <w:rFonts w:hint="eastAsia" w:ascii="仿宋" w:hAnsi="仿宋" w:eastAsia="仿宋" w:cs="仿宋"/>
          <w:b w:val="0"/>
          <w:bCs w:val="0"/>
          <w:color w:val="auto"/>
          <w:sz w:val="21"/>
          <w:szCs w:val="21"/>
          <w:highlight w:val="none"/>
        </w:rPr>
        <w:t>-30℃</w:t>
      </w:r>
      <w:r>
        <w:rPr>
          <w:rFonts w:hint="eastAsia" w:ascii="仿宋" w:hAnsi="仿宋" w:eastAsia="仿宋" w:cs="仿宋"/>
          <w:b w:val="0"/>
          <w:bCs w:val="0"/>
          <w:color w:val="auto"/>
          <w:sz w:val="21"/>
          <w:szCs w:val="21"/>
          <w:highlight w:val="none"/>
          <w:lang w:val="en-US" w:eastAsia="zh-CN"/>
        </w:rPr>
        <w:t>-650</w:t>
      </w:r>
      <w:r>
        <w:rPr>
          <w:rFonts w:hint="eastAsia" w:ascii="仿宋" w:hAnsi="仿宋" w:eastAsia="仿宋" w:cs="仿宋"/>
          <w:b w:val="0"/>
          <w:bCs w:val="0"/>
          <w:color w:val="auto"/>
          <w:sz w:val="21"/>
          <w:szCs w:val="21"/>
          <w:highlight w:val="none"/>
        </w:rPr>
        <w:t>℃</w:t>
      </w:r>
      <w:r>
        <w:rPr>
          <w:rFonts w:hint="eastAsia" w:ascii="仿宋" w:hAnsi="仿宋" w:eastAsia="仿宋" w:cs="仿宋"/>
          <w:color w:val="auto"/>
          <w:sz w:val="21"/>
          <w:szCs w:val="21"/>
          <w:highlight w:val="none"/>
        </w:rPr>
        <w:t>。海拔1640米。</w:t>
      </w:r>
    </w:p>
    <w:p w14:paraId="7E4E19CF">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2.1.2该</w:t>
      </w:r>
      <w:r>
        <w:rPr>
          <w:rFonts w:hint="eastAsia" w:ascii="仿宋" w:hAnsi="仿宋" w:eastAsia="仿宋" w:cs="仿宋"/>
          <w:color w:val="auto"/>
          <w:sz w:val="21"/>
          <w:szCs w:val="21"/>
          <w:highlight w:val="none"/>
          <w:lang w:eastAsia="zh-CN"/>
        </w:rPr>
        <w:t>销轴安装于</w:t>
      </w:r>
      <w:r>
        <w:rPr>
          <w:rFonts w:hint="eastAsia" w:ascii="仿宋" w:hAnsi="仿宋" w:eastAsia="仿宋" w:cs="仿宋"/>
          <w:color w:val="auto"/>
          <w:sz w:val="21"/>
          <w:szCs w:val="21"/>
          <w:highlight w:val="none"/>
          <w:lang w:val="en-US" w:eastAsia="zh-CN"/>
        </w:rPr>
        <w:t>炉前液压开口机系统。</w:t>
      </w:r>
    </w:p>
    <w:p w14:paraId="2B4A6D79">
      <w:pPr>
        <w:spacing w:line="360" w:lineRule="auto"/>
        <w:ind w:firstLine="413" w:firstLineChars="196"/>
        <w:rPr>
          <w:rFonts w:hint="eastAsia" w:ascii="仿宋" w:hAnsi="仿宋" w:eastAsia="仿宋" w:cs="仿宋"/>
          <w:color w:val="auto"/>
          <w:sz w:val="21"/>
          <w:szCs w:val="21"/>
          <w:highlight w:val="none"/>
          <w:lang w:eastAsia="zh-CN"/>
        </w:rPr>
      </w:pPr>
      <w:bookmarkStart w:id="0" w:name="OLE_LINK1"/>
      <w:r>
        <w:rPr>
          <w:rFonts w:hint="eastAsia" w:ascii="仿宋" w:hAnsi="仿宋" w:eastAsia="仿宋" w:cs="仿宋"/>
          <w:b/>
          <w:color w:val="auto"/>
          <w:sz w:val="21"/>
          <w:szCs w:val="21"/>
          <w:highlight w:val="none"/>
        </w:rPr>
        <w:t>2.2 制造标准</w:t>
      </w:r>
      <w:r>
        <w:rPr>
          <w:rFonts w:hint="eastAsia" w:ascii="仿宋" w:hAnsi="仿宋" w:eastAsia="仿宋" w:cs="仿宋"/>
          <w:b/>
          <w:color w:val="auto"/>
          <w:sz w:val="21"/>
          <w:szCs w:val="21"/>
          <w:highlight w:val="none"/>
        </w:rPr>
        <w:br w:type="textWrapping"/>
      </w:r>
      <w:bookmarkEnd w:id="0"/>
      <w:r>
        <w:rPr>
          <w:rFonts w:hint="eastAsia" w:ascii="仿宋" w:hAnsi="仿宋" w:eastAsia="仿宋" w:cs="仿宋"/>
          <w:b/>
          <w:color w:val="auto"/>
          <w:sz w:val="21"/>
          <w:szCs w:val="21"/>
          <w:highlight w:val="none"/>
          <w:lang w:val="en-US" w:eastAsia="zh-CN"/>
        </w:rPr>
        <w:t>2.2.1</w:t>
      </w:r>
      <w:r>
        <w:rPr>
          <w:rFonts w:hint="eastAsia" w:ascii="仿宋" w:hAnsi="仿宋" w:eastAsia="仿宋" w:cs="仿宋"/>
          <w:color w:val="auto"/>
          <w:sz w:val="21"/>
          <w:szCs w:val="21"/>
          <w:highlight w:val="none"/>
        </w:rPr>
        <w:t>材料要求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常用材料标准：一般可依据GB/T 8731 - 2008《易切削结构钢》、GB/T 6478 - 2015《冷镦和冷挤压用钢》等规范选择材料。例如，一些销轴可能采用45钢、40Cr等中碳钢或中碳合金钢，45钢具有一定的强度和韧性，40Cr经过调质处理后综合机械性能良好。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性能要求：材料需具备良好的综合力学性能，包括一定的强度、韧性、耐磨性等。强度确保销轴在工作时能承受载荷而不发生断裂；韧性可防止其在冲击载荷下突然失效；耐磨性则保证销轴在长期使用过程中，与其他部件配合处不会过快磨损。同时，材料的纯净度要高，尽量减少夹杂物等缺陷，以免影响销轴的性能。 </w:t>
      </w:r>
      <w:r>
        <w:rPr>
          <w:rFonts w:hint="eastAsia" w:ascii="仿宋" w:hAnsi="仿宋" w:eastAsia="仿宋" w:cs="仿宋"/>
          <w:color w:val="auto"/>
          <w:sz w:val="21"/>
          <w:szCs w:val="21"/>
          <w:highlight w:val="none"/>
        </w:rPr>
        <w:br w:type="textWrapping"/>
      </w:r>
      <w:r>
        <w:rPr>
          <w:rFonts w:hint="eastAsia" w:ascii="仿宋" w:hAnsi="仿宋" w:eastAsia="仿宋" w:cs="仿宋"/>
          <w:b/>
          <w:bCs/>
          <w:color w:val="auto"/>
          <w:sz w:val="21"/>
          <w:szCs w:val="21"/>
          <w:highlight w:val="none"/>
          <w:lang w:val="en-US" w:eastAsia="zh-CN"/>
        </w:rPr>
        <w:t>2.2.2</w:t>
      </w:r>
      <w:r>
        <w:rPr>
          <w:rFonts w:hint="eastAsia" w:ascii="仿宋" w:hAnsi="仿宋" w:eastAsia="仿宋" w:cs="仿宋"/>
          <w:color w:val="auto"/>
          <w:sz w:val="21"/>
          <w:szCs w:val="21"/>
          <w:highlight w:val="none"/>
        </w:rPr>
        <w:t>尺寸与公差要求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公称直径范围：常见标准如GB/T 882 - 2008规定了公称直径d = 3mm - 100mm的销轴。钢铁厂设备销轴的公称直径会根据具体使用部位和承载要求等在一定范围内选取。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公差精度：不同部位的销轴对尺寸公差和形位公差要求不同。与传动部件配合的销轴，直径公差通常要求较高，以保证配合的准确性和稳定性，可能达到IT6 - IT8级精度；对于一些定位用的销轴，除了直径公差外，其直线度、圆柱度等形位公差也有严格要求，比如直线度可能要求在一定长度内不超过0.01mm - 0.05mm等。 </w:t>
      </w:r>
      <w:r>
        <w:rPr>
          <w:rFonts w:hint="eastAsia" w:ascii="仿宋" w:hAnsi="仿宋" w:eastAsia="仿宋" w:cs="仿宋"/>
          <w:color w:val="auto"/>
          <w:sz w:val="21"/>
          <w:szCs w:val="21"/>
          <w:highlight w:val="none"/>
        </w:rPr>
        <w:br w:type="textWrapping"/>
      </w:r>
      <w:r>
        <w:rPr>
          <w:rFonts w:hint="eastAsia" w:ascii="仿宋" w:hAnsi="仿宋" w:eastAsia="仿宋" w:cs="仿宋"/>
          <w:b/>
          <w:bCs/>
          <w:color w:val="auto"/>
          <w:sz w:val="21"/>
          <w:szCs w:val="21"/>
          <w:highlight w:val="none"/>
          <w:lang w:val="en-US" w:eastAsia="zh-CN"/>
        </w:rPr>
        <w:t>2.2.3</w:t>
      </w:r>
      <w:r>
        <w:rPr>
          <w:rFonts w:hint="eastAsia" w:ascii="仿宋" w:hAnsi="仿宋" w:eastAsia="仿宋" w:cs="仿宋"/>
          <w:color w:val="auto"/>
          <w:sz w:val="21"/>
          <w:szCs w:val="21"/>
          <w:highlight w:val="none"/>
        </w:rPr>
        <w:t>加工工艺要求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下料：根据销轴的尺寸和材质要求，选择合适的下料方法，如锯切、气割等。对于精度要求较高的销轴，采用数控锯床下料能更好地控制长度尺寸。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机械加工：一般先夹外圆车平面、小外圆并钻孔，然后调头车平面、大外圆并倒角等。加工过程中要严格按照图纸尺寸进行，保证各部分的尺寸精度和表面粗糙度。例如，与其他零件配合的表面粗糙度可能要求达到Ra0.8 - Ra1.6μm 。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检验：每道加工工序后都需进行检验，首件检验合格后才能批量加工。成品检验时需对销轴的尺寸、形位公差、表面质量等进行全面检测，确保符合图纸和标准要求。 </w:t>
      </w:r>
      <w:r>
        <w:rPr>
          <w:rFonts w:hint="eastAsia" w:ascii="仿宋" w:hAnsi="仿宋" w:eastAsia="仿宋" w:cs="仿宋"/>
          <w:color w:val="auto"/>
          <w:sz w:val="21"/>
          <w:szCs w:val="21"/>
          <w:highlight w:val="none"/>
        </w:rPr>
        <w:br w:type="textWrapping"/>
      </w:r>
      <w:r>
        <w:rPr>
          <w:rFonts w:hint="eastAsia" w:ascii="仿宋" w:hAnsi="仿宋" w:eastAsia="仿宋" w:cs="仿宋"/>
          <w:b/>
          <w:bCs/>
          <w:color w:val="auto"/>
          <w:sz w:val="21"/>
          <w:szCs w:val="21"/>
          <w:highlight w:val="none"/>
          <w:lang w:val="en-US" w:eastAsia="zh-CN"/>
        </w:rPr>
        <w:t>2.2.4</w:t>
      </w:r>
      <w:r>
        <w:rPr>
          <w:rFonts w:hint="eastAsia" w:ascii="仿宋" w:hAnsi="仿宋" w:eastAsia="仿宋" w:cs="仿宋"/>
          <w:color w:val="auto"/>
          <w:sz w:val="21"/>
          <w:szCs w:val="21"/>
          <w:highlight w:val="none"/>
        </w:rPr>
        <w:t>热处理要求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整体热处理：对于一些中碳钢或合金钢销轴，常进行调质处理，即淬火加高温回火，以提高其综合力学性能，使销轴既有一定强度又有较好韧性。例如40Cr销轴经调质处理后，硬度一般可达到HB220 - 250左右。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表面热处理：当对销轴表面耐磨性有较高要求时，可进行表面淬火，如感应淬火。以55#钢销轴为例，中频感应表面淬火深度可能要求达到2.54 - 3.12mm ，表面最大硬度HRC65，在深度2.54mm处最小硬度为HRC55 ，同时要注意控制好表面淬火的区域，如两端可能有一定长度不进行淬火处理。 </w:t>
      </w:r>
      <w:r>
        <w:rPr>
          <w:rFonts w:hint="eastAsia" w:ascii="仿宋" w:hAnsi="仿宋" w:eastAsia="仿宋" w:cs="仿宋"/>
          <w:color w:val="auto"/>
          <w:sz w:val="21"/>
          <w:szCs w:val="21"/>
          <w:highlight w:val="none"/>
        </w:rPr>
        <w:br w:type="textWrapping"/>
      </w:r>
      <w:r>
        <w:rPr>
          <w:rFonts w:hint="eastAsia" w:ascii="仿宋" w:hAnsi="仿宋" w:eastAsia="仿宋" w:cs="仿宋"/>
          <w:b/>
          <w:bCs/>
          <w:color w:val="auto"/>
          <w:sz w:val="21"/>
          <w:szCs w:val="21"/>
          <w:highlight w:val="none"/>
          <w:lang w:val="en-US" w:eastAsia="zh-CN"/>
        </w:rPr>
        <w:t>2.2.5</w:t>
      </w:r>
      <w:r>
        <w:rPr>
          <w:rFonts w:hint="eastAsia" w:ascii="仿宋" w:hAnsi="仿宋" w:eastAsia="仿宋" w:cs="仿宋"/>
          <w:color w:val="auto"/>
          <w:sz w:val="21"/>
          <w:szCs w:val="21"/>
          <w:highlight w:val="none"/>
        </w:rPr>
        <w:t>表面处理要求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为提高销轴的防腐性能，常进行表面处理，主要涉及以下规范：</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氧化处理：依据相关标准，使销轴表面形成一层氧化膜，起到一定防护作用。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磷化处理：按照GB/T 11376 - 2020等标准，在销轴表面形成磷化膜，增强其耐蚀性和减摩性等。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镀锌铬酸盐转化膜及其他镀层：可参考GB/T 5267.1 - 2002、GB/T 5267.3 - 2008等标准，通过电镀、热浸镀等方式在销轴表面镀上锌等金属层，提高防腐能力。 </w:t>
      </w:r>
    </w:p>
    <w:p w14:paraId="18636EC8">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14:paraId="7106AC78">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p w14:paraId="34E9122E">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①</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型号：</w:t>
      </w:r>
      <w:r>
        <w:rPr>
          <w:rFonts w:hint="eastAsia" w:ascii="仿宋" w:hAnsi="仿宋" w:eastAsia="仿宋" w:cs="仿宋"/>
          <w:color w:val="auto"/>
          <w:sz w:val="21"/>
          <w:szCs w:val="21"/>
          <w:highlight w:val="none"/>
          <w:lang w:val="en-US" w:eastAsia="zh-CN"/>
        </w:rPr>
        <w:t>RVMD-J16G</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②</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正向冲击能量：</w:t>
      </w:r>
      <w:r>
        <w:rPr>
          <w:rFonts w:hint="eastAsia" w:ascii="仿宋" w:hAnsi="仿宋" w:eastAsia="仿宋" w:cs="仿宋"/>
          <w:color w:val="auto"/>
          <w:sz w:val="21"/>
          <w:szCs w:val="21"/>
          <w:highlight w:val="none"/>
          <w:lang w:val="en-US" w:eastAsia="zh-CN"/>
        </w:rPr>
        <w:t>500J-560J</w:t>
      </w:r>
    </w:p>
    <w:p w14:paraId="7D291BFE">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③</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逆向冲击功：</w:t>
      </w:r>
      <w:r>
        <w:rPr>
          <w:rFonts w:hint="eastAsia" w:ascii="仿宋" w:hAnsi="仿宋" w:eastAsia="仿宋" w:cs="仿宋"/>
          <w:color w:val="auto"/>
          <w:sz w:val="21"/>
          <w:szCs w:val="21"/>
          <w:highlight w:val="none"/>
          <w:lang w:val="en-US" w:eastAsia="zh-CN"/>
        </w:rPr>
        <w:t xml:space="preserve">500J                            </w:t>
      </w:r>
      <w:r>
        <w:rPr>
          <w:rFonts w:hint="eastAsia" w:ascii="仿宋" w:hAnsi="仿宋" w:eastAsia="仿宋" w:cs="仿宋"/>
          <w:color w:val="auto"/>
          <w:sz w:val="21"/>
          <w:szCs w:val="21"/>
          <w:highlight w:val="none"/>
          <w:lang w:eastAsia="zh-CN"/>
        </w:rPr>
        <w:t>④</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冲击频率</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45~55HZ</w:t>
      </w:r>
    </w:p>
    <w:p w14:paraId="2D7DBBB6">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⑤</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冲击油压：</w:t>
      </w:r>
      <w:r>
        <w:rPr>
          <w:rFonts w:hint="eastAsia" w:ascii="仿宋" w:hAnsi="仿宋" w:eastAsia="仿宋" w:cs="仿宋"/>
          <w:color w:val="auto"/>
          <w:sz w:val="21"/>
          <w:szCs w:val="21"/>
          <w:highlight w:val="none"/>
          <w:lang w:val="en-US" w:eastAsia="zh-CN"/>
        </w:rPr>
        <w:t xml:space="preserve">17~19MPa                          </w:t>
      </w:r>
      <w:r>
        <w:rPr>
          <w:rFonts w:hint="eastAsia" w:ascii="仿宋" w:hAnsi="仿宋" w:eastAsia="仿宋" w:cs="仿宋"/>
          <w:color w:val="auto"/>
          <w:sz w:val="21"/>
          <w:szCs w:val="21"/>
          <w:highlight w:val="none"/>
          <w:lang w:eastAsia="zh-CN"/>
        </w:rPr>
        <w:t>⑥</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冲击流量：125~160L/min</w:t>
      </w:r>
    </w:p>
    <w:p w14:paraId="6D6B8DA2">
      <w:pPr>
        <w:spacing w:line="360" w:lineRule="auto"/>
        <w:ind w:firstLine="478" w:firstLineChars="228"/>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⑦</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额定扭矩：</w:t>
      </w:r>
      <w:r>
        <w:rPr>
          <w:rFonts w:hint="eastAsia" w:ascii="仿宋" w:hAnsi="仿宋" w:eastAsia="仿宋" w:cs="仿宋"/>
          <w:color w:val="auto"/>
          <w:sz w:val="21"/>
          <w:szCs w:val="21"/>
          <w:highlight w:val="none"/>
          <w:lang w:val="en-US" w:eastAsia="zh-CN"/>
        </w:rPr>
        <w:t xml:space="preserve">1300N. m                          </w:t>
      </w:r>
      <w:r>
        <w:rPr>
          <w:rFonts w:hint="eastAsia" w:ascii="仿宋" w:hAnsi="仿宋" w:eastAsia="仿宋" w:cs="仿宋"/>
          <w:color w:val="auto"/>
          <w:sz w:val="21"/>
          <w:szCs w:val="21"/>
          <w:highlight w:val="none"/>
          <w:lang w:eastAsia="zh-CN"/>
        </w:rPr>
        <w:t>⑧</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回转油压：12~20MPa</w:t>
      </w:r>
    </w:p>
    <w:p w14:paraId="749DBE3A">
      <w:pPr>
        <w:spacing w:line="360" w:lineRule="auto"/>
        <w:ind w:firstLine="478" w:firstLineChars="228"/>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⑨</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回转流量：</w:t>
      </w:r>
      <w:r>
        <w:rPr>
          <w:rFonts w:hint="eastAsia" w:ascii="仿宋" w:hAnsi="仿宋" w:eastAsia="仿宋" w:cs="仿宋"/>
          <w:b w:val="0"/>
          <w:i w:val="0"/>
          <w:caps w:val="0"/>
          <w:color w:val="auto"/>
          <w:spacing w:val="0"/>
          <w:sz w:val="21"/>
          <w:szCs w:val="21"/>
          <w:highlight w:val="none"/>
          <w:shd w:val="clear" w:color="auto" w:fill="FFFFFF"/>
        </w:rPr>
        <w:t>70~100L/min</w:t>
      </w:r>
      <w:r>
        <w:rPr>
          <w:rFonts w:hint="eastAsia" w:ascii="仿宋" w:hAnsi="仿宋" w:eastAsia="仿宋" w:cs="仿宋"/>
          <w:b w:val="0"/>
          <w:i w:val="0"/>
          <w:caps w:val="0"/>
          <w:color w:val="auto"/>
          <w:spacing w:val="0"/>
          <w:sz w:val="21"/>
          <w:szCs w:val="21"/>
          <w:highlight w:val="none"/>
          <w:shd w:val="clear" w:color="auto" w:fill="FFFFFF"/>
          <w:lang w:val="en-US" w:eastAsia="zh-CN"/>
        </w:rPr>
        <w:t xml:space="preserve">                         </w:t>
      </w:r>
    </w:p>
    <w:p w14:paraId="787D7089">
      <w:pPr>
        <w:widowControl w:val="0"/>
        <w:spacing w:line="360" w:lineRule="auto"/>
        <w:jc w:val="both"/>
        <w:rPr>
          <w:rFonts w:hint="eastAsia" w:ascii="仿宋" w:hAnsi="仿宋" w:eastAsia="仿宋" w:cs="仿宋"/>
          <w:color w:val="auto"/>
          <w:kern w:val="2"/>
          <w:sz w:val="21"/>
          <w:szCs w:val="21"/>
          <w:highlight w:val="none"/>
          <w:lang w:val="en-GB"/>
        </w:rPr>
      </w:pPr>
      <w:r>
        <w:rPr>
          <w:rFonts w:hint="eastAsia" w:ascii="仿宋" w:hAnsi="仿宋" w:eastAsia="仿宋" w:cs="仿宋"/>
          <w:b/>
          <w:bCs/>
          <w:color w:val="auto"/>
          <w:kern w:val="44"/>
          <w:sz w:val="21"/>
          <w:szCs w:val="21"/>
          <w:highlight w:val="none"/>
          <w:lang w:val="en-US" w:eastAsia="zh-CN" w:bidi="ar-SA"/>
        </w:rPr>
        <w:t>2.6推荐品牌：</w:t>
      </w:r>
      <w:r>
        <w:rPr>
          <w:rFonts w:hint="eastAsia" w:ascii="仿宋" w:hAnsi="仿宋" w:eastAsia="仿宋" w:cs="仿宋"/>
          <w:b/>
          <w:bCs/>
          <w:color w:val="auto"/>
          <w:sz w:val="21"/>
          <w:szCs w:val="21"/>
          <w:highlight w:val="none"/>
          <w:lang w:val="en-US" w:eastAsia="zh-CN"/>
        </w:rPr>
        <w:t>原厂</w:t>
      </w:r>
      <w:r>
        <w:rPr>
          <w:rFonts w:hint="eastAsia" w:ascii="仿宋" w:hAnsi="仿宋" w:eastAsia="仿宋" w:cs="仿宋"/>
          <w:color w:val="auto"/>
          <w:kern w:val="2"/>
          <w:sz w:val="21"/>
          <w:szCs w:val="21"/>
          <w:highlight w:val="none"/>
          <w:lang w:val="en-US" w:eastAsia="zh-CN"/>
        </w:rPr>
        <w:t>（</w:t>
      </w:r>
      <w:r>
        <w:rPr>
          <w:rFonts w:hint="eastAsia" w:ascii="仿宋" w:hAnsi="仿宋" w:eastAsia="仿宋" w:cs="仿宋"/>
          <w:b/>
          <w:bCs/>
          <w:color w:val="auto"/>
          <w:kern w:val="2"/>
          <w:sz w:val="21"/>
          <w:szCs w:val="21"/>
          <w:highlight w:val="none"/>
          <w:lang w:val="en-US" w:eastAsia="zh-CN"/>
        </w:rPr>
        <w:t>中钢集团西安重机有限公司</w:t>
      </w:r>
      <w:r>
        <w:rPr>
          <w:rFonts w:hint="eastAsia" w:ascii="仿宋" w:hAnsi="仿宋" w:eastAsia="仿宋" w:cs="仿宋"/>
          <w:color w:val="auto"/>
          <w:kern w:val="2"/>
          <w:sz w:val="21"/>
          <w:szCs w:val="21"/>
          <w:highlight w:val="none"/>
          <w:lang w:val="en-US" w:eastAsia="zh-CN"/>
        </w:rPr>
        <w:t>）：</w:t>
      </w:r>
    </w:p>
    <w:p w14:paraId="2A076AD6">
      <w:pPr>
        <w:widowControl/>
        <w:spacing w:line="360" w:lineRule="auto"/>
        <w:jc w:val="left"/>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5"/>
        <w:tblW w:w="95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9"/>
        <w:gridCol w:w="1273"/>
        <w:gridCol w:w="5962"/>
        <w:gridCol w:w="496"/>
        <w:gridCol w:w="585"/>
      </w:tblGrid>
      <w:tr w14:paraId="4EA97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1FF6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83F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物料编码</w:t>
            </w:r>
          </w:p>
        </w:tc>
        <w:tc>
          <w:tcPr>
            <w:tcW w:w="5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6A37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物料描述</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CCBD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2552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14:paraId="7B7DD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54DA5">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1</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B6868">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70418604</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F5569">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链条涨紧轮\Z1240TL-103BZ-3 开口机</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141CF">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B13A8">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3</w:t>
            </w:r>
          </w:p>
        </w:tc>
      </w:tr>
      <w:tr w14:paraId="79DB0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23281">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FCEAC">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70418605</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FB8CA">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链条涨紧轮销轴\Z1240TL-102BZ-10 开口机</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700B1">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061E2">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3</w:t>
            </w:r>
          </w:p>
        </w:tc>
      </w:tr>
      <w:tr w14:paraId="201F4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B39C1">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3</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7D0CB">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70418613</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287B">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回转油缸销轴二\Z1240TL-405BZ 开口机</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EFF2">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00A78">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4AFF4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84DCC">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4</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FA21D">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70418612</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81793">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回转油缸销轴一\Z1240TL-404BZ 开口机</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FB658">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4FF08">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1EF6B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FE117">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5</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F2739">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70418611</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F896A">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倾斜油缸销轴二\Z1240TL-206BZ 开口机</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223AC">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7EA17">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669F7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4D491">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6</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C9422">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70418610</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3E5FB">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倾斜油缸销轴一\Z1240TL-204BZ 开口机</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33CBB">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A6B0C">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470FB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A5AC9">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7</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03387">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70418609</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1773F">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链条前导向轮销轴\Z1240TL-103BZ-1 开口机</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61A34">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50B45">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02CF2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10023">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8</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03BD9">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70418608</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9AB1A">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链条前导向轮\Z1240TL-103BZ-3 开口机</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89CCA">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4E427">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5ED2C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0A90C">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9</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35730">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70418607</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B52C4">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链条后导向轮销轴\Z1240TL-102BZ-6 开口机</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76F00">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618B9">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7AEDC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B938F">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10</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392D3">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70418606</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FC77F">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链条后导向轮\Z1240TL-102BZ-11 开口机</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0E7B7">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C6C9D">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10C61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59DDE">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11</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5B96F">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70418603</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B757E">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回转机构缓冲器\Z1240TL-406BZ 开口机</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67BFB">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7909A">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bl>
    <w:p w14:paraId="1F9548AE">
      <w:pPr>
        <w:spacing w:line="360" w:lineRule="auto"/>
        <w:ind w:left="0" w:leftChars="0" w:firstLine="422" w:firstLineChars="200"/>
        <w:rPr>
          <w:rFonts w:hint="eastAsia" w:ascii="仿宋" w:hAnsi="仿宋" w:eastAsia="仿宋" w:cs="仿宋"/>
          <w:b/>
          <w:color w:val="auto"/>
          <w:spacing w:val="-4"/>
          <w:kern w:val="28"/>
          <w:sz w:val="21"/>
          <w:szCs w:val="21"/>
          <w:highlight w:val="none"/>
        </w:rPr>
      </w:pPr>
      <w:r>
        <w:rPr>
          <w:rFonts w:hint="eastAsia" w:ascii="仿宋" w:hAnsi="仿宋" w:eastAsia="仿宋" w:cs="仿宋"/>
          <w:b/>
          <w:bCs/>
          <w:color w:val="auto"/>
          <w:sz w:val="21"/>
          <w:szCs w:val="21"/>
          <w:highlight w:val="none"/>
          <w:lang w:val="en-US" w:eastAsia="zh-CN"/>
        </w:rPr>
        <w:t>链条涨紧轮\Z1240TL-103BZ-3 开口机、链条涨紧轮销轴\Z1240TL-102BZ-10 开口机、回转油缸销轴二\Z1240TL-405BZ 开口机、回转油缸销轴一\Z1240TL-404BZ 开口机、倾斜油缸销轴二\Z1240TL-206BZ 开口机、倾斜油缸销轴一\Z1240TL-204BZ 开口机、链条前导向轮销轴\Z1240TL-103BZ-1 开口机、链条前导向轮\Z1240TL-103BZ-3 开口机、链条后导向轮销轴\Z1240TL-102BZ-6 开口机、链条后导向轮\Z1240TL-102BZ-11 开口机安装尺寸一致可与现场在装备件互换，确保提供的所有销轴备件能够完全的与现场在用设备互换安装无误，且各功能、质量与现场一至，否则</w:t>
      </w:r>
      <w:r>
        <w:rPr>
          <w:rFonts w:hint="eastAsia" w:ascii="仿宋" w:hAnsi="仿宋" w:eastAsia="仿宋" w:cs="仿宋"/>
          <w:b/>
          <w:bCs/>
          <w:color w:val="auto"/>
          <w:kern w:val="2"/>
          <w:sz w:val="21"/>
          <w:szCs w:val="21"/>
          <w:highlight w:val="none"/>
          <w:lang w:eastAsia="zh-CN"/>
        </w:rPr>
        <w:t>乙方承担一切后果</w:t>
      </w:r>
      <w:r>
        <w:rPr>
          <w:rFonts w:hint="eastAsia" w:ascii="仿宋" w:hAnsi="仿宋" w:eastAsia="仿宋" w:cs="仿宋"/>
          <w:b/>
          <w:bCs/>
          <w:color w:val="auto"/>
          <w:sz w:val="21"/>
          <w:szCs w:val="21"/>
          <w:highlight w:val="none"/>
          <w:lang w:val="en-US" w:eastAsia="zh-CN"/>
        </w:rPr>
        <w:t>。</w:t>
      </w:r>
    </w:p>
    <w:p w14:paraId="2C3A71D3">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1ED82F99">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70733696">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5DB92F60">
      <w:pPr>
        <w:widowControl w:val="0"/>
        <w:tabs>
          <w:tab w:val="left" w:pos="1080"/>
        </w:tabs>
        <w:spacing w:line="360" w:lineRule="auto"/>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7E047B70">
      <w:pPr>
        <w:widowControl w:val="0"/>
        <w:tabs>
          <w:tab w:val="left" w:pos="1080"/>
        </w:tabs>
        <w:spacing w:line="360" w:lineRule="auto"/>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637FEB86">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049BA2BF">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085325A9">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4.2.5 销轴验报告书；</w:t>
      </w:r>
    </w:p>
    <w:p w14:paraId="1A443535">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4.2.6 销轴质量保证书。</w:t>
      </w:r>
    </w:p>
    <w:p w14:paraId="338BDC65">
      <w:pPr>
        <w:widowControl w:val="0"/>
        <w:tabs>
          <w:tab w:val="left" w:pos="1080"/>
        </w:tabs>
        <w:spacing w:line="360" w:lineRule="auto"/>
        <w:ind w:firstLine="420" w:firstLineChars="200"/>
        <w:rPr>
          <w:rFonts w:hint="eastAsia" w:ascii="仿宋" w:hAnsi="仿宋" w:eastAsia="仿宋" w:cs="仿宋"/>
          <w:b w:val="0"/>
          <w:bCs w:val="0"/>
          <w:color w:val="auto"/>
          <w:kern w:val="2"/>
          <w:sz w:val="21"/>
          <w:szCs w:val="21"/>
          <w:highlight w:val="none"/>
          <w:lang w:val="en-US" w:eastAsia="zh-CN" w:bidi="ar-SA"/>
        </w:rPr>
      </w:pPr>
      <w:r>
        <w:rPr>
          <w:rFonts w:hint="eastAsia" w:ascii="仿宋" w:hAnsi="仿宋" w:eastAsia="仿宋" w:cs="仿宋"/>
          <w:b w:val="0"/>
          <w:bCs w:val="0"/>
          <w:color w:val="auto"/>
          <w:kern w:val="2"/>
          <w:sz w:val="21"/>
          <w:szCs w:val="21"/>
          <w:highlight w:val="none"/>
          <w:lang w:val="en-US" w:eastAsia="zh-CN" w:bidi="ar-SA"/>
        </w:rPr>
        <w:t>4.3 邮寄地址</w:t>
      </w:r>
    </w:p>
    <w:p w14:paraId="209C2663">
      <w:pPr>
        <w:widowControl w:val="0"/>
        <w:spacing w:line="360" w:lineRule="auto"/>
        <w:ind w:firstLine="420" w:firstLineChars="200"/>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0F952BBF">
      <w:pPr>
        <w:widowControl w:val="0"/>
        <w:spacing w:line="360" w:lineRule="auto"/>
        <w:ind w:firstLine="420" w:firstLineChars="200"/>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1B97A6FB">
      <w:pPr>
        <w:pStyle w:val="11"/>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18298976058   </w:t>
      </w: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5AA98EF7">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5EF5C04D">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val="en-US" w:eastAsia="zh-CN"/>
        </w:rPr>
        <w:t>销轴</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14:paraId="103DE220">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14:paraId="39156077">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14:paraId="2C395C48">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61DE028F">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255DC548">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p>
    <w:p w14:paraId="73540718">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7731C035">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03685478">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14:paraId="01B0256C">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14:paraId="385C1A35">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14:paraId="04BC322D">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14:paraId="0B0C643A">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6844F165">
      <w:pPr>
        <w:pStyle w:val="7"/>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259E3D7A">
      <w:pPr>
        <w:pStyle w:val="7"/>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453FCD1D">
      <w:pPr>
        <w:pStyle w:val="7"/>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1F8ED1E0">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F4BCE">
    <w:pPr>
      <w:pStyle w:val="12"/>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jNjI5N2JlYzNhZGU1ZjMyMjkzYTBmYTY4YjYzYzEifQ=="/>
    <w:docVar w:name="KSO_WPS_MARK_KEY" w:val="ce00ab5f-1421-445c-8d4c-69502139f280"/>
  </w:docVars>
  <w:rsids>
    <w:rsidRoot w:val="00172A27"/>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3F5F2A"/>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1C00AF9"/>
    <w:rsid w:val="03DF3D4F"/>
    <w:rsid w:val="045A41EA"/>
    <w:rsid w:val="04931259"/>
    <w:rsid w:val="04E319AB"/>
    <w:rsid w:val="059C3246"/>
    <w:rsid w:val="07B76CEE"/>
    <w:rsid w:val="08416F2D"/>
    <w:rsid w:val="0A265453"/>
    <w:rsid w:val="0A502357"/>
    <w:rsid w:val="0AF75787"/>
    <w:rsid w:val="0C693DF6"/>
    <w:rsid w:val="0D690A8B"/>
    <w:rsid w:val="0F6949B9"/>
    <w:rsid w:val="0F960F20"/>
    <w:rsid w:val="0FA7334B"/>
    <w:rsid w:val="119A56B6"/>
    <w:rsid w:val="11A958FA"/>
    <w:rsid w:val="11AC1D80"/>
    <w:rsid w:val="12D270D2"/>
    <w:rsid w:val="14A213F8"/>
    <w:rsid w:val="14FB6DC8"/>
    <w:rsid w:val="14FE5F5C"/>
    <w:rsid w:val="15B8653A"/>
    <w:rsid w:val="15C0276A"/>
    <w:rsid w:val="163A1216"/>
    <w:rsid w:val="17B55FF2"/>
    <w:rsid w:val="18A90670"/>
    <w:rsid w:val="190D30A5"/>
    <w:rsid w:val="1A9210DE"/>
    <w:rsid w:val="1B851185"/>
    <w:rsid w:val="1B8B0310"/>
    <w:rsid w:val="1BEC77DF"/>
    <w:rsid w:val="1C3A718F"/>
    <w:rsid w:val="1D0E6271"/>
    <w:rsid w:val="1D48246B"/>
    <w:rsid w:val="205F020B"/>
    <w:rsid w:val="21D62BBD"/>
    <w:rsid w:val="21F7445F"/>
    <w:rsid w:val="224551CB"/>
    <w:rsid w:val="22DE117B"/>
    <w:rsid w:val="262C11AD"/>
    <w:rsid w:val="264D6D44"/>
    <w:rsid w:val="274A49E9"/>
    <w:rsid w:val="276977AA"/>
    <w:rsid w:val="29796396"/>
    <w:rsid w:val="29AA0009"/>
    <w:rsid w:val="29F65841"/>
    <w:rsid w:val="2B8457CB"/>
    <w:rsid w:val="2C275941"/>
    <w:rsid w:val="2C484070"/>
    <w:rsid w:val="2D34414E"/>
    <w:rsid w:val="2E5C3FC8"/>
    <w:rsid w:val="2F5A6DBC"/>
    <w:rsid w:val="2FF217A3"/>
    <w:rsid w:val="30942CC8"/>
    <w:rsid w:val="316F691B"/>
    <w:rsid w:val="33492641"/>
    <w:rsid w:val="34B51AD9"/>
    <w:rsid w:val="34F76C36"/>
    <w:rsid w:val="35653EA9"/>
    <w:rsid w:val="37BB78FC"/>
    <w:rsid w:val="38822413"/>
    <w:rsid w:val="39333B77"/>
    <w:rsid w:val="39481A9A"/>
    <w:rsid w:val="3C274CC5"/>
    <w:rsid w:val="3C3420E0"/>
    <w:rsid w:val="3CB11983"/>
    <w:rsid w:val="3E3770BC"/>
    <w:rsid w:val="3EAF1EBE"/>
    <w:rsid w:val="400A0C2B"/>
    <w:rsid w:val="407C22A8"/>
    <w:rsid w:val="40A11D0E"/>
    <w:rsid w:val="41717932"/>
    <w:rsid w:val="41F97D49"/>
    <w:rsid w:val="42650422"/>
    <w:rsid w:val="4292190E"/>
    <w:rsid w:val="43AA712C"/>
    <w:rsid w:val="460728CA"/>
    <w:rsid w:val="48AE77F9"/>
    <w:rsid w:val="49916AB0"/>
    <w:rsid w:val="4A1D17C2"/>
    <w:rsid w:val="4AA743C5"/>
    <w:rsid w:val="4BBF60FE"/>
    <w:rsid w:val="4CE83548"/>
    <w:rsid w:val="4CFA6EF6"/>
    <w:rsid w:val="4E02772B"/>
    <w:rsid w:val="4EB96475"/>
    <w:rsid w:val="4ECF02E5"/>
    <w:rsid w:val="4F7E26BC"/>
    <w:rsid w:val="4FCD492D"/>
    <w:rsid w:val="50444E89"/>
    <w:rsid w:val="508431D1"/>
    <w:rsid w:val="523F4EE3"/>
    <w:rsid w:val="52543B4B"/>
    <w:rsid w:val="53193986"/>
    <w:rsid w:val="53B546F8"/>
    <w:rsid w:val="563F07B9"/>
    <w:rsid w:val="575F6AA5"/>
    <w:rsid w:val="577F2AA1"/>
    <w:rsid w:val="57F435E4"/>
    <w:rsid w:val="58374651"/>
    <w:rsid w:val="58905DB1"/>
    <w:rsid w:val="59013595"/>
    <w:rsid w:val="59BE3A45"/>
    <w:rsid w:val="5A5B7F3B"/>
    <w:rsid w:val="5C1F025F"/>
    <w:rsid w:val="5C3B4C78"/>
    <w:rsid w:val="5D5F28DD"/>
    <w:rsid w:val="5DDC3F2E"/>
    <w:rsid w:val="5E66256E"/>
    <w:rsid w:val="5EB033F0"/>
    <w:rsid w:val="5F3A26FB"/>
    <w:rsid w:val="608B2DCE"/>
    <w:rsid w:val="61572249"/>
    <w:rsid w:val="61D858B1"/>
    <w:rsid w:val="625E7ACB"/>
    <w:rsid w:val="63275C4B"/>
    <w:rsid w:val="6422084E"/>
    <w:rsid w:val="645B3DFE"/>
    <w:rsid w:val="66C079F6"/>
    <w:rsid w:val="678B49FB"/>
    <w:rsid w:val="67A63303"/>
    <w:rsid w:val="68C006D4"/>
    <w:rsid w:val="6AB0617B"/>
    <w:rsid w:val="6B4C27DE"/>
    <w:rsid w:val="6E8C6AD9"/>
    <w:rsid w:val="6EAB5982"/>
    <w:rsid w:val="729B5D0E"/>
    <w:rsid w:val="72D75DC2"/>
    <w:rsid w:val="73B1109E"/>
    <w:rsid w:val="74753B7F"/>
    <w:rsid w:val="74FB6702"/>
    <w:rsid w:val="75F145C2"/>
    <w:rsid w:val="76D0147D"/>
    <w:rsid w:val="778022D2"/>
    <w:rsid w:val="78B6564F"/>
    <w:rsid w:val="7A073341"/>
    <w:rsid w:val="7AEA15E0"/>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qFormat/>
    <w:uiPriority w:val="0"/>
    <w:pPr>
      <w:keepNext/>
      <w:keepLines/>
      <w:adjustRightInd w:val="0"/>
      <w:snapToGrid w:val="0"/>
      <w:spacing w:line="180" w:lineRule="atLeast"/>
      <w:outlineLvl w:val="0"/>
    </w:pPr>
    <w:rPr>
      <w:rFonts w:cs="Calibri"/>
      <w:b/>
      <w:bCs/>
      <w:kern w:val="44"/>
      <w:sz w:val="32"/>
      <w:szCs w:val="44"/>
    </w:rPr>
  </w:style>
  <w:style w:type="paragraph" w:styleId="3">
    <w:name w:val="heading 4"/>
    <w:basedOn w:val="4"/>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4">
    <w:name w:val="00 正文"/>
    <w:basedOn w:val="1"/>
    <w:qFormat/>
    <w:uiPriority w:val="0"/>
    <w:pPr>
      <w:adjustRightInd w:val="0"/>
      <w:textAlignment w:val="baseline"/>
    </w:pPr>
    <w:rPr>
      <w:rFonts w:hAnsi="宋体"/>
      <w:bCs/>
      <w:kern w:val="2"/>
      <w:sz w:val="24"/>
    </w:rPr>
  </w:style>
  <w:style w:type="paragraph" w:styleId="5">
    <w:name w:val="Normal Indent"/>
    <w:basedOn w:val="1"/>
    <w:qFormat/>
    <w:uiPriority w:val="0"/>
    <w:pPr>
      <w:ind w:firstLine="420"/>
    </w:pPr>
    <w:rPr>
      <w:sz w:val="28"/>
    </w:rPr>
  </w:style>
  <w:style w:type="paragraph" w:styleId="6">
    <w:name w:val="annotation text"/>
    <w:basedOn w:val="1"/>
    <w:qFormat/>
    <w:uiPriority w:val="0"/>
    <w:pPr>
      <w:jc w:val="left"/>
    </w:pPr>
  </w:style>
  <w:style w:type="paragraph" w:styleId="7">
    <w:name w:val="Body Text"/>
    <w:basedOn w:val="1"/>
    <w:qFormat/>
    <w:uiPriority w:val="0"/>
    <w:rPr>
      <w:rFonts w:eastAsia="方正魏碑简体"/>
      <w:sz w:val="72"/>
    </w:rPr>
  </w:style>
  <w:style w:type="paragraph" w:styleId="8">
    <w:name w:val="Body Text Indent"/>
    <w:basedOn w:val="1"/>
    <w:qFormat/>
    <w:uiPriority w:val="0"/>
    <w:pPr>
      <w:spacing w:after="120"/>
      <w:ind w:left="420" w:leftChars="200"/>
    </w:pPr>
  </w:style>
  <w:style w:type="paragraph" w:styleId="9">
    <w:name w:val="Block Text"/>
    <w:basedOn w:val="1"/>
    <w:qFormat/>
    <w:uiPriority w:val="0"/>
    <w:pPr>
      <w:snapToGrid w:val="0"/>
      <w:spacing w:line="480" w:lineRule="atLeast"/>
      <w:ind w:left="-240" w:right="-447" w:firstLine="570"/>
      <w:jc w:val="both"/>
    </w:pPr>
    <w:rPr>
      <w:sz w:val="28"/>
    </w:rPr>
  </w:style>
  <w:style w:type="paragraph" w:styleId="10">
    <w:name w:val="toc 5"/>
    <w:basedOn w:val="1"/>
    <w:next w:val="1"/>
    <w:qFormat/>
    <w:uiPriority w:val="39"/>
    <w:pPr>
      <w:ind w:left="840"/>
      <w:jc w:val="left"/>
    </w:pPr>
    <w:rPr>
      <w:sz w:val="18"/>
      <w:szCs w:val="18"/>
    </w:rPr>
  </w:style>
  <w:style w:type="paragraph" w:styleId="11">
    <w:name w:val="Plain Text"/>
    <w:basedOn w:val="1"/>
    <w:qFormat/>
    <w:uiPriority w:val="0"/>
    <w:pPr>
      <w:adjustRightInd/>
      <w:spacing w:line="240" w:lineRule="auto"/>
      <w:jc w:val="both"/>
      <w:textAlignment w:val="auto"/>
    </w:pPr>
    <w:rPr>
      <w:rFonts w:ascii="宋体" w:hAnsi="Courier New"/>
      <w:kern w:val="2"/>
      <w:sz w:val="21"/>
    </w:rPr>
  </w:style>
  <w:style w:type="paragraph" w:styleId="12">
    <w:name w:val="footer"/>
    <w:basedOn w:val="1"/>
    <w:qFormat/>
    <w:uiPriority w:val="0"/>
    <w:pPr>
      <w:tabs>
        <w:tab w:val="center" w:pos="4153"/>
        <w:tab w:val="right" w:pos="8306"/>
      </w:tabs>
      <w:snapToGrid w:val="0"/>
      <w:spacing w:line="240" w:lineRule="atLeas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4">
    <w:name w:val="Body Text First Indent 2"/>
    <w:basedOn w:val="8"/>
    <w:qFormat/>
    <w:uiPriority w:val="0"/>
    <w:pPr>
      <w:spacing w:after="120" w:line="560" w:lineRule="exact"/>
      <w:ind w:left="420" w:leftChars="200" w:firstLine="420"/>
    </w:pPr>
    <w:rPr>
      <w:rFonts w:hAnsi="宋体"/>
      <w:sz w:val="28"/>
      <w:szCs w:val="22"/>
    </w:rPr>
  </w:style>
  <w:style w:type="table" w:styleId="16">
    <w:name w:val="Table Grid"/>
    <w:basedOn w:val="15"/>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page number"/>
    <w:basedOn w:val="17"/>
    <w:qFormat/>
    <w:uiPriority w:val="0"/>
  </w:style>
  <w:style w:type="character" w:styleId="20">
    <w:name w:val="Hyperlink"/>
    <w:qFormat/>
    <w:uiPriority w:val="0"/>
    <w:rPr>
      <w:color w:val="0000FF"/>
      <w:u w:val="single"/>
    </w:rPr>
  </w:style>
  <w:style w:type="character" w:customStyle="1" w:styleId="21">
    <w:name w:val="font01"/>
    <w:basedOn w:val="17"/>
    <w:qFormat/>
    <w:uiPriority w:val="0"/>
    <w:rPr>
      <w:rFonts w:hint="default" w:ascii="Times New Roman" w:hAnsi="Times New Roman" w:cs="Times New Roman"/>
      <w:color w:val="393939"/>
      <w:sz w:val="22"/>
      <w:szCs w:val="22"/>
      <w:u w:val="none"/>
    </w:rPr>
  </w:style>
  <w:style w:type="paragraph" w:customStyle="1" w:styleId="22">
    <w:name w:val=" Char Char Char1 Char Char Char3 Char Char Char Char"/>
    <w:basedOn w:val="1"/>
    <w:qFormat/>
    <w:uiPriority w:val="0"/>
    <w:rPr>
      <w:rFonts w:ascii="Tahoma" w:hAnsi="Tahoma"/>
    </w:rPr>
  </w:style>
  <w:style w:type="paragraph" w:customStyle="1" w:styleId="23">
    <w:name w:val=" Char Char Char1 Char Char Char Char Char Char Char Char Char Char"/>
    <w:basedOn w:val="1"/>
    <w:qFormat/>
    <w:uiPriority w:val="0"/>
    <w:rPr>
      <w:rFonts w:ascii="Tahoma" w:hAnsi="Tahoma"/>
    </w:rPr>
  </w:style>
  <w:style w:type="paragraph" w:customStyle="1" w:styleId="24">
    <w:name w:val="_Style 8"/>
    <w:basedOn w:val="1"/>
    <w:qFormat/>
    <w:uiPriority w:val="0"/>
    <w:rPr>
      <w:rFonts w:ascii="Tahoma" w:hAnsi="Tahoma"/>
    </w:rPr>
  </w:style>
  <w:style w:type="paragraph" w:customStyle="1" w:styleId="25">
    <w:name w:val=" Char"/>
    <w:basedOn w:val="1"/>
    <w:qFormat/>
    <w:uiPriority w:val="0"/>
    <w:rPr>
      <w:rFonts w:ascii="Tahoma" w:hAnsi="Tahoma"/>
    </w:rPr>
  </w:style>
  <w:style w:type="character" w:customStyle="1" w:styleId="26">
    <w:name w:val="font11"/>
    <w:basedOn w:val="17"/>
    <w:qFormat/>
    <w:uiPriority w:val="0"/>
    <w:rPr>
      <w:rFonts w:hint="eastAsia" w:ascii="宋体" w:hAnsi="宋体" w:eastAsia="宋体" w:cs="宋体"/>
      <w:color w:val="000000"/>
      <w:sz w:val="20"/>
      <w:szCs w:val="20"/>
      <w:u w:val="none"/>
    </w:rPr>
  </w:style>
  <w:style w:type="character" w:customStyle="1" w:styleId="27">
    <w:name w:val="font41"/>
    <w:basedOn w:val="17"/>
    <w:qFormat/>
    <w:uiPriority w:val="0"/>
    <w:rPr>
      <w:rFonts w:hint="eastAsia" w:ascii="宋体" w:hAnsi="宋体" w:eastAsia="宋体" w:cs="宋体"/>
      <w:color w:val="000000"/>
      <w:sz w:val="20"/>
      <w:szCs w:val="20"/>
      <w:u w:val="none"/>
      <w:vertAlign w:val="sub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7</Pages>
  <Words>3067</Words>
  <Characters>4145</Characters>
  <Lines>16</Lines>
  <Paragraphs>4</Paragraphs>
  <TotalTime>1</TotalTime>
  <ScaleCrop>false</ScaleCrop>
  <LinksUpToDate>false</LinksUpToDate>
  <CharactersWithSpaces>4506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WPS_1701851377</cp:lastModifiedBy>
  <cp:lastPrinted>2010-06-13T03:59:00Z</cp:lastPrinted>
  <dcterms:modified xsi:type="dcterms:W3CDTF">2025-06-04T03:11:33Z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A066E225CA984F1295A2DFF99C925734_13</vt:lpwstr>
  </property>
  <property fmtid="{D5CDD505-2E9C-101B-9397-08002B2CF9AE}" pid="4" name="KSOTemplateDocerSaveRecord">
    <vt:lpwstr>eyJoZGlkIjoiYTRhMDIwMDYyOGU4OWQ0NTgzOWU3MmYzZDA4NjBjMDQiLCJ1c2VySWQiOiIxNTYzMDcxMTc4In0=</vt:lpwstr>
  </property>
</Properties>
</file>