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2FBC1">
      <w:pPr>
        <w:autoSpaceDE w:val="0"/>
        <w:autoSpaceDN w:val="0"/>
        <w:spacing w:line="360" w:lineRule="auto"/>
        <w:ind w:firstLine="883" w:firstLineChars="200"/>
        <w:jc w:val="both"/>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14:paraId="49F9FFFD">
      <w:pPr>
        <w:snapToGrid w:val="0"/>
        <w:spacing w:line="360" w:lineRule="auto"/>
        <w:ind w:right="-447"/>
        <w:jc w:val="center"/>
        <w:rPr>
          <w:rFonts w:hint="eastAsia" w:ascii="仿宋" w:hAnsi="仿宋" w:eastAsia="仿宋" w:cs="仿宋"/>
          <w:b/>
          <w:color w:val="auto"/>
          <w:sz w:val="28"/>
          <w:szCs w:val="40"/>
          <w:highlight w:val="none"/>
          <w:lang w:val="en-US" w:eastAsia="zh-CN"/>
        </w:rPr>
      </w:pPr>
      <w:r>
        <w:rPr>
          <w:rFonts w:hint="eastAsia" w:ascii="仿宋" w:hAnsi="仿宋" w:eastAsia="仿宋" w:cs="仿宋"/>
          <w:b/>
          <w:color w:val="auto"/>
          <w:sz w:val="28"/>
          <w:szCs w:val="40"/>
          <w:highlight w:val="none"/>
          <w:lang w:val="en-US" w:eastAsia="zh-CN"/>
        </w:rPr>
        <w:t>回转油缸销轴五\Z1350TL-402A-9 液压泥炮</w:t>
      </w:r>
      <w:r>
        <w:rPr>
          <w:rFonts w:hint="eastAsia" w:ascii="仿宋" w:hAnsi="仿宋" w:eastAsia="仿宋" w:cs="仿宋"/>
          <w:b/>
          <w:color w:val="auto"/>
          <w:sz w:val="28"/>
          <w:szCs w:val="40"/>
          <w:highlight w:val="none"/>
          <w:lang w:val="en-US" w:eastAsia="zh-CN"/>
        </w:rPr>
        <w:br w:type="textWrapping"/>
      </w:r>
      <w:r>
        <w:rPr>
          <w:rFonts w:hint="eastAsia" w:ascii="仿宋" w:hAnsi="仿宋" w:eastAsia="仿宋" w:cs="仿宋"/>
          <w:b/>
          <w:color w:val="auto"/>
          <w:sz w:val="28"/>
          <w:szCs w:val="40"/>
          <w:highlight w:val="none"/>
          <w:lang w:val="en-US" w:eastAsia="zh-CN"/>
        </w:rPr>
        <w:t>（70418569）</w:t>
      </w:r>
      <w:r>
        <w:rPr>
          <w:rFonts w:hint="eastAsia" w:ascii="仿宋" w:hAnsi="仿宋" w:eastAsia="仿宋" w:cs="仿宋"/>
          <w:b/>
          <w:color w:val="auto"/>
          <w:sz w:val="28"/>
          <w:szCs w:val="40"/>
          <w:highlight w:val="none"/>
          <w:lang w:val="en-US" w:eastAsia="zh-CN"/>
        </w:rPr>
        <w:br w:type="textWrapping"/>
      </w:r>
      <w:r>
        <w:rPr>
          <w:rFonts w:hint="eastAsia" w:ascii="仿宋" w:hAnsi="仿宋" w:eastAsia="仿宋" w:cs="仿宋"/>
          <w:b/>
          <w:color w:val="auto"/>
          <w:sz w:val="28"/>
          <w:szCs w:val="40"/>
          <w:highlight w:val="none"/>
          <w:lang w:val="en-US" w:eastAsia="zh-CN"/>
        </w:rPr>
        <w:t>回转油缸销轴一\Z1350EL-402-5g 液压泥炮</w:t>
      </w:r>
      <w:r>
        <w:rPr>
          <w:rFonts w:hint="eastAsia" w:ascii="仿宋" w:hAnsi="仿宋" w:eastAsia="仿宋" w:cs="仿宋"/>
          <w:b/>
          <w:color w:val="auto"/>
          <w:sz w:val="28"/>
          <w:szCs w:val="40"/>
          <w:highlight w:val="none"/>
          <w:lang w:val="en-US" w:eastAsia="zh-CN"/>
        </w:rPr>
        <w:br w:type="textWrapping"/>
      </w:r>
      <w:r>
        <w:rPr>
          <w:rFonts w:hint="eastAsia" w:ascii="仿宋" w:hAnsi="仿宋" w:eastAsia="仿宋" w:cs="仿宋"/>
          <w:b/>
          <w:color w:val="auto"/>
          <w:sz w:val="28"/>
          <w:szCs w:val="40"/>
          <w:highlight w:val="none"/>
          <w:lang w:val="en-US" w:eastAsia="zh-CN"/>
        </w:rPr>
        <w:t>（70418570）</w:t>
      </w:r>
      <w:r>
        <w:rPr>
          <w:rFonts w:hint="eastAsia" w:ascii="仿宋" w:hAnsi="仿宋" w:eastAsia="仿宋" w:cs="仿宋"/>
          <w:b/>
          <w:color w:val="auto"/>
          <w:sz w:val="28"/>
          <w:szCs w:val="40"/>
          <w:highlight w:val="none"/>
          <w:lang w:val="en-US" w:eastAsia="zh-CN"/>
        </w:rPr>
        <w:br w:type="textWrapping"/>
      </w:r>
      <w:r>
        <w:rPr>
          <w:rFonts w:hint="eastAsia" w:ascii="仿宋" w:hAnsi="仿宋" w:eastAsia="仿宋" w:cs="仿宋"/>
          <w:b/>
          <w:color w:val="auto"/>
          <w:sz w:val="28"/>
          <w:szCs w:val="40"/>
          <w:highlight w:val="none"/>
          <w:lang w:val="en-US" w:eastAsia="zh-CN"/>
        </w:rPr>
        <w:t>控制连杆销轴\Z1340TL-302 液压泥炮</w:t>
      </w:r>
      <w:r>
        <w:rPr>
          <w:rFonts w:hint="eastAsia" w:ascii="仿宋" w:hAnsi="仿宋" w:eastAsia="仿宋" w:cs="仿宋"/>
          <w:b/>
          <w:color w:val="auto"/>
          <w:sz w:val="28"/>
          <w:szCs w:val="40"/>
          <w:highlight w:val="none"/>
          <w:lang w:val="en-US" w:eastAsia="zh-CN"/>
        </w:rPr>
        <w:br w:type="textWrapping"/>
      </w:r>
      <w:r>
        <w:rPr>
          <w:rFonts w:hint="eastAsia" w:ascii="仿宋" w:hAnsi="仿宋" w:eastAsia="仿宋" w:cs="仿宋"/>
          <w:b/>
          <w:color w:val="auto"/>
          <w:sz w:val="28"/>
          <w:szCs w:val="40"/>
          <w:highlight w:val="none"/>
          <w:lang w:val="en-US" w:eastAsia="zh-CN"/>
        </w:rPr>
        <w:t>（70418598）</w:t>
      </w:r>
    </w:p>
    <w:p w14:paraId="2871A34C">
      <w:pPr>
        <w:snapToGrid w:val="0"/>
        <w:spacing w:line="360" w:lineRule="auto"/>
        <w:ind w:right="-447"/>
        <w:jc w:val="center"/>
        <w:rPr>
          <w:rFonts w:hint="eastAsia" w:ascii="仿宋" w:hAnsi="仿宋" w:eastAsia="仿宋" w:cs="仿宋"/>
          <w:b/>
          <w:color w:val="auto"/>
          <w:sz w:val="32"/>
          <w:szCs w:val="32"/>
          <w:highlight w:val="none"/>
        </w:rPr>
      </w:pPr>
      <w:r>
        <w:rPr>
          <w:rFonts w:hint="eastAsia" w:ascii="仿宋" w:hAnsi="仿宋" w:eastAsia="仿宋" w:cs="仿宋"/>
          <w:b/>
          <w:color w:val="auto"/>
          <w:sz w:val="28"/>
          <w:szCs w:val="40"/>
          <w:highlight w:val="none"/>
          <w:lang w:val="en-US" w:eastAsia="zh-CN"/>
        </w:rPr>
        <w:t>缓冲器销轴一\Z1340TL-208 液压泥炮</w:t>
      </w:r>
      <w:r>
        <w:rPr>
          <w:rFonts w:hint="eastAsia" w:ascii="仿宋" w:hAnsi="仿宋" w:eastAsia="仿宋" w:cs="仿宋"/>
          <w:b/>
          <w:color w:val="auto"/>
          <w:sz w:val="28"/>
          <w:szCs w:val="40"/>
          <w:highlight w:val="none"/>
          <w:lang w:val="en-US" w:eastAsia="zh-CN"/>
        </w:rPr>
        <w:br w:type="textWrapping"/>
      </w:r>
      <w:r>
        <w:rPr>
          <w:rFonts w:hint="eastAsia" w:ascii="仿宋" w:hAnsi="仿宋" w:eastAsia="仿宋" w:cs="仿宋"/>
          <w:b/>
          <w:color w:val="auto"/>
          <w:sz w:val="28"/>
          <w:szCs w:val="40"/>
          <w:highlight w:val="none"/>
          <w:lang w:val="en-US" w:eastAsia="zh-CN"/>
        </w:rPr>
        <w:t>（70418599）</w:t>
      </w:r>
      <w:r>
        <w:rPr>
          <w:rFonts w:hint="eastAsia" w:ascii="仿宋" w:hAnsi="仿宋" w:eastAsia="仿宋" w:cs="仿宋"/>
          <w:b/>
          <w:color w:val="auto"/>
          <w:sz w:val="28"/>
          <w:szCs w:val="40"/>
          <w:highlight w:val="none"/>
          <w:lang w:val="en-US" w:eastAsia="zh-CN"/>
        </w:rPr>
        <w:br w:type="textWrapping"/>
      </w:r>
      <w:r>
        <w:rPr>
          <w:rFonts w:hint="eastAsia" w:ascii="仿宋" w:hAnsi="仿宋" w:eastAsia="仿宋" w:cs="仿宋"/>
          <w:b/>
          <w:color w:val="auto"/>
          <w:sz w:val="28"/>
          <w:szCs w:val="40"/>
          <w:highlight w:val="none"/>
          <w:lang w:val="en-US" w:eastAsia="zh-CN"/>
        </w:rPr>
        <w:t>缓冲器销轴\Z1350FL-208 液压泥炮</w:t>
      </w:r>
      <w:r>
        <w:rPr>
          <w:rFonts w:hint="eastAsia" w:ascii="仿宋" w:hAnsi="仿宋" w:eastAsia="仿宋" w:cs="仿宋"/>
          <w:b/>
          <w:color w:val="auto"/>
          <w:sz w:val="28"/>
          <w:szCs w:val="40"/>
          <w:highlight w:val="none"/>
          <w:lang w:val="en-US" w:eastAsia="zh-CN"/>
        </w:rPr>
        <w:br w:type="textWrapping"/>
      </w:r>
      <w:r>
        <w:rPr>
          <w:rFonts w:hint="eastAsia" w:ascii="仿宋" w:hAnsi="仿宋" w:eastAsia="仿宋" w:cs="仿宋"/>
          <w:b/>
          <w:color w:val="auto"/>
          <w:sz w:val="28"/>
          <w:szCs w:val="40"/>
          <w:highlight w:val="none"/>
          <w:lang w:val="en-US" w:eastAsia="zh-CN"/>
        </w:rPr>
        <w:t>（70418600）</w:t>
      </w:r>
      <w:r>
        <w:rPr>
          <w:rFonts w:hint="eastAsia" w:ascii="仿宋" w:hAnsi="仿宋" w:eastAsia="仿宋" w:cs="仿宋"/>
          <w:b/>
          <w:color w:val="auto"/>
          <w:sz w:val="28"/>
          <w:szCs w:val="40"/>
          <w:highlight w:val="none"/>
          <w:lang w:val="en-US" w:eastAsia="zh-CN"/>
        </w:rPr>
        <w:br w:type="textWrapping"/>
      </w:r>
      <w:r>
        <w:rPr>
          <w:rFonts w:hint="eastAsia" w:ascii="仿宋" w:hAnsi="仿宋" w:eastAsia="仿宋" w:cs="仿宋"/>
          <w:b/>
          <w:color w:val="auto"/>
          <w:sz w:val="40"/>
          <w:szCs w:val="52"/>
          <w:highlight w:val="none"/>
        </w:rPr>
        <w:t>采购技术</w:t>
      </w:r>
      <w:r>
        <w:rPr>
          <w:rFonts w:hint="eastAsia" w:ascii="仿宋" w:hAnsi="仿宋" w:eastAsia="仿宋" w:cs="仿宋"/>
          <w:b/>
          <w:color w:val="auto"/>
          <w:sz w:val="40"/>
          <w:szCs w:val="52"/>
          <w:highlight w:val="none"/>
          <w:lang w:val="en-US" w:eastAsia="zh-CN"/>
        </w:rPr>
        <w:t>规格书</w:t>
      </w:r>
    </w:p>
    <w:p w14:paraId="00E5C296">
      <w:pPr>
        <w:snapToGrid w:val="0"/>
        <w:spacing w:line="360" w:lineRule="auto"/>
        <w:ind w:right="-447"/>
        <w:jc w:val="center"/>
        <w:rPr>
          <w:rFonts w:hint="eastAsia" w:ascii="仿宋" w:hAnsi="仿宋" w:eastAsia="仿宋" w:cs="仿宋"/>
          <w:b/>
          <w:color w:val="auto"/>
          <w:sz w:val="36"/>
          <w:szCs w:val="48"/>
          <w:highlight w:val="none"/>
        </w:rPr>
      </w:pPr>
    </w:p>
    <w:p w14:paraId="2BA5DF9D">
      <w:pPr>
        <w:snapToGrid w:val="0"/>
        <w:spacing w:line="360" w:lineRule="auto"/>
        <w:ind w:right="-447"/>
        <w:jc w:val="center"/>
        <w:rPr>
          <w:rFonts w:hint="eastAsia" w:ascii="仿宋" w:hAnsi="仿宋" w:eastAsia="仿宋" w:cs="仿宋"/>
          <w:b/>
          <w:color w:val="auto"/>
          <w:sz w:val="36"/>
          <w:szCs w:val="48"/>
          <w:highlight w:val="none"/>
        </w:rPr>
      </w:pPr>
    </w:p>
    <w:p w14:paraId="38A061F7">
      <w:pPr>
        <w:pStyle w:val="3"/>
        <w:rPr>
          <w:rFonts w:hint="eastAsia" w:ascii="仿宋" w:hAnsi="仿宋" w:eastAsia="仿宋" w:cs="仿宋"/>
          <w:color w:val="auto"/>
          <w:highlight w:val="none"/>
        </w:rPr>
      </w:pPr>
    </w:p>
    <w:p w14:paraId="36F9A90A">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14:paraId="18C6477F">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14:paraId="666132ED">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14:paraId="077B2376">
      <w:pPr>
        <w:snapToGrid w:val="0"/>
        <w:spacing w:before="100" w:beforeAutospacing="1" w:after="100" w:afterAutospacing="1" w:line="360" w:lineRule="auto"/>
        <w:ind w:right="-447" w:firstLine="722" w:firstLineChars="257"/>
        <w:jc w:val="both"/>
        <w:rPr>
          <w:rFonts w:hint="eastAsia" w:ascii="仿宋" w:hAnsi="仿宋" w:eastAsia="仿宋" w:cs="仿宋"/>
          <w:color w:val="auto"/>
          <w:sz w:val="48"/>
          <w:szCs w:val="48"/>
          <w:highlight w:val="none"/>
        </w:rPr>
      </w:pPr>
      <w:r>
        <w:rPr>
          <w:rFonts w:hint="eastAsia" w:ascii="仿宋" w:hAnsi="仿宋" w:eastAsia="仿宋" w:cs="仿宋"/>
          <w:b/>
          <w:color w:val="auto"/>
          <w:sz w:val="28"/>
          <w:szCs w:val="28"/>
          <w:highlight w:val="none"/>
        </w:rPr>
        <w:t>乙方代表（签字）：</w:t>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lang w:val="en-US" w:eastAsia="zh-CN"/>
        </w:rPr>
        <w:br w:type="textWrapping"/>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 xml:space="preserve"> </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 xml:space="preserve">  </w:t>
      </w:r>
      <w:r>
        <w:rPr>
          <w:rFonts w:hint="eastAsia" w:ascii="仿宋" w:hAnsi="仿宋" w:eastAsia="仿宋" w:cs="仿宋"/>
          <w:b/>
          <w:color w:val="auto"/>
          <w:sz w:val="30"/>
          <w:szCs w:val="30"/>
          <w:highlight w:val="none"/>
        </w:rPr>
        <w:t>日</w:t>
      </w:r>
    </w:p>
    <w:p w14:paraId="00CDCE9B">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bCs/>
          <w:color w:val="auto"/>
          <w:highlight w:val="none"/>
        </w:rPr>
        <w:br w:type="textWrapping"/>
      </w:r>
      <w:r>
        <w:rPr>
          <w:rFonts w:hint="eastAsia" w:ascii="仿宋" w:hAnsi="仿宋" w:eastAsia="仿宋" w:cs="仿宋"/>
          <w:bCs/>
          <w:color w:val="auto"/>
          <w:highlight w:val="none"/>
        </w:rPr>
        <w:br w:type="textWrapping"/>
      </w:r>
      <w:r>
        <w:rPr>
          <w:rFonts w:hint="eastAsia" w:ascii="仿宋" w:hAnsi="仿宋" w:eastAsia="仿宋" w:cs="仿宋"/>
          <w:b/>
          <w:color w:val="auto"/>
          <w:sz w:val="36"/>
          <w:szCs w:val="36"/>
          <w:highlight w:val="none"/>
        </w:rPr>
        <w:t>目    录</w:t>
      </w:r>
    </w:p>
    <w:p w14:paraId="5A0A244E">
      <w:pPr>
        <w:spacing w:line="360" w:lineRule="auto"/>
        <w:ind w:firstLine="3791" w:firstLineChars="1049"/>
        <w:rPr>
          <w:rFonts w:hint="eastAsia" w:ascii="仿宋" w:hAnsi="仿宋" w:eastAsia="仿宋" w:cs="仿宋"/>
          <w:b/>
          <w:color w:val="auto"/>
          <w:sz w:val="36"/>
          <w:szCs w:val="36"/>
          <w:highlight w:val="none"/>
        </w:rPr>
      </w:pPr>
    </w:p>
    <w:p w14:paraId="69210FB1">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14:paraId="31569AC7">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14:paraId="4FCC5493">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14:paraId="03C2EB80">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14:paraId="30209950">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14:paraId="365B5D63">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14:paraId="6F9E5569">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14:paraId="18F6572F">
      <w:pPr>
        <w:snapToGrid w:val="0"/>
        <w:spacing w:line="360" w:lineRule="auto"/>
        <w:ind w:right="-447"/>
        <w:jc w:val="both"/>
        <w:rPr>
          <w:rFonts w:hint="eastAsia" w:ascii="仿宋" w:hAnsi="仿宋" w:eastAsia="仿宋" w:cs="仿宋"/>
          <w:b/>
          <w:color w:val="auto"/>
          <w:sz w:val="28"/>
          <w:szCs w:val="28"/>
          <w:highlight w:val="none"/>
        </w:rPr>
      </w:pPr>
    </w:p>
    <w:p w14:paraId="23E5C7F1">
      <w:pPr>
        <w:snapToGrid w:val="0"/>
        <w:spacing w:line="360" w:lineRule="auto"/>
        <w:ind w:right="-447"/>
        <w:jc w:val="both"/>
        <w:rPr>
          <w:rFonts w:hint="eastAsia" w:ascii="仿宋" w:hAnsi="仿宋" w:eastAsia="仿宋" w:cs="仿宋"/>
          <w:b/>
          <w:color w:val="auto"/>
          <w:sz w:val="28"/>
          <w:szCs w:val="28"/>
          <w:highlight w:val="none"/>
        </w:rPr>
      </w:pPr>
    </w:p>
    <w:p w14:paraId="6D56FEEC">
      <w:pPr>
        <w:snapToGrid w:val="0"/>
        <w:spacing w:line="360" w:lineRule="auto"/>
        <w:ind w:right="-447"/>
        <w:jc w:val="both"/>
        <w:rPr>
          <w:rFonts w:hint="eastAsia" w:ascii="仿宋" w:hAnsi="仿宋" w:eastAsia="仿宋" w:cs="仿宋"/>
          <w:b/>
          <w:color w:val="auto"/>
          <w:sz w:val="28"/>
          <w:szCs w:val="28"/>
          <w:highlight w:val="none"/>
        </w:rPr>
      </w:pPr>
    </w:p>
    <w:p w14:paraId="4396B200">
      <w:pPr>
        <w:snapToGrid w:val="0"/>
        <w:spacing w:line="360" w:lineRule="auto"/>
        <w:ind w:right="-447"/>
        <w:jc w:val="both"/>
        <w:rPr>
          <w:rFonts w:hint="eastAsia" w:ascii="仿宋" w:hAnsi="仿宋" w:eastAsia="仿宋" w:cs="仿宋"/>
          <w:b/>
          <w:color w:val="auto"/>
          <w:sz w:val="28"/>
          <w:szCs w:val="28"/>
          <w:highlight w:val="none"/>
        </w:rPr>
      </w:pPr>
    </w:p>
    <w:p w14:paraId="1EE0DAB0">
      <w:pPr>
        <w:snapToGrid w:val="0"/>
        <w:spacing w:line="360" w:lineRule="auto"/>
        <w:ind w:right="-447"/>
        <w:jc w:val="both"/>
        <w:rPr>
          <w:rFonts w:hint="eastAsia" w:ascii="仿宋" w:hAnsi="仿宋" w:eastAsia="仿宋" w:cs="仿宋"/>
          <w:b/>
          <w:color w:val="auto"/>
          <w:sz w:val="28"/>
          <w:szCs w:val="28"/>
          <w:highlight w:val="none"/>
        </w:rPr>
      </w:pPr>
    </w:p>
    <w:p w14:paraId="46E5266F">
      <w:pPr>
        <w:snapToGrid w:val="0"/>
        <w:spacing w:line="360" w:lineRule="auto"/>
        <w:ind w:right="-447"/>
        <w:jc w:val="both"/>
        <w:rPr>
          <w:rFonts w:hint="eastAsia" w:ascii="仿宋" w:hAnsi="仿宋" w:eastAsia="仿宋" w:cs="仿宋"/>
          <w:b/>
          <w:color w:val="auto"/>
          <w:sz w:val="28"/>
          <w:szCs w:val="28"/>
          <w:highlight w:val="none"/>
        </w:rPr>
      </w:pPr>
    </w:p>
    <w:p w14:paraId="2EF2659D">
      <w:pPr>
        <w:snapToGrid w:val="0"/>
        <w:spacing w:line="360" w:lineRule="auto"/>
        <w:ind w:right="-447"/>
        <w:jc w:val="both"/>
        <w:rPr>
          <w:rFonts w:hint="eastAsia" w:ascii="仿宋" w:hAnsi="仿宋" w:eastAsia="仿宋" w:cs="仿宋"/>
          <w:b/>
          <w:color w:val="auto"/>
          <w:sz w:val="28"/>
          <w:szCs w:val="28"/>
          <w:highlight w:val="none"/>
        </w:rPr>
      </w:pPr>
    </w:p>
    <w:p w14:paraId="0684076A">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14:paraId="31685B28">
      <w:pPr>
        <w:widowControl/>
        <w:autoSpaceDE w:val="0"/>
        <w:autoSpaceDN w:val="0"/>
        <w:adjustRightInd/>
        <w:spacing w:line="360" w:lineRule="auto"/>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：回转油缸销轴五\Z1350TL-402A-9 液压泥炮</w:t>
      </w:r>
      <w:r>
        <w:rPr>
          <w:rFonts w:hint="eastAsia" w:ascii="仿宋" w:hAnsi="仿宋" w:eastAsia="仿宋" w:cs="仿宋"/>
          <w:color w:val="auto"/>
          <w:sz w:val="21"/>
          <w:szCs w:val="21"/>
          <w:highlight w:val="none"/>
          <w:lang w:val="en-US" w:eastAsia="zh-CN"/>
        </w:rPr>
        <w:t>、回转油缸销轴一\Z1350EL-402-5g 液压泥炮、控制连杆销轴\Z1340TL-302 液压泥炮、缓冲器销轴一\Z1340TL-208 液压泥炮、缓冲器销轴\Z1350FL-208 液压泥炮。</w:t>
      </w:r>
      <w:r>
        <w:rPr>
          <w:rFonts w:hint="eastAsia" w:ascii="仿宋" w:hAnsi="仿宋" w:eastAsia="仿宋" w:cs="仿宋"/>
          <w:color w:val="auto"/>
          <w:sz w:val="21"/>
          <w:szCs w:val="21"/>
          <w:highlight w:val="none"/>
        </w:rPr>
        <w:t>采购经双方协商，达成如下技术协议：</w:t>
      </w:r>
    </w:p>
    <w:p w14:paraId="13B943C5">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14:paraId="4AB961AD">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本技术协议作为甲方设备订货合同的附件，与订货合同同时生效，具有同等法律效力。合同执行期间双方再协商形成的补充协议和追加条款也具有同等法律效力。</w:t>
      </w:r>
    </w:p>
    <w:p w14:paraId="0AFF8CFA">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14:paraId="03772FE1">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14:paraId="74737715">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14:paraId="4FB7AAD8">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14:paraId="2A84B206">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1.5乙方须对振动电动机的完整性、合理性和设计质量承担全部责任。保证设备满足系统工艺要求。</w:t>
      </w:r>
    </w:p>
    <w:p w14:paraId="20E6D36E">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14:paraId="1E39A4BA">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1.7乙方在投标前，按照本技术协议所规定的技术参数与甲方技术人员充分技术交流，并签订标签技术协议后，方可具备投标资质参标。</w:t>
      </w:r>
    </w:p>
    <w:p w14:paraId="641BBEC3">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14:paraId="0ED33042">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14:paraId="51B09F57">
      <w:pPr>
        <w:spacing w:line="360" w:lineRule="auto"/>
        <w:ind w:firstLine="411" w:firstLineChars="196"/>
        <w:rPr>
          <w:rFonts w:hint="eastAsia" w:ascii="仿宋" w:hAnsi="仿宋" w:eastAsia="仿宋" w:cs="仿宋"/>
          <w:color w:val="FF0000"/>
          <w:sz w:val="21"/>
          <w:szCs w:val="21"/>
          <w:highlight w:val="none"/>
        </w:rPr>
      </w:pPr>
      <w:r>
        <w:rPr>
          <w:rFonts w:hint="eastAsia" w:ascii="仿宋" w:hAnsi="仿宋" w:eastAsia="仿宋" w:cs="仿宋"/>
          <w:color w:val="auto"/>
          <w:sz w:val="21"/>
          <w:szCs w:val="21"/>
          <w:highlight w:val="none"/>
          <w:lang w:val="en-US" w:eastAsia="zh-CN"/>
        </w:rPr>
        <w:t>2.1.1</w:t>
      </w:r>
      <w:r>
        <w:rPr>
          <w:rFonts w:hint="eastAsia" w:ascii="仿宋" w:hAnsi="仿宋" w:eastAsia="仿宋" w:cs="仿宋"/>
          <w:color w:val="auto"/>
          <w:sz w:val="21"/>
          <w:szCs w:val="21"/>
          <w:highlight w:val="none"/>
        </w:rPr>
        <w:t>该</w:t>
      </w:r>
      <w:r>
        <w:rPr>
          <w:rFonts w:hint="eastAsia" w:ascii="仿宋" w:hAnsi="仿宋" w:eastAsia="仿宋" w:cs="仿宋"/>
          <w:color w:val="auto"/>
          <w:sz w:val="21"/>
          <w:szCs w:val="21"/>
          <w:highlight w:val="none"/>
          <w:lang w:val="en-US" w:eastAsia="zh-CN"/>
        </w:rPr>
        <w:t>此批泥炮各部位销轴</w:t>
      </w:r>
      <w:r>
        <w:rPr>
          <w:rFonts w:hint="eastAsia" w:ascii="仿宋" w:hAnsi="仿宋" w:eastAsia="仿宋" w:cs="仿宋"/>
          <w:color w:val="auto"/>
          <w:sz w:val="21"/>
          <w:szCs w:val="21"/>
          <w:highlight w:val="none"/>
        </w:rPr>
        <w:t>使用于酒钢</w:t>
      </w:r>
      <w:r>
        <w:rPr>
          <w:rFonts w:hint="eastAsia" w:ascii="仿宋" w:hAnsi="仿宋" w:eastAsia="仿宋" w:cs="仿宋"/>
          <w:color w:val="auto"/>
          <w:sz w:val="21"/>
          <w:szCs w:val="21"/>
          <w:highlight w:val="none"/>
          <w:lang w:val="en-US" w:eastAsia="zh-CN"/>
        </w:rPr>
        <w:t>高炉炉前液压泥炮系统</w:t>
      </w:r>
      <w:r>
        <w:rPr>
          <w:rFonts w:hint="eastAsia" w:ascii="仿宋" w:hAnsi="仿宋" w:eastAsia="仿宋" w:cs="仿宋"/>
          <w:color w:val="auto"/>
          <w:sz w:val="21"/>
          <w:szCs w:val="21"/>
          <w:highlight w:val="none"/>
        </w:rPr>
        <w:t>，环境温度为</w:t>
      </w:r>
      <w:r>
        <w:rPr>
          <w:rFonts w:hint="eastAsia" w:ascii="仿宋" w:hAnsi="仿宋" w:eastAsia="仿宋" w:cs="仿宋"/>
          <w:b w:val="0"/>
          <w:bCs w:val="0"/>
          <w:color w:val="auto"/>
          <w:sz w:val="21"/>
          <w:szCs w:val="21"/>
          <w:highlight w:val="none"/>
        </w:rPr>
        <w:t>-30℃</w:t>
      </w:r>
      <w:r>
        <w:rPr>
          <w:rFonts w:hint="eastAsia" w:ascii="仿宋" w:hAnsi="仿宋" w:eastAsia="仿宋" w:cs="仿宋"/>
          <w:b w:val="0"/>
          <w:bCs w:val="0"/>
          <w:color w:val="auto"/>
          <w:sz w:val="21"/>
          <w:szCs w:val="21"/>
          <w:highlight w:val="none"/>
          <w:lang w:val="en-US" w:eastAsia="zh-CN"/>
        </w:rPr>
        <w:t>-650</w:t>
      </w:r>
      <w:r>
        <w:rPr>
          <w:rFonts w:hint="eastAsia" w:ascii="仿宋" w:hAnsi="仿宋" w:eastAsia="仿宋" w:cs="仿宋"/>
          <w:b w:val="0"/>
          <w:bCs w:val="0"/>
          <w:color w:val="auto"/>
          <w:sz w:val="21"/>
          <w:szCs w:val="21"/>
          <w:highlight w:val="none"/>
        </w:rPr>
        <w:t>℃</w:t>
      </w:r>
      <w:r>
        <w:rPr>
          <w:rFonts w:hint="eastAsia" w:ascii="仿宋" w:hAnsi="仿宋" w:eastAsia="仿宋" w:cs="仿宋"/>
          <w:color w:val="auto"/>
          <w:sz w:val="21"/>
          <w:szCs w:val="21"/>
          <w:highlight w:val="none"/>
        </w:rPr>
        <w:t>。海拔1640米。</w:t>
      </w:r>
    </w:p>
    <w:p w14:paraId="7E4E19CF">
      <w:pPr>
        <w:spacing w:line="360" w:lineRule="auto"/>
        <w:ind w:firstLine="411" w:firstLineChars="196"/>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2.1.2该</w:t>
      </w:r>
      <w:r>
        <w:rPr>
          <w:rFonts w:hint="eastAsia" w:ascii="仿宋" w:hAnsi="仿宋" w:eastAsia="仿宋" w:cs="仿宋"/>
          <w:color w:val="auto"/>
          <w:sz w:val="21"/>
          <w:szCs w:val="21"/>
          <w:highlight w:val="none"/>
          <w:lang w:eastAsia="zh-CN"/>
        </w:rPr>
        <w:t>销轴安装于</w:t>
      </w:r>
      <w:r>
        <w:rPr>
          <w:rFonts w:hint="eastAsia" w:ascii="仿宋" w:hAnsi="仿宋" w:eastAsia="仿宋" w:cs="仿宋"/>
          <w:color w:val="auto"/>
          <w:sz w:val="21"/>
          <w:szCs w:val="21"/>
          <w:highlight w:val="none"/>
          <w:lang w:val="en-US" w:eastAsia="zh-CN"/>
        </w:rPr>
        <w:t>炉前液压泥炮系统。</w:t>
      </w:r>
    </w:p>
    <w:p w14:paraId="2B4A6D79">
      <w:pPr>
        <w:spacing w:line="360" w:lineRule="auto"/>
        <w:ind w:firstLine="413" w:firstLineChars="196"/>
        <w:rPr>
          <w:rFonts w:hint="eastAsia" w:ascii="仿宋" w:hAnsi="仿宋" w:eastAsia="仿宋" w:cs="仿宋"/>
          <w:color w:val="auto"/>
          <w:sz w:val="21"/>
          <w:szCs w:val="21"/>
          <w:highlight w:val="none"/>
          <w:lang w:eastAsia="zh-CN"/>
        </w:rPr>
      </w:pPr>
      <w:bookmarkStart w:id="0" w:name="OLE_LINK1"/>
      <w:r>
        <w:rPr>
          <w:rFonts w:hint="eastAsia" w:ascii="仿宋" w:hAnsi="仿宋" w:eastAsia="仿宋" w:cs="仿宋"/>
          <w:b/>
          <w:color w:val="auto"/>
          <w:sz w:val="21"/>
          <w:szCs w:val="21"/>
          <w:highlight w:val="none"/>
        </w:rPr>
        <w:t>2.2 制造标准</w:t>
      </w:r>
      <w:r>
        <w:rPr>
          <w:rFonts w:hint="eastAsia" w:ascii="仿宋" w:hAnsi="仿宋" w:eastAsia="仿宋" w:cs="仿宋"/>
          <w:b/>
          <w:color w:val="auto"/>
          <w:sz w:val="21"/>
          <w:szCs w:val="21"/>
          <w:highlight w:val="none"/>
        </w:rPr>
        <w:br w:type="textWrapping"/>
      </w:r>
      <w:bookmarkEnd w:id="0"/>
      <w:r>
        <w:rPr>
          <w:rFonts w:hint="eastAsia" w:ascii="仿宋" w:hAnsi="仿宋" w:eastAsia="仿宋" w:cs="仿宋"/>
          <w:b/>
          <w:color w:val="auto"/>
          <w:sz w:val="21"/>
          <w:szCs w:val="21"/>
          <w:highlight w:val="none"/>
          <w:lang w:val="en-US" w:eastAsia="zh-CN"/>
        </w:rPr>
        <w:t>2.2.1</w:t>
      </w:r>
      <w:r>
        <w:rPr>
          <w:rFonts w:hint="eastAsia" w:ascii="仿宋" w:hAnsi="仿宋" w:eastAsia="仿宋" w:cs="仿宋"/>
          <w:color w:val="auto"/>
          <w:sz w:val="21"/>
          <w:szCs w:val="21"/>
          <w:highlight w:val="none"/>
        </w:rPr>
        <w:t>材料要求</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常用材料标准：一般可依据GB/T 8731 - 2008《易切削结构钢》、GB/T 6478 - 2015《冷镦和冷挤压用钢》等规范选择材料。例如，一些销轴可能采用45钢、40Cr等中碳钢或中碳合金钢，45钢具有一定的强度和韧性，40Cr经过调质处理后综合机械性能良好。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性能要求：材料需具备良好的综合力学性能，包括一定的强度、韧性、耐磨性等。强度确保销轴在工作时能承受载荷而不发生断裂；韧性可防止其在冲击载荷下突然失效；耐磨性则保证销轴在长期使用过程中，与其他部件配合处不会过快磨损。同时，材料的纯净度要高，尽量减少夹杂物等缺陷，以免影响销轴的性能。 </w:t>
      </w:r>
      <w:r>
        <w:rPr>
          <w:rFonts w:hint="eastAsia" w:ascii="仿宋" w:hAnsi="仿宋" w:eastAsia="仿宋" w:cs="仿宋"/>
          <w:color w:val="auto"/>
          <w:sz w:val="21"/>
          <w:szCs w:val="21"/>
          <w:highlight w:val="none"/>
        </w:rPr>
        <w:br w:type="textWrapping"/>
      </w:r>
      <w:r>
        <w:rPr>
          <w:rFonts w:hint="eastAsia" w:ascii="仿宋" w:hAnsi="仿宋" w:eastAsia="仿宋" w:cs="仿宋"/>
          <w:b/>
          <w:bCs/>
          <w:color w:val="auto"/>
          <w:sz w:val="21"/>
          <w:szCs w:val="21"/>
          <w:highlight w:val="none"/>
          <w:lang w:val="en-US" w:eastAsia="zh-CN"/>
        </w:rPr>
        <w:t>2.2.2</w:t>
      </w:r>
      <w:r>
        <w:rPr>
          <w:rFonts w:hint="eastAsia" w:ascii="仿宋" w:hAnsi="仿宋" w:eastAsia="仿宋" w:cs="仿宋"/>
          <w:color w:val="auto"/>
          <w:sz w:val="21"/>
          <w:szCs w:val="21"/>
          <w:highlight w:val="none"/>
        </w:rPr>
        <w:t>尺寸与公差要求</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公称直径范围：常见标准如GB/T 882 - 2008规定了公称直径d = 3mm - 100mm的销轴。钢铁厂设备销轴的公称直径会根据具体使用部位和承载要求等在一定范围内选取。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公差精度：不同部位的销轴对尺寸公差和形位公差要求不同。与传动部件配合的销轴，直径公差通常要求较高，以保证配合的准确性和稳定性，可能达到IT6 - IT8级精度；对于一些定位用的销轴，除了直径公差外，其直线度、圆柱度等形位公差也有严格要求，比如直线度可能要求在一定长度内不超过0.01mm - 0.05mm等。 </w:t>
      </w:r>
      <w:r>
        <w:rPr>
          <w:rFonts w:hint="eastAsia" w:ascii="仿宋" w:hAnsi="仿宋" w:eastAsia="仿宋" w:cs="仿宋"/>
          <w:color w:val="auto"/>
          <w:sz w:val="21"/>
          <w:szCs w:val="21"/>
          <w:highlight w:val="none"/>
        </w:rPr>
        <w:br w:type="textWrapping"/>
      </w:r>
      <w:r>
        <w:rPr>
          <w:rFonts w:hint="eastAsia" w:ascii="仿宋" w:hAnsi="仿宋" w:eastAsia="仿宋" w:cs="仿宋"/>
          <w:b/>
          <w:bCs/>
          <w:color w:val="auto"/>
          <w:sz w:val="21"/>
          <w:szCs w:val="21"/>
          <w:highlight w:val="none"/>
          <w:lang w:val="en-US" w:eastAsia="zh-CN"/>
        </w:rPr>
        <w:t>2.2.3</w:t>
      </w:r>
      <w:r>
        <w:rPr>
          <w:rFonts w:hint="eastAsia" w:ascii="仿宋" w:hAnsi="仿宋" w:eastAsia="仿宋" w:cs="仿宋"/>
          <w:color w:val="auto"/>
          <w:sz w:val="21"/>
          <w:szCs w:val="21"/>
          <w:highlight w:val="none"/>
        </w:rPr>
        <w:t>加工工艺要求</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下料：根据销轴的尺寸和材质要求，选择合适的下料方法，如锯切、气割等。对于精度要求较高的销轴，采用数控锯床下料能更好地控制长度尺寸。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机械加工：一般先夹外圆车平面、小外圆并钻孔，然后调头车平面、大外圆并倒角等。加工过程中要严格按照图纸尺寸进行，保证各部分的尺寸精度和表面粗糙度。例如，与其他零件配合的表面粗糙度可能要求达到Ra0.8 - Ra1.6μm 。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检验：每道加工工序后都需进行检验，首件检验合格后才能批量加工。成品检验时需对销轴的尺寸、形位公差、表面质量等进行全面检测，确保符合图纸和标准要求。 </w:t>
      </w:r>
      <w:r>
        <w:rPr>
          <w:rFonts w:hint="eastAsia" w:ascii="仿宋" w:hAnsi="仿宋" w:eastAsia="仿宋" w:cs="仿宋"/>
          <w:color w:val="auto"/>
          <w:sz w:val="21"/>
          <w:szCs w:val="21"/>
          <w:highlight w:val="none"/>
        </w:rPr>
        <w:br w:type="textWrapping"/>
      </w:r>
      <w:r>
        <w:rPr>
          <w:rFonts w:hint="eastAsia" w:ascii="仿宋" w:hAnsi="仿宋" w:eastAsia="仿宋" w:cs="仿宋"/>
          <w:b/>
          <w:bCs/>
          <w:color w:val="auto"/>
          <w:sz w:val="21"/>
          <w:szCs w:val="21"/>
          <w:highlight w:val="none"/>
          <w:lang w:val="en-US" w:eastAsia="zh-CN"/>
        </w:rPr>
        <w:t>2.2.4</w:t>
      </w:r>
      <w:r>
        <w:rPr>
          <w:rFonts w:hint="eastAsia" w:ascii="仿宋" w:hAnsi="仿宋" w:eastAsia="仿宋" w:cs="仿宋"/>
          <w:color w:val="auto"/>
          <w:sz w:val="21"/>
          <w:szCs w:val="21"/>
          <w:highlight w:val="none"/>
        </w:rPr>
        <w:t>热处理要求</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整体热处理：对于一些中碳钢或合金钢销轴，常进行调质处理，即淬火加高温回火，以提高其综合力学性能，使销轴既有一定强度又有较好韧性。例如40Cr销轴经调质处理后，硬度一般可达到HB220 - 250左右。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表面热处理：当对销轴表面耐磨性有较高要求时，可进行表面淬火，如感应淬火。以55#钢销轴为例，中频感应表面淬火深度可能要求达到2.54 - 3.12mm ，表面最大硬度HRC65，在深度2.54mm处最小硬度为HRC55 ，同时要注意控制好表面淬火的区域，如两端可能有一定长度不进行淬火处理。 </w:t>
      </w:r>
      <w:r>
        <w:rPr>
          <w:rFonts w:hint="eastAsia" w:ascii="仿宋" w:hAnsi="仿宋" w:eastAsia="仿宋" w:cs="仿宋"/>
          <w:color w:val="auto"/>
          <w:sz w:val="21"/>
          <w:szCs w:val="21"/>
          <w:highlight w:val="none"/>
        </w:rPr>
        <w:br w:type="textWrapping"/>
      </w:r>
      <w:r>
        <w:rPr>
          <w:rFonts w:hint="eastAsia" w:ascii="仿宋" w:hAnsi="仿宋" w:eastAsia="仿宋" w:cs="仿宋"/>
          <w:b/>
          <w:bCs/>
          <w:color w:val="auto"/>
          <w:sz w:val="21"/>
          <w:szCs w:val="21"/>
          <w:highlight w:val="none"/>
          <w:lang w:val="en-US" w:eastAsia="zh-CN"/>
        </w:rPr>
        <w:t>2.2.5</w:t>
      </w:r>
      <w:r>
        <w:rPr>
          <w:rFonts w:hint="eastAsia" w:ascii="仿宋" w:hAnsi="仿宋" w:eastAsia="仿宋" w:cs="仿宋"/>
          <w:color w:val="auto"/>
          <w:sz w:val="21"/>
          <w:szCs w:val="21"/>
          <w:highlight w:val="none"/>
        </w:rPr>
        <w:t>表面处理要求</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为提高销轴的防腐性能，常进行表面处理，主要涉及以下规范：</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氧化处理：依据相关标准，使销轴表面形成一层氧化膜，起到一定防护作用。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磷化处理：按照GB/T 11376 - 2020等标准，在销轴表面形成磷化膜，增强其耐蚀性和减摩性等。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镀锌铬酸盐转化膜及其他镀层：可参考GB/T 5267.1 - 2002、GB/T 5267.3 - 2008等标准，通过电镀、热浸镀等方式在销轴表面镀上锌等金属层，提高防腐能力。 </w:t>
      </w:r>
    </w:p>
    <w:p w14:paraId="18636EC8">
      <w:pPr>
        <w:spacing w:line="360" w:lineRule="auto"/>
        <w:ind w:left="475" w:leftChars="175" w:hanging="55" w:hangingChars="2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2.3 相关技术要求</w:t>
      </w:r>
    </w:p>
    <w:p w14:paraId="5669F3D1">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2.3.1 相关参数</w:t>
      </w:r>
    </w:p>
    <w:p w14:paraId="466DC276">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①</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型号：</w:t>
      </w:r>
      <w:r>
        <w:rPr>
          <w:rFonts w:hint="eastAsia" w:ascii="仿宋" w:hAnsi="仿宋" w:eastAsia="仿宋" w:cs="仿宋"/>
          <w:color w:val="auto"/>
          <w:sz w:val="21"/>
          <w:szCs w:val="21"/>
          <w:highlight w:val="none"/>
          <w:lang w:eastAsia="zh-CN"/>
        </w:rPr>
        <w:t xml:space="preserve">Z1350TL-405E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②</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打泥活塞最大压力：</w:t>
      </w:r>
      <w:r>
        <w:rPr>
          <w:rFonts w:hint="eastAsia" w:ascii="仿宋" w:hAnsi="仿宋" w:eastAsia="仿宋" w:cs="仿宋"/>
          <w:color w:val="auto"/>
          <w:sz w:val="21"/>
          <w:szCs w:val="21"/>
          <w:highlight w:val="none"/>
          <w:lang w:val="en-US" w:eastAsia="zh-CN"/>
        </w:rPr>
        <w:t>21.6MPa</w:t>
      </w:r>
    </w:p>
    <w:p w14:paraId="0D7D66D3">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③</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回转角度 ：</w:t>
      </w:r>
      <w:r>
        <w:rPr>
          <w:rFonts w:hint="eastAsia" w:ascii="仿宋" w:hAnsi="仿宋" w:eastAsia="仿宋" w:cs="仿宋"/>
          <w:color w:val="auto"/>
          <w:sz w:val="21"/>
          <w:szCs w:val="21"/>
          <w:highlight w:val="none"/>
          <w:lang w:val="en-US" w:eastAsia="zh-CN"/>
        </w:rPr>
        <w:t xml:space="preserve">126°                            </w:t>
      </w:r>
      <w:r>
        <w:rPr>
          <w:rFonts w:hint="eastAsia" w:ascii="仿宋" w:hAnsi="仿宋" w:eastAsia="仿宋" w:cs="仿宋"/>
          <w:color w:val="auto"/>
          <w:sz w:val="21"/>
          <w:szCs w:val="21"/>
          <w:highlight w:val="none"/>
          <w:lang w:eastAsia="zh-CN"/>
        </w:rPr>
        <w:t>④</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额定工作压力</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28MPa</w:t>
      </w:r>
    </w:p>
    <w:p w14:paraId="1B91F916">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⑤</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回转工作压力：</w:t>
      </w:r>
      <w:r>
        <w:rPr>
          <w:rFonts w:hint="eastAsia" w:ascii="仿宋" w:hAnsi="仿宋" w:eastAsia="仿宋" w:cs="仿宋"/>
          <w:color w:val="auto"/>
          <w:sz w:val="21"/>
          <w:szCs w:val="21"/>
          <w:highlight w:val="none"/>
          <w:lang w:val="en-US" w:eastAsia="zh-CN"/>
        </w:rPr>
        <w:t xml:space="preserve">28MPa                        </w:t>
      </w:r>
      <w:r>
        <w:rPr>
          <w:rFonts w:hint="eastAsia" w:ascii="仿宋" w:hAnsi="仿宋" w:eastAsia="仿宋" w:cs="仿宋"/>
          <w:color w:val="auto"/>
          <w:sz w:val="21"/>
          <w:szCs w:val="21"/>
          <w:highlight w:val="none"/>
          <w:lang w:eastAsia="zh-CN"/>
        </w:rPr>
        <w:t>⑥</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回转最大工作压力：31.5MPa</w:t>
      </w:r>
    </w:p>
    <w:p w14:paraId="749DBE3A">
      <w:pPr>
        <w:spacing w:line="360" w:lineRule="auto"/>
        <w:ind w:firstLine="478" w:firstLineChars="228"/>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⑦</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回转余角：</w:t>
      </w:r>
      <w:r>
        <w:rPr>
          <w:rFonts w:hint="eastAsia" w:ascii="仿宋" w:hAnsi="仿宋" w:eastAsia="仿宋" w:cs="仿宋"/>
          <w:color w:val="auto"/>
          <w:sz w:val="21"/>
          <w:szCs w:val="21"/>
          <w:highlight w:val="none"/>
          <w:lang w:val="en-US" w:eastAsia="zh-CN"/>
        </w:rPr>
        <w:t xml:space="preserve">2.5°                            </w:t>
      </w:r>
      <w:r>
        <w:rPr>
          <w:rFonts w:hint="eastAsia" w:ascii="仿宋" w:hAnsi="仿宋" w:eastAsia="仿宋" w:cs="仿宋"/>
          <w:color w:val="auto"/>
          <w:sz w:val="21"/>
          <w:szCs w:val="21"/>
          <w:highlight w:val="none"/>
          <w:lang w:eastAsia="zh-CN"/>
        </w:rPr>
        <w:t>⑧</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打泥推力：5697kN</w:t>
      </w:r>
      <w:r>
        <w:rPr>
          <w:rFonts w:hint="eastAsia" w:ascii="仿宋" w:hAnsi="仿宋" w:eastAsia="仿宋" w:cs="仿宋"/>
          <w:b w:val="0"/>
          <w:i w:val="0"/>
          <w:caps w:val="0"/>
          <w:color w:val="auto"/>
          <w:spacing w:val="0"/>
          <w:sz w:val="21"/>
          <w:szCs w:val="21"/>
          <w:highlight w:val="none"/>
          <w:shd w:val="clear" w:color="auto" w:fill="FFFFFF"/>
          <w:lang w:val="en-US" w:eastAsia="zh-CN"/>
        </w:rPr>
        <w:t xml:space="preserve">                    </w:t>
      </w:r>
    </w:p>
    <w:p w14:paraId="787D7089">
      <w:pPr>
        <w:widowControl w:val="0"/>
        <w:spacing w:line="360" w:lineRule="auto"/>
        <w:jc w:val="both"/>
        <w:rPr>
          <w:rFonts w:hint="eastAsia" w:ascii="仿宋" w:hAnsi="仿宋" w:eastAsia="仿宋" w:cs="仿宋"/>
          <w:color w:val="auto"/>
          <w:kern w:val="2"/>
          <w:sz w:val="21"/>
          <w:szCs w:val="21"/>
          <w:highlight w:val="none"/>
          <w:lang w:val="en-GB"/>
        </w:rPr>
      </w:pPr>
      <w:r>
        <w:rPr>
          <w:rFonts w:hint="eastAsia" w:ascii="仿宋" w:hAnsi="仿宋" w:eastAsia="仿宋" w:cs="仿宋"/>
          <w:b/>
          <w:bCs/>
          <w:color w:val="auto"/>
          <w:kern w:val="44"/>
          <w:sz w:val="21"/>
          <w:szCs w:val="21"/>
          <w:highlight w:val="none"/>
          <w:lang w:val="en-US" w:eastAsia="zh-CN" w:bidi="ar-SA"/>
        </w:rPr>
        <w:t>2.6推荐品牌：</w:t>
      </w:r>
      <w:r>
        <w:rPr>
          <w:rFonts w:hint="eastAsia" w:ascii="仿宋" w:hAnsi="仿宋" w:eastAsia="仿宋" w:cs="仿宋"/>
          <w:b/>
          <w:bCs/>
          <w:color w:val="auto"/>
          <w:sz w:val="21"/>
          <w:szCs w:val="21"/>
          <w:highlight w:val="none"/>
          <w:lang w:val="en-US" w:eastAsia="zh-CN"/>
        </w:rPr>
        <w:t>原厂</w:t>
      </w:r>
      <w:r>
        <w:rPr>
          <w:rFonts w:hint="eastAsia" w:ascii="仿宋" w:hAnsi="仿宋" w:eastAsia="仿宋" w:cs="仿宋"/>
          <w:color w:val="auto"/>
          <w:kern w:val="2"/>
          <w:sz w:val="21"/>
          <w:szCs w:val="21"/>
          <w:highlight w:val="none"/>
          <w:lang w:val="en-US" w:eastAsia="zh-CN"/>
        </w:rPr>
        <w:t>（</w:t>
      </w:r>
      <w:r>
        <w:rPr>
          <w:rFonts w:hint="eastAsia" w:ascii="仿宋" w:hAnsi="仿宋" w:eastAsia="仿宋" w:cs="仿宋"/>
          <w:b/>
          <w:bCs/>
          <w:color w:val="auto"/>
          <w:kern w:val="2"/>
          <w:sz w:val="21"/>
          <w:szCs w:val="21"/>
          <w:highlight w:val="none"/>
          <w:lang w:val="en-US" w:eastAsia="zh-CN"/>
        </w:rPr>
        <w:t>中钢集团西安重机有限公司</w:t>
      </w:r>
      <w:r>
        <w:rPr>
          <w:rFonts w:hint="eastAsia" w:ascii="仿宋" w:hAnsi="仿宋" w:eastAsia="仿宋" w:cs="仿宋"/>
          <w:color w:val="auto"/>
          <w:kern w:val="2"/>
          <w:sz w:val="21"/>
          <w:szCs w:val="21"/>
          <w:highlight w:val="none"/>
          <w:lang w:val="en-US" w:eastAsia="zh-CN"/>
        </w:rPr>
        <w:t>）：</w:t>
      </w:r>
    </w:p>
    <w:p w14:paraId="2A076AD6">
      <w:pPr>
        <w:widowControl/>
        <w:spacing w:line="360" w:lineRule="auto"/>
        <w:jc w:val="left"/>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tbl>
      <w:tblPr>
        <w:tblStyle w:val="15"/>
        <w:tblW w:w="95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69"/>
        <w:gridCol w:w="1273"/>
        <w:gridCol w:w="5962"/>
        <w:gridCol w:w="496"/>
        <w:gridCol w:w="585"/>
      </w:tblGrid>
      <w:tr w14:paraId="4EA97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1FF6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B83F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物料编码</w:t>
            </w:r>
          </w:p>
        </w:tc>
        <w:tc>
          <w:tcPr>
            <w:tcW w:w="5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6A37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物料描述</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CCBD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2552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r>
      <w:tr w14:paraId="7B7DD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54DA5">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1</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B6868">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70418569</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F5569">
            <w:pPr>
              <w:keepNext w:val="0"/>
              <w:keepLines w:val="0"/>
              <w:widowControl/>
              <w:suppressLineNumbers w:val="0"/>
              <w:jc w:val="left"/>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回转油缸销轴五\Z1350TL-402A-9 液压泥炮</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141CF">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件</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B13A8">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2</w:t>
            </w:r>
          </w:p>
        </w:tc>
      </w:tr>
      <w:tr w14:paraId="79DB0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23281">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2</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FCEAC">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70418570</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FB8CA">
            <w:pPr>
              <w:keepNext w:val="0"/>
              <w:keepLines w:val="0"/>
              <w:widowControl/>
              <w:suppressLineNumbers w:val="0"/>
              <w:jc w:val="left"/>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回转油缸销轴一\Z1350EL-402-5g 液压泥炮</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700B1">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件</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061E2">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2</w:t>
            </w:r>
          </w:p>
        </w:tc>
      </w:tr>
      <w:tr w14:paraId="201F4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B39C1">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3</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7D0CB">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70418598</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7287B">
            <w:pPr>
              <w:keepNext w:val="0"/>
              <w:keepLines w:val="0"/>
              <w:widowControl/>
              <w:suppressLineNumbers w:val="0"/>
              <w:jc w:val="left"/>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控制连杆销轴\Z1340TL-302 液压泥炮</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0EFF2">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件</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00A78">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2</w:t>
            </w:r>
          </w:p>
        </w:tc>
      </w:tr>
      <w:tr w14:paraId="4AFF4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84DCC">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4</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FA21D">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70418599</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81793">
            <w:pPr>
              <w:keepNext w:val="0"/>
              <w:keepLines w:val="0"/>
              <w:widowControl/>
              <w:suppressLineNumbers w:val="0"/>
              <w:jc w:val="left"/>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缓冲器销轴一\Z1340TL-208 液压泥炮</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FB658">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件</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4FF08">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2</w:t>
            </w:r>
          </w:p>
        </w:tc>
      </w:tr>
      <w:tr w14:paraId="1EF6B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FE117">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5</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F2739">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宋体" w:hAnsi="宋体" w:eastAsia="宋体" w:cs="宋体"/>
                <w:i w:val="0"/>
                <w:iCs w:val="0"/>
                <w:color w:val="auto"/>
                <w:kern w:val="0"/>
                <w:sz w:val="20"/>
                <w:szCs w:val="20"/>
                <w:u w:val="none"/>
                <w:lang w:val="en-US" w:eastAsia="zh-CN" w:bidi="ar"/>
              </w:rPr>
              <w:t>70418600</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F896A">
            <w:pPr>
              <w:keepNext w:val="0"/>
              <w:keepLines w:val="0"/>
              <w:widowControl/>
              <w:suppressLineNumbers w:val="0"/>
              <w:jc w:val="left"/>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缓冲器销轴\Z1350FL-208 液压泥炮</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223AC">
            <w:pPr>
              <w:keepNext w:val="0"/>
              <w:keepLines w:val="0"/>
              <w:widowControl/>
              <w:suppressLineNumbers w:val="0"/>
              <w:jc w:val="center"/>
              <w:textAlignment w:val="center"/>
              <w:rPr>
                <w:rFonts w:hint="eastAsia"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件</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7EA17">
            <w:pPr>
              <w:keepNext w:val="0"/>
              <w:keepLines w:val="0"/>
              <w:widowControl/>
              <w:suppressLineNumbers w:val="0"/>
              <w:jc w:val="center"/>
              <w:textAlignment w:val="center"/>
              <w:rPr>
                <w:rFonts w:hint="default" w:ascii="仿宋" w:hAnsi="仿宋" w:eastAsia="仿宋" w:cs="仿宋"/>
                <w:b w:val="0"/>
                <w:bCs/>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2</w:t>
            </w:r>
          </w:p>
        </w:tc>
      </w:tr>
    </w:tbl>
    <w:p w14:paraId="1F9548AE">
      <w:pPr>
        <w:spacing w:line="360" w:lineRule="auto"/>
        <w:ind w:left="0" w:leftChars="0" w:firstLine="422" w:firstLineChars="200"/>
        <w:rPr>
          <w:rFonts w:hint="eastAsia" w:ascii="仿宋" w:hAnsi="仿宋" w:eastAsia="仿宋" w:cs="仿宋"/>
          <w:b/>
          <w:color w:val="auto"/>
          <w:spacing w:val="-4"/>
          <w:kern w:val="28"/>
          <w:sz w:val="21"/>
          <w:szCs w:val="21"/>
          <w:highlight w:val="none"/>
        </w:rPr>
      </w:pPr>
      <w:r>
        <w:rPr>
          <w:rFonts w:hint="eastAsia" w:ascii="仿宋" w:hAnsi="仿宋" w:eastAsia="仿宋" w:cs="仿宋"/>
          <w:b/>
          <w:bCs/>
          <w:color w:val="auto"/>
          <w:kern w:val="2"/>
          <w:sz w:val="21"/>
          <w:szCs w:val="21"/>
          <w:highlight w:val="none"/>
          <w:lang w:eastAsia="zh-CN"/>
        </w:rPr>
        <w:t>回转油缸销轴五\Z1350TL-402A-9 液压泥炮</w:t>
      </w:r>
      <w:r>
        <w:rPr>
          <w:rFonts w:hint="eastAsia" w:ascii="仿宋" w:hAnsi="仿宋" w:eastAsia="仿宋" w:cs="仿宋"/>
          <w:b/>
          <w:bCs/>
          <w:color w:val="auto"/>
          <w:kern w:val="2"/>
          <w:sz w:val="21"/>
          <w:szCs w:val="21"/>
          <w:highlight w:val="none"/>
          <w:lang w:val="en-US" w:eastAsia="zh-CN"/>
        </w:rPr>
        <w:t>、回转油缸销轴一\Z1350EL-402-5g 液压泥炮、控制连杆销轴\Z1340TL-302 液压泥炮、缓冲器销轴一\Z1340TL-208 液压泥炮、缓冲器销轴\Z1350FL-208 液压泥炮</w:t>
      </w:r>
      <w:r>
        <w:rPr>
          <w:rFonts w:hint="eastAsia" w:ascii="仿宋" w:hAnsi="仿宋" w:eastAsia="仿宋" w:cs="仿宋"/>
          <w:b/>
          <w:bCs/>
          <w:color w:val="auto"/>
          <w:sz w:val="21"/>
          <w:szCs w:val="21"/>
          <w:highlight w:val="none"/>
          <w:lang w:val="en-US" w:eastAsia="zh-CN"/>
        </w:rPr>
        <w:t>安装尺寸一致可与现场在装备件互换，确保提供的所有销轴备件能够完全的与现场在用设备互换安装无误，且各功能、质量与现场一至，否则</w:t>
      </w:r>
      <w:r>
        <w:rPr>
          <w:rFonts w:hint="eastAsia" w:ascii="仿宋" w:hAnsi="仿宋" w:eastAsia="仿宋" w:cs="仿宋"/>
          <w:b/>
          <w:bCs/>
          <w:color w:val="auto"/>
          <w:kern w:val="2"/>
          <w:sz w:val="21"/>
          <w:szCs w:val="21"/>
          <w:highlight w:val="none"/>
          <w:lang w:eastAsia="zh-CN"/>
        </w:rPr>
        <w:t>乙方承担一切后果</w:t>
      </w:r>
      <w:r>
        <w:rPr>
          <w:rFonts w:hint="eastAsia" w:ascii="仿宋" w:hAnsi="仿宋" w:eastAsia="仿宋" w:cs="仿宋"/>
          <w:b/>
          <w:bCs/>
          <w:color w:val="auto"/>
          <w:sz w:val="21"/>
          <w:szCs w:val="21"/>
          <w:highlight w:val="none"/>
          <w:lang w:val="en-US" w:eastAsia="zh-CN"/>
        </w:rPr>
        <w:t>。</w:t>
      </w:r>
    </w:p>
    <w:p w14:paraId="2C3A71D3">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14:paraId="1ED82F99">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14:paraId="70733696">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14:paraId="5DB92F60">
      <w:pPr>
        <w:widowControl w:val="0"/>
        <w:tabs>
          <w:tab w:val="left" w:pos="1080"/>
        </w:tabs>
        <w:spacing w:line="360" w:lineRule="auto"/>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14:paraId="7E047B70">
      <w:pPr>
        <w:widowControl w:val="0"/>
        <w:tabs>
          <w:tab w:val="left" w:pos="1080"/>
        </w:tabs>
        <w:spacing w:line="360" w:lineRule="auto"/>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14:paraId="637FEB86">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14:paraId="049BA2BF">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14:paraId="085325A9">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4.2.5 销轴验报告书；</w:t>
      </w:r>
    </w:p>
    <w:p w14:paraId="1A443535">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4.2.6 销轴质量保证书。</w:t>
      </w:r>
    </w:p>
    <w:p w14:paraId="338BDC65">
      <w:pPr>
        <w:widowControl w:val="0"/>
        <w:tabs>
          <w:tab w:val="left" w:pos="1080"/>
        </w:tabs>
        <w:spacing w:line="360" w:lineRule="auto"/>
        <w:ind w:firstLine="420" w:firstLineChars="200"/>
        <w:rPr>
          <w:rFonts w:hint="eastAsia" w:ascii="仿宋" w:hAnsi="仿宋" w:eastAsia="仿宋" w:cs="仿宋"/>
          <w:b w:val="0"/>
          <w:bCs w:val="0"/>
          <w:color w:val="auto"/>
          <w:kern w:val="2"/>
          <w:sz w:val="21"/>
          <w:szCs w:val="21"/>
          <w:highlight w:val="none"/>
          <w:lang w:val="en-US" w:eastAsia="zh-CN" w:bidi="ar-SA"/>
        </w:rPr>
      </w:pPr>
      <w:bookmarkStart w:id="1" w:name="_GoBack"/>
      <w:bookmarkEnd w:id="1"/>
      <w:r>
        <w:rPr>
          <w:rFonts w:hint="eastAsia" w:ascii="仿宋" w:hAnsi="仿宋" w:eastAsia="仿宋" w:cs="仿宋"/>
          <w:b w:val="0"/>
          <w:bCs w:val="0"/>
          <w:color w:val="auto"/>
          <w:kern w:val="2"/>
          <w:sz w:val="21"/>
          <w:szCs w:val="21"/>
          <w:highlight w:val="none"/>
          <w:lang w:val="en-US" w:eastAsia="zh-CN" w:bidi="ar-SA"/>
        </w:rPr>
        <w:t>4.3 邮寄地址</w:t>
      </w:r>
    </w:p>
    <w:p w14:paraId="209C2663">
      <w:pPr>
        <w:widowControl w:val="0"/>
        <w:spacing w:line="360" w:lineRule="auto"/>
        <w:ind w:firstLine="420" w:firstLineChars="200"/>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14:paraId="0F952BBF">
      <w:pPr>
        <w:widowControl w:val="0"/>
        <w:spacing w:line="360" w:lineRule="auto"/>
        <w:ind w:firstLine="420" w:firstLineChars="200"/>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14:paraId="1B97A6FB">
      <w:pPr>
        <w:pStyle w:val="11"/>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18298976058   </w:t>
      </w: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14:paraId="5AA98EF7">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14:paraId="5EF5C04D">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仿宋" w:hAnsi="仿宋" w:eastAsia="仿宋" w:cs="仿宋"/>
          <w:b w:val="0"/>
          <w:bCs w:val="0"/>
          <w:color w:val="auto"/>
          <w:kern w:val="2"/>
          <w:sz w:val="21"/>
          <w:szCs w:val="21"/>
          <w:highlight w:val="none"/>
          <w:lang w:val="en-US" w:eastAsia="zh-CN"/>
        </w:rPr>
        <w:t>销轴</w:t>
      </w:r>
      <w:r>
        <w:rPr>
          <w:rFonts w:hint="eastAsia" w:ascii="仿宋" w:hAnsi="仿宋" w:eastAsia="仿宋" w:cs="仿宋"/>
          <w:b w:val="0"/>
          <w:bCs w:val="0"/>
          <w:color w:val="auto"/>
          <w:kern w:val="2"/>
          <w:sz w:val="21"/>
          <w:szCs w:val="21"/>
          <w:highlight w:val="none"/>
        </w:rPr>
        <w:t>的</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保证期为投运现场使用之日起12个月。</w:t>
      </w:r>
    </w:p>
    <w:p w14:paraId="103DE220">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.2在质保期内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14:paraId="39156077">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.3</w:t>
      </w:r>
      <w:r>
        <w:rPr>
          <w:rFonts w:hint="eastAsia" w:ascii="仿宋" w:hAnsi="仿宋" w:eastAsia="仿宋" w:cs="仿宋"/>
          <w:b w:val="0"/>
          <w:bCs w:val="0"/>
          <w:color w:val="auto"/>
          <w:kern w:val="2"/>
          <w:sz w:val="21"/>
          <w:szCs w:val="21"/>
          <w:highlight w:val="none"/>
          <w:lang w:eastAsia="zh-CN"/>
        </w:rPr>
        <w:t>对安装、调试后，质保期内，设备精度达不到协议要求，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14:paraId="2C395C48">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14:paraId="61DE028F">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14:paraId="255DC548">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w:t>
      </w:r>
    </w:p>
    <w:p w14:paraId="73540718">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14:paraId="7731C035">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14:paraId="03685478">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7.1本协议内容经由甲乙双方于    年   月   日   时-  时通过   方式商定。 </w:t>
      </w:r>
    </w:p>
    <w:p w14:paraId="01B0256C">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7.2甲乙双方应当就签订本协议的相关事宜保密，不得将签订主体、时间、内容等信息透露给其他第三人。</w:t>
      </w:r>
    </w:p>
    <w:p w14:paraId="385C1A35">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7.3若乙方公司不能中标，则本技术协议自动失效，双方不承担任何责任。</w:t>
      </w:r>
    </w:p>
    <w:p w14:paraId="04BC322D">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本协议一式四份，甲方三份，乙方一份。</w:t>
      </w:r>
    </w:p>
    <w:p w14:paraId="0B0C643A">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14:paraId="6844F165">
      <w:pPr>
        <w:pStyle w:val="7"/>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14:paraId="259E3D7A">
      <w:pPr>
        <w:pStyle w:val="7"/>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14:paraId="453FCD1D">
      <w:pPr>
        <w:pStyle w:val="7"/>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14:paraId="1F8ED1E0">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4F4BCE">
    <w:pPr>
      <w:pStyle w:val="12"/>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jNjI5N2JlYzNhZGU1ZjMyMjkzYTBmYTY4YjYzYzEifQ=="/>
    <w:docVar w:name="KSO_WPS_MARK_KEY" w:val="ce00ab5f-1421-445c-8d4c-69502139f280"/>
  </w:docVars>
  <w:rsids>
    <w:rsidRoot w:val="00172A27"/>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3F5F2A"/>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1C00AF9"/>
    <w:rsid w:val="03DF3D4F"/>
    <w:rsid w:val="045A41EA"/>
    <w:rsid w:val="04931259"/>
    <w:rsid w:val="04E319AB"/>
    <w:rsid w:val="059C3246"/>
    <w:rsid w:val="07B76CEE"/>
    <w:rsid w:val="08416F2D"/>
    <w:rsid w:val="0A265453"/>
    <w:rsid w:val="0A502357"/>
    <w:rsid w:val="0AF75787"/>
    <w:rsid w:val="0C693DF6"/>
    <w:rsid w:val="0D690A8B"/>
    <w:rsid w:val="0F6949B9"/>
    <w:rsid w:val="0F960F20"/>
    <w:rsid w:val="0FA7334B"/>
    <w:rsid w:val="119A56B6"/>
    <w:rsid w:val="11A958FA"/>
    <w:rsid w:val="11AC1D80"/>
    <w:rsid w:val="12D270D2"/>
    <w:rsid w:val="14A213F8"/>
    <w:rsid w:val="14FB6DC8"/>
    <w:rsid w:val="14FE5F5C"/>
    <w:rsid w:val="15B8653A"/>
    <w:rsid w:val="15C0276A"/>
    <w:rsid w:val="163A1216"/>
    <w:rsid w:val="17B55FF2"/>
    <w:rsid w:val="18A90670"/>
    <w:rsid w:val="190D30A5"/>
    <w:rsid w:val="1A9210DE"/>
    <w:rsid w:val="1B851185"/>
    <w:rsid w:val="1B8B0310"/>
    <w:rsid w:val="1C3A718F"/>
    <w:rsid w:val="1D0E6271"/>
    <w:rsid w:val="1D48246B"/>
    <w:rsid w:val="205F020B"/>
    <w:rsid w:val="21D62BBD"/>
    <w:rsid w:val="21F7445F"/>
    <w:rsid w:val="224551CB"/>
    <w:rsid w:val="262C11AD"/>
    <w:rsid w:val="264D6D44"/>
    <w:rsid w:val="274A49E9"/>
    <w:rsid w:val="276977AA"/>
    <w:rsid w:val="29796396"/>
    <w:rsid w:val="29AA0009"/>
    <w:rsid w:val="29F65841"/>
    <w:rsid w:val="2B8457CB"/>
    <w:rsid w:val="2C484070"/>
    <w:rsid w:val="2D34414E"/>
    <w:rsid w:val="2E5C3FC8"/>
    <w:rsid w:val="2F5A6DBC"/>
    <w:rsid w:val="2FF217A3"/>
    <w:rsid w:val="30942CC8"/>
    <w:rsid w:val="316F691B"/>
    <w:rsid w:val="33492641"/>
    <w:rsid w:val="34B51AD9"/>
    <w:rsid w:val="34F76C36"/>
    <w:rsid w:val="35653EA9"/>
    <w:rsid w:val="37BB78FC"/>
    <w:rsid w:val="38822413"/>
    <w:rsid w:val="39333B77"/>
    <w:rsid w:val="39481A9A"/>
    <w:rsid w:val="3C274CC5"/>
    <w:rsid w:val="3C3420E0"/>
    <w:rsid w:val="3CB11983"/>
    <w:rsid w:val="3E3770BC"/>
    <w:rsid w:val="3EAF1EBE"/>
    <w:rsid w:val="400A0C2B"/>
    <w:rsid w:val="407C22A8"/>
    <w:rsid w:val="40A11D0E"/>
    <w:rsid w:val="41717932"/>
    <w:rsid w:val="41F97D49"/>
    <w:rsid w:val="42650422"/>
    <w:rsid w:val="43AA712C"/>
    <w:rsid w:val="460728CA"/>
    <w:rsid w:val="48AE77F9"/>
    <w:rsid w:val="49916AB0"/>
    <w:rsid w:val="4A1D17C2"/>
    <w:rsid w:val="4AA743C5"/>
    <w:rsid w:val="4BBF60FE"/>
    <w:rsid w:val="4CE83548"/>
    <w:rsid w:val="4CFA6EF6"/>
    <w:rsid w:val="4E02772B"/>
    <w:rsid w:val="4EB96475"/>
    <w:rsid w:val="4ECF02E5"/>
    <w:rsid w:val="4F7E26BC"/>
    <w:rsid w:val="4FCD492D"/>
    <w:rsid w:val="50444E89"/>
    <w:rsid w:val="508431D1"/>
    <w:rsid w:val="523F4EE3"/>
    <w:rsid w:val="52543B4B"/>
    <w:rsid w:val="53193986"/>
    <w:rsid w:val="53B546F8"/>
    <w:rsid w:val="563F07B9"/>
    <w:rsid w:val="575F6AA5"/>
    <w:rsid w:val="577F2AA1"/>
    <w:rsid w:val="57F435E4"/>
    <w:rsid w:val="58374651"/>
    <w:rsid w:val="58905DB1"/>
    <w:rsid w:val="59013595"/>
    <w:rsid w:val="59BE3A45"/>
    <w:rsid w:val="5A5B7F3B"/>
    <w:rsid w:val="5C1F025F"/>
    <w:rsid w:val="5C3B4C78"/>
    <w:rsid w:val="5D5F28DD"/>
    <w:rsid w:val="5DDC3F2E"/>
    <w:rsid w:val="5E66256E"/>
    <w:rsid w:val="5EB033F0"/>
    <w:rsid w:val="5F3A26FB"/>
    <w:rsid w:val="608B2DCE"/>
    <w:rsid w:val="61572249"/>
    <w:rsid w:val="61D858B1"/>
    <w:rsid w:val="625E7ACB"/>
    <w:rsid w:val="63275C4B"/>
    <w:rsid w:val="6422084E"/>
    <w:rsid w:val="645B3DFE"/>
    <w:rsid w:val="66C079F6"/>
    <w:rsid w:val="678B49FB"/>
    <w:rsid w:val="67A63303"/>
    <w:rsid w:val="68C006D4"/>
    <w:rsid w:val="6AB0617B"/>
    <w:rsid w:val="6B4C27DE"/>
    <w:rsid w:val="6EAB5982"/>
    <w:rsid w:val="729B5D0E"/>
    <w:rsid w:val="72D75DC2"/>
    <w:rsid w:val="73B1109E"/>
    <w:rsid w:val="74753B7F"/>
    <w:rsid w:val="74FB6702"/>
    <w:rsid w:val="75F145C2"/>
    <w:rsid w:val="76D0147D"/>
    <w:rsid w:val="78B6564F"/>
    <w:rsid w:val="7A073341"/>
    <w:rsid w:val="7AEA15E0"/>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qFormat/>
    <w:uiPriority w:val="0"/>
    <w:pPr>
      <w:keepNext/>
      <w:keepLines/>
      <w:adjustRightInd w:val="0"/>
      <w:snapToGrid w:val="0"/>
      <w:spacing w:line="180" w:lineRule="atLeast"/>
      <w:outlineLvl w:val="0"/>
    </w:pPr>
    <w:rPr>
      <w:rFonts w:cs="Calibri"/>
      <w:b/>
      <w:bCs/>
      <w:kern w:val="44"/>
      <w:sz w:val="32"/>
      <w:szCs w:val="44"/>
    </w:rPr>
  </w:style>
  <w:style w:type="paragraph" w:styleId="3">
    <w:name w:val="heading 4"/>
    <w:basedOn w:val="4"/>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4">
    <w:name w:val="00 正文"/>
    <w:basedOn w:val="1"/>
    <w:qFormat/>
    <w:uiPriority w:val="0"/>
    <w:pPr>
      <w:adjustRightInd w:val="0"/>
      <w:textAlignment w:val="baseline"/>
    </w:pPr>
    <w:rPr>
      <w:rFonts w:hAnsi="宋体"/>
      <w:bCs/>
      <w:kern w:val="2"/>
      <w:sz w:val="24"/>
    </w:rPr>
  </w:style>
  <w:style w:type="paragraph" w:styleId="5">
    <w:name w:val="Normal Indent"/>
    <w:basedOn w:val="1"/>
    <w:qFormat/>
    <w:uiPriority w:val="0"/>
    <w:pPr>
      <w:ind w:firstLine="420"/>
    </w:pPr>
    <w:rPr>
      <w:sz w:val="28"/>
    </w:rPr>
  </w:style>
  <w:style w:type="paragraph" w:styleId="6">
    <w:name w:val="annotation text"/>
    <w:basedOn w:val="1"/>
    <w:qFormat/>
    <w:uiPriority w:val="0"/>
    <w:pPr>
      <w:jc w:val="left"/>
    </w:pPr>
  </w:style>
  <w:style w:type="paragraph" w:styleId="7">
    <w:name w:val="Body Text"/>
    <w:basedOn w:val="1"/>
    <w:qFormat/>
    <w:uiPriority w:val="0"/>
    <w:rPr>
      <w:rFonts w:eastAsia="方正魏碑简体"/>
      <w:sz w:val="72"/>
    </w:rPr>
  </w:style>
  <w:style w:type="paragraph" w:styleId="8">
    <w:name w:val="Body Text Indent"/>
    <w:basedOn w:val="1"/>
    <w:qFormat/>
    <w:uiPriority w:val="0"/>
    <w:pPr>
      <w:spacing w:after="120"/>
      <w:ind w:left="420" w:leftChars="200"/>
    </w:pPr>
  </w:style>
  <w:style w:type="paragraph" w:styleId="9">
    <w:name w:val="Block Text"/>
    <w:basedOn w:val="1"/>
    <w:qFormat/>
    <w:uiPriority w:val="0"/>
    <w:pPr>
      <w:snapToGrid w:val="0"/>
      <w:spacing w:line="480" w:lineRule="atLeast"/>
      <w:ind w:left="-240" w:right="-447" w:firstLine="570"/>
      <w:jc w:val="both"/>
    </w:pPr>
    <w:rPr>
      <w:sz w:val="28"/>
    </w:rPr>
  </w:style>
  <w:style w:type="paragraph" w:styleId="10">
    <w:name w:val="toc 5"/>
    <w:basedOn w:val="1"/>
    <w:next w:val="1"/>
    <w:qFormat/>
    <w:uiPriority w:val="39"/>
    <w:pPr>
      <w:ind w:left="840"/>
      <w:jc w:val="left"/>
    </w:pPr>
    <w:rPr>
      <w:sz w:val="18"/>
      <w:szCs w:val="18"/>
    </w:rPr>
  </w:style>
  <w:style w:type="paragraph" w:styleId="11">
    <w:name w:val="Plain Text"/>
    <w:basedOn w:val="1"/>
    <w:qFormat/>
    <w:uiPriority w:val="0"/>
    <w:pPr>
      <w:adjustRightInd/>
      <w:spacing w:line="240" w:lineRule="auto"/>
      <w:jc w:val="both"/>
      <w:textAlignment w:val="auto"/>
    </w:pPr>
    <w:rPr>
      <w:rFonts w:ascii="宋体" w:hAnsi="Courier New"/>
      <w:kern w:val="2"/>
      <w:sz w:val="21"/>
    </w:rPr>
  </w:style>
  <w:style w:type="paragraph" w:styleId="12">
    <w:name w:val="footer"/>
    <w:basedOn w:val="1"/>
    <w:qFormat/>
    <w:uiPriority w:val="0"/>
    <w:pPr>
      <w:tabs>
        <w:tab w:val="center" w:pos="4153"/>
        <w:tab w:val="right" w:pos="8306"/>
      </w:tabs>
      <w:snapToGrid w:val="0"/>
      <w:spacing w:line="240" w:lineRule="atLeas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4">
    <w:name w:val="Body Text First Indent 2"/>
    <w:basedOn w:val="8"/>
    <w:qFormat/>
    <w:uiPriority w:val="0"/>
    <w:pPr>
      <w:spacing w:after="120" w:line="560" w:lineRule="exact"/>
      <w:ind w:left="420" w:leftChars="200" w:firstLine="420"/>
    </w:pPr>
    <w:rPr>
      <w:rFonts w:hAnsi="宋体"/>
      <w:sz w:val="28"/>
      <w:szCs w:val="22"/>
    </w:rPr>
  </w:style>
  <w:style w:type="table" w:styleId="16">
    <w:name w:val="Table Grid"/>
    <w:basedOn w:val="15"/>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page number"/>
    <w:basedOn w:val="17"/>
    <w:qFormat/>
    <w:uiPriority w:val="0"/>
  </w:style>
  <w:style w:type="character" w:styleId="20">
    <w:name w:val="Hyperlink"/>
    <w:qFormat/>
    <w:uiPriority w:val="0"/>
    <w:rPr>
      <w:color w:val="0000FF"/>
      <w:u w:val="single"/>
    </w:rPr>
  </w:style>
  <w:style w:type="character" w:customStyle="1" w:styleId="21">
    <w:name w:val="font01"/>
    <w:basedOn w:val="17"/>
    <w:qFormat/>
    <w:uiPriority w:val="0"/>
    <w:rPr>
      <w:rFonts w:hint="default" w:ascii="Times New Roman" w:hAnsi="Times New Roman" w:cs="Times New Roman"/>
      <w:color w:val="393939"/>
      <w:sz w:val="22"/>
      <w:szCs w:val="22"/>
      <w:u w:val="none"/>
    </w:rPr>
  </w:style>
  <w:style w:type="paragraph" w:customStyle="1" w:styleId="22">
    <w:name w:val=" Char Char Char1 Char Char Char3 Char Char Char Char"/>
    <w:basedOn w:val="1"/>
    <w:qFormat/>
    <w:uiPriority w:val="0"/>
    <w:rPr>
      <w:rFonts w:ascii="Tahoma" w:hAnsi="Tahoma"/>
    </w:rPr>
  </w:style>
  <w:style w:type="paragraph" w:customStyle="1" w:styleId="23">
    <w:name w:val=" Char Char Char1 Char Char Char Char Char Char Char Char Char Char"/>
    <w:basedOn w:val="1"/>
    <w:qFormat/>
    <w:uiPriority w:val="0"/>
    <w:rPr>
      <w:rFonts w:ascii="Tahoma" w:hAnsi="Tahoma"/>
    </w:rPr>
  </w:style>
  <w:style w:type="paragraph" w:customStyle="1" w:styleId="24">
    <w:name w:val="_Style 8"/>
    <w:basedOn w:val="1"/>
    <w:qFormat/>
    <w:uiPriority w:val="0"/>
    <w:rPr>
      <w:rFonts w:ascii="Tahoma" w:hAnsi="Tahoma"/>
    </w:rPr>
  </w:style>
  <w:style w:type="paragraph" w:customStyle="1" w:styleId="25">
    <w:name w:val=" Char"/>
    <w:basedOn w:val="1"/>
    <w:qFormat/>
    <w:uiPriority w:val="0"/>
    <w:rPr>
      <w:rFonts w:ascii="Tahoma" w:hAnsi="Tahoma"/>
    </w:rPr>
  </w:style>
  <w:style w:type="character" w:customStyle="1" w:styleId="26">
    <w:name w:val="font11"/>
    <w:basedOn w:val="17"/>
    <w:qFormat/>
    <w:uiPriority w:val="0"/>
    <w:rPr>
      <w:rFonts w:hint="eastAsia" w:ascii="宋体" w:hAnsi="宋体" w:eastAsia="宋体" w:cs="宋体"/>
      <w:color w:val="000000"/>
      <w:sz w:val="20"/>
      <w:szCs w:val="20"/>
      <w:u w:val="none"/>
    </w:rPr>
  </w:style>
  <w:style w:type="character" w:customStyle="1" w:styleId="27">
    <w:name w:val="font41"/>
    <w:basedOn w:val="17"/>
    <w:qFormat/>
    <w:uiPriority w:val="0"/>
    <w:rPr>
      <w:rFonts w:hint="eastAsia" w:ascii="宋体" w:hAnsi="宋体" w:eastAsia="宋体" w:cs="宋体"/>
      <w:color w:val="000000"/>
      <w:sz w:val="20"/>
      <w:szCs w:val="20"/>
      <w:u w:val="none"/>
      <w:vertAlign w:val="sub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6</Pages>
  <Words>1944</Words>
  <Characters>2402</Characters>
  <Lines>16</Lines>
  <Paragraphs>4</Paragraphs>
  <TotalTime>5</TotalTime>
  <ScaleCrop>false</ScaleCrop>
  <LinksUpToDate>false</LinksUpToDate>
  <CharactersWithSpaces>2594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WPS_1701851377</cp:lastModifiedBy>
  <cp:lastPrinted>2010-06-13T03:59:00Z</cp:lastPrinted>
  <dcterms:modified xsi:type="dcterms:W3CDTF">2025-06-04T02:20:15Z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A066E225CA984F1295A2DFF99C925734_13</vt:lpwstr>
  </property>
  <property fmtid="{D5CDD505-2E9C-101B-9397-08002B2CF9AE}" pid="4" name="KSOTemplateDocerSaveRecord">
    <vt:lpwstr>eyJoZGlkIjoiYTRhMDIwMDYyOGU4OWQ0NTgzOWU3MmYzZDA4NjBjMDQiLCJ1c2VySWQiOiIxNTYzMDcxMTc4In0=</vt:lpwstr>
  </property>
</Properties>
</file>