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4ED640">
      <w:pPr>
        <w:ind w:firstLine="480"/>
      </w:pPr>
    </w:p>
    <w:p w14:paraId="1221EE5A">
      <w:pPr>
        <w:spacing w:line="360" w:lineRule="auto"/>
        <w:ind w:left="0" w:leftChars="0" w:firstLine="0" w:firstLineChars="0"/>
        <w:jc w:val="center"/>
        <w:outlineLvl w:val="9"/>
        <w:rPr>
          <w:rFonts w:hint="eastAsia" w:ascii="黑体" w:hAnsi="黑体" w:eastAsia="黑体"/>
          <w:b/>
          <w:sz w:val="52"/>
          <w:szCs w:val="52"/>
        </w:rPr>
      </w:pPr>
      <w:r>
        <w:rPr>
          <w:rFonts w:hint="eastAsia" w:ascii="黑体" w:hAnsi="黑体" w:eastAsia="黑体"/>
          <w:b/>
          <w:sz w:val="52"/>
          <w:szCs w:val="52"/>
        </w:rPr>
        <w:t xml:space="preserve"> </w:t>
      </w:r>
    </w:p>
    <w:p w14:paraId="1DBBF72D">
      <w:pPr>
        <w:spacing w:line="360" w:lineRule="auto"/>
        <w:ind w:left="0" w:leftChars="0" w:firstLine="0" w:firstLineChars="0"/>
        <w:jc w:val="center"/>
        <w:outlineLvl w:val="9"/>
        <w:rPr>
          <w:rFonts w:hint="eastAsia" w:ascii="黑体" w:hAnsi="黑体" w:eastAsia="黑体"/>
          <w:b/>
          <w:sz w:val="52"/>
          <w:szCs w:val="52"/>
        </w:rPr>
      </w:pPr>
    </w:p>
    <w:p w14:paraId="081FD80A">
      <w:pPr>
        <w:spacing w:line="360" w:lineRule="auto"/>
        <w:ind w:left="0" w:leftChars="0" w:firstLine="0" w:firstLineChars="0"/>
        <w:jc w:val="center"/>
        <w:outlineLvl w:val="9"/>
        <w:rPr>
          <w:rFonts w:hint="eastAsia" w:ascii="仿宋" w:hAnsi="仿宋" w:eastAsia="仿宋" w:cs="仿宋"/>
          <w:b/>
          <w:bCs w:val="0"/>
          <w:kern w:val="0"/>
          <w:sz w:val="44"/>
          <w:szCs w:val="44"/>
          <w:highlight w:val="none"/>
          <w:lang w:val="en-US" w:eastAsia="zh-CN"/>
        </w:rPr>
      </w:pPr>
      <w:r>
        <w:rPr>
          <w:rFonts w:hint="eastAsia" w:ascii="黑体" w:hAnsi="黑体" w:eastAsia="黑体"/>
          <w:b/>
          <w:sz w:val="52"/>
          <w:szCs w:val="52"/>
          <w:highlight w:val="none"/>
          <w:lang w:val="en-US" w:eastAsia="zh-CN"/>
        </w:rPr>
        <w:t xml:space="preserve">  </w:t>
      </w:r>
      <w:r>
        <w:rPr>
          <w:rFonts w:hint="eastAsia" w:ascii="仿宋" w:hAnsi="仿宋" w:eastAsia="仿宋" w:cs="仿宋"/>
          <w:b/>
          <w:bCs w:val="0"/>
          <w:kern w:val="0"/>
          <w:sz w:val="44"/>
          <w:szCs w:val="44"/>
          <w:highlight w:val="none"/>
          <w:lang w:val="en-US" w:eastAsia="zh-CN"/>
        </w:rPr>
        <w:t>宏联自控公司</w:t>
      </w:r>
    </w:p>
    <w:p w14:paraId="28357D0D">
      <w:pPr>
        <w:spacing w:line="360" w:lineRule="auto"/>
        <w:ind w:left="0" w:leftChars="0" w:firstLine="0" w:firstLineChars="0"/>
        <w:jc w:val="center"/>
        <w:outlineLvl w:val="9"/>
        <w:rPr>
          <w:rFonts w:hint="eastAsia" w:ascii="仿宋" w:hAnsi="仿宋" w:eastAsia="仿宋" w:cs="仿宋"/>
          <w:b/>
          <w:bCs w:val="0"/>
          <w:kern w:val="0"/>
          <w:sz w:val="44"/>
          <w:szCs w:val="44"/>
          <w:highlight w:val="none"/>
          <w:lang w:val="en-US"/>
        </w:rPr>
      </w:pPr>
      <w:r>
        <w:rPr>
          <w:rFonts w:hint="eastAsia" w:ascii="仿宋" w:hAnsi="仿宋" w:eastAsia="仿宋" w:cs="仿宋"/>
          <w:b/>
          <w:bCs w:val="0"/>
          <w:kern w:val="0"/>
          <w:sz w:val="44"/>
          <w:szCs w:val="44"/>
          <w:highlight w:val="none"/>
          <w:lang w:val="en-US" w:eastAsia="zh-CN"/>
        </w:rPr>
        <w:t xml:space="preserve">  低压成套开关柜</w:t>
      </w:r>
    </w:p>
    <w:p w14:paraId="288AB66E">
      <w:pPr>
        <w:adjustRightInd w:val="0"/>
        <w:snapToGrid w:val="0"/>
        <w:spacing w:line="360" w:lineRule="auto"/>
        <w:ind w:right="2" w:rightChars="1"/>
        <w:jc w:val="center"/>
        <w:textAlignment w:val="baseline"/>
        <w:outlineLvl w:val="9"/>
        <w:rPr>
          <w:rFonts w:hint="eastAsia" w:ascii="宋体" w:hAnsi="宋体"/>
          <w:b/>
          <w:kern w:val="0"/>
          <w:sz w:val="36"/>
          <w:szCs w:val="36"/>
          <w:highlight w:val="none"/>
          <w:lang w:val="en-US" w:eastAsia="zh-CN"/>
        </w:rPr>
      </w:pPr>
    </w:p>
    <w:p w14:paraId="39FF6C73">
      <w:pPr>
        <w:pStyle w:val="25"/>
        <w:rPr>
          <w:rFonts w:hint="default"/>
          <w:highlight w:val="none"/>
          <w:lang w:val="en-US"/>
        </w:rPr>
      </w:pPr>
    </w:p>
    <w:p w14:paraId="580EA99A">
      <w:pPr>
        <w:adjustRightInd w:val="0"/>
        <w:snapToGrid w:val="0"/>
        <w:spacing w:line="360" w:lineRule="auto"/>
        <w:ind w:right="2" w:rightChars="1"/>
        <w:jc w:val="center"/>
        <w:textAlignment w:val="baseline"/>
        <w:rPr>
          <w:rFonts w:hint="eastAsia" w:ascii="宋体" w:hAnsi="宋体"/>
          <w:b/>
          <w:kern w:val="0"/>
          <w:sz w:val="36"/>
          <w:szCs w:val="36"/>
          <w:highlight w:val="none"/>
        </w:rPr>
      </w:pPr>
    </w:p>
    <w:p w14:paraId="662629F9">
      <w:pPr>
        <w:adjustRightInd w:val="0"/>
        <w:snapToGrid w:val="0"/>
        <w:spacing w:line="360" w:lineRule="auto"/>
        <w:ind w:right="2" w:rightChars="1"/>
        <w:jc w:val="center"/>
        <w:textAlignment w:val="baseline"/>
        <w:rPr>
          <w:rFonts w:hint="eastAsia" w:ascii="宋体" w:hAnsi="宋体"/>
          <w:b/>
          <w:kern w:val="0"/>
          <w:sz w:val="36"/>
          <w:szCs w:val="36"/>
          <w:highlight w:val="none"/>
        </w:rPr>
      </w:pPr>
    </w:p>
    <w:p w14:paraId="1906AFE5">
      <w:pPr>
        <w:adjustRightInd w:val="0"/>
        <w:snapToGrid w:val="0"/>
        <w:spacing w:line="360" w:lineRule="auto"/>
        <w:ind w:right="2" w:rightChars="1"/>
        <w:jc w:val="center"/>
        <w:textAlignment w:val="baseline"/>
        <w:rPr>
          <w:rFonts w:hint="eastAsia" w:ascii="宋体" w:hAnsi="宋体"/>
          <w:b/>
          <w:kern w:val="0"/>
          <w:sz w:val="36"/>
          <w:szCs w:val="36"/>
          <w:highlight w:val="none"/>
        </w:rPr>
      </w:pPr>
    </w:p>
    <w:p w14:paraId="1FD2D08F">
      <w:pPr>
        <w:ind w:firstLine="3080" w:firstLineChars="700"/>
        <w:rPr>
          <w:rFonts w:hint="eastAsia" w:ascii="仿宋" w:hAnsi="仿宋" w:eastAsia="仿宋" w:cs="仿宋"/>
          <w:b/>
          <w:bCs/>
          <w:sz w:val="28"/>
          <w:szCs w:val="28"/>
          <w:highlight w:val="none"/>
          <w:lang w:val="en-US" w:eastAsia="zh-CN"/>
        </w:rPr>
      </w:pPr>
      <w:r>
        <w:rPr>
          <w:rFonts w:hint="eastAsia" w:ascii="仿宋" w:hAnsi="仿宋" w:eastAsia="仿宋" w:cs="仿宋"/>
          <w:b/>
          <w:bCs/>
          <w:sz w:val="44"/>
          <w:szCs w:val="44"/>
          <w:highlight w:val="none"/>
        </w:rPr>
        <w:t>技术规格书</w:t>
      </w:r>
    </w:p>
    <w:p w14:paraId="40DAC0DD">
      <w:pPr>
        <w:snapToGrid w:val="0"/>
        <w:spacing w:line="360" w:lineRule="auto"/>
        <w:ind w:right="2" w:rightChars="1" w:firstLine="900" w:firstLineChars="250"/>
        <w:rPr>
          <w:rFonts w:hint="default" w:ascii="宋体" w:hAnsi="宋体" w:eastAsia="宋体" w:cs="Times New Roman"/>
          <w:b/>
          <w:kern w:val="0"/>
          <w:sz w:val="36"/>
          <w:szCs w:val="36"/>
          <w:highlight w:val="none"/>
          <w:lang w:val="en-US" w:eastAsia="zh-CN"/>
        </w:rPr>
      </w:pPr>
    </w:p>
    <w:p w14:paraId="267BB8DF">
      <w:pPr>
        <w:pStyle w:val="25"/>
        <w:ind w:left="0" w:leftChars="0" w:firstLine="0" w:firstLineChars="0"/>
        <w:rPr>
          <w:rFonts w:hint="default" w:eastAsia="宋体"/>
          <w:highlight w:val="none"/>
          <w:lang w:val="en-US" w:eastAsia="zh-CN"/>
        </w:rPr>
      </w:pPr>
    </w:p>
    <w:p w14:paraId="57AF7360">
      <w:pPr>
        <w:adjustRightInd w:val="0"/>
        <w:snapToGrid w:val="0"/>
        <w:spacing w:line="360" w:lineRule="auto"/>
        <w:ind w:right="2" w:rightChars="1"/>
        <w:jc w:val="center"/>
        <w:textAlignment w:val="baseline"/>
        <w:rPr>
          <w:rFonts w:hint="eastAsia" w:ascii="宋体" w:hAnsi="宋体"/>
          <w:b/>
          <w:kern w:val="0"/>
          <w:sz w:val="36"/>
          <w:szCs w:val="36"/>
          <w:highlight w:val="none"/>
        </w:rPr>
      </w:pPr>
    </w:p>
    <w:p w14:paraId="73D7CB41">
      <w:pPr>
        <w:snapToGrid w:val="0"/>
        <w:spacing w:line="360" w:lineRule="auto"/>
        <w:ind w:right="2" w:rightChars="1" w:firstLine="700" w:firstLineChars="250"/>
        <w:rPr>
          <w:rFonts w:hint="eastAsia" w:ascii="宋体" w:hAnsi="宋体"/>
          <w:b/>
          <w:sz w:val="28"/>
          <w:szCs w:val="28"/>
          <w:highlight w:val="none"/>
        </w:rPr>
      </w:pPr>
    </w:p>
    <w:p w14:paraId="161130BF">
      <w:pPr>
        <w:snapToGrid w:val="0"/>
        <w:spacing w:line="360" w:lineRule="auto"/>
        <w:ind w:right="2" w:rightChars="1" w:firstLine="700" w:firstLineChars="250"/>
        <w:rPr>
          <w:rFonts w:hint="eastAsia" w:ascii="宋体" w:hAnsi="宋体"/>
          <w:b/>
          <w:sz w:val="28"/>
          <w:szCs w:val="28"/>
          <w:highlight w:val="none"/>
        </w:rPr>
      </w:pPr>
    </w:p>
    <w:p w14:paraId="4865952A">
      <w:pPr>
        <w:snapToGrid w:val="0"/>
        <w:spacing w:line="360" w:lineRule="auto"/>
        <w:ind w:right="2" w:rightChars="1" w:firstLine="700" w:firstLineChars="250"/>
        <w:rPr>
          <w:rFonts w:hint="eastAsia" w:ascii="宋体" w:hAnsi="宋体"/>
          <w:b/>
          <w:sz w:val="28"/>
          <w:szCs w:val="28"/>
          <w:highlight w:val="none"/>
        </w:rPr>
      </w:pPr>
    </w:p>
    <w:p w14:paraId="1817D88C">
      <w:pPr>
        <w:snapToGrid w:val="0"/>
        <w:spacing w:line="360" w:lineRule="auto"/>
        <w:ind w:right="2" w:rightChars="1" w:firstLine="700" w:firstLineChars="250"/>
        <w:rPr>
          <w:rFonts w:hint="eastAsia" w:ascii="宋体" w:hAnsi="宋体"/>
          <w:b/>
          <w:sz w:val="28"/>
          <w:szCs w:val="28"/>
          <w:highlight w:val="none"/>
        </w:rPr>
      </w:pPr>
    </w:p>
    <w:p w14:paraId="4FCF0EC6">
      <w:pPr>
        <w:snapToGrid w:val="0"/>
        <w:spacing w:line="360" w:lineRule="auto"/>
        <w:ind w:right="2" w:rightChars="1" w:firstLine="700" w:firstLineChars="250"/>
        <w:rPr>
          <w:rFonts w:hint="eastAsia" w:ascii="宋体" w:hAnsi="宋体"/>
          <w:b/>
          <w:sz w:val="28"/>
          <w:szCs w:val="28"/>
          <w:highlight w:val="none"/>
        </w:rPr>
      </w:pPr>
    </w:p>
    <w:p w14:paraId="54D959E8">
      <w:pPr>
        <w:snapToGrid w:val="0"/>
        <w:spacing w:line="360" w:lineRule="auto"/>
        <w:ind w:left="0" w:leftChars="0" w:right="2" w:rightChars="1" w:firstLine="840" w:firstLineChars="300"/>
        <w:rPr>
          <w:rFonts w:hint="default" w:ascii="宋体" w:hAnsi="宋体" w:eastAsia="宋体"/>
          <w:b/>
          <w:sz w:val="28"/>
          <w:szCs w:val="28"/>
          <w:highlight w:val="none"/>
          <w:lang w:val="en-US" w:eastAsia="zh-CN"/>
        </w:rPr>
      </w:pPr>
      <w:r>
        <w:rPr>
          <w:rFonts w:hint="eastAsia" w:ascii="宋体" w:hAnsi="宋体"/>
          <w:b/>
          <w:sz w:val="28"/>
          <w:szCs w:val="28"/>
          <w:highlight w:val="none"/>
        </w:rPr>
        <w:t>甲方：</w:t>
      </w:r>
      <w:r>
        <w:rPr>
          <w:rFonts w:hint="eastAsia" w:ascii="宋体" w:hAnsi="宋体"/>
          <w:b/>
          <w:sz w:val="28"/>
          <w:szCs w:val="28"/>
          <w:highlight w:val="none"/>
          <w:lang w:val="en-US" w:eastAsia="zh-CN"/>
        </w:rPr>
        <w:t>酒钢（集团）宏联自控有限责任公司</w:t>
      </w:r>
    </w:p>
    <w:p w14:paraId="2C86BC42">
      <w:pPr>
        <w:snapToGrid w:val="0"/>
        <w:spacing w:line="360" w:lineRule="auto"/>
        <w:ind w:right="2" w:rightChars="1"/>
        <w:rPr>
          <w:rFonts w:hint="eastAsia" w:ascii="宋体" w:hAnsi="宋体"/>
          <w:b/>
          <w:sz w:val="28"/>
          <w:szCs w:val="28"/>
          <w:highlight w:val="none"/>
        </w:rPr>
      </w:pPr>
    </w:p>
    <w:p w14:paraId="1EFBD2C7">
      <w:pPr>
        <w:snapToGrid w:val="0"/>
        <w:spacing w:line="360" w:lineRule="auto"/>
        <w:ind w:left="0" w:leftChars="0" w:right="2" w:rightChars="1" w:firstLine="840" w:firstLineChars="300"/>
        <w:rPr>
          <w:rFonts w:hint="eastAsia" w:ascii="宋体" w:hAnsi="宋体"/>
          <w:b/>
          <w:sz w:val="28"/>
          <w:szCs w:val="28"/>
          <w:highlight w:val="none"/>
        </w:rPr>
      </w:pPr>
      <w:r>
        <w:rPr>
          <w:rFonts w:hint="eastAsia" w:ascii="宋体" w:hAnsi="宋体"/>
          <w:b/>
          <w:sz w:val="28"/>
          <w:szCs w:val="28"/>
          <w:highlight w:val="none"/>
        </w:rPr>
        <w:t>乙方：</w:t>
      </w:r>
    </w:p>
    <w:p w14:paraId="5C7EF509">
      <w:pPr>
        <w:rPr>
          <w:highlight w:val="none"/>
        </w:rPr>
      </w:pPr>
    </w:p>
    <w:p w14:paraId="57A3C8BC">
      <w:pPr>
        <w:adjustRightInd w:val="0"/>
        <w:snapToGrid w:val="0"/>
        <w:spacing w:line="560" w:lineRule="exact"/>
        <w:rPr>
          <w:rFonts w:hint="eastAsia" w:ascii="宋体" w:hAnsi="宋体" w:cs="宋体"/>
          <w:sz w:val="28"/>
          <w:szCs w:val="28"/>
          <w:highlight w:val="none"/>
        </w:rPr>
        <w:sectPr>
          <w:footerReference r:id="rId3" w:type="default"/>
          <w:pgSz w:w="11906" w:h="16838"/>
          <w:pgMar w:top="1440" w:right="1797" w:bottom="1440" w:left="1797" w:header="851" w:footer="992" w:gutter="0"/>
          <w:pgNumType w:fmt="decimal"/>
          <w:cols w:space="720" w:num="1"/>
          <w:docGrid w:type="linesAndChars" w:linePitch="312" w:charSpace="0"/>
        </w:sectPr>
      </w:pPr>
      <w:bookmarkStart w:id="0" w:name="_Toc15544"/>
      <w:bookmarkStart w:id="1" w:name="_Toc18767"/>
      <w:bookmarkStart w:id="2" w:name="_Toc10877"/>
    </w:p>
    <w:p w14:paraId="795A9670">
      <w:pPr>
        <w:pStyle w:val="55"/>
        <w:numPr>
          <w:ilvl w:val="0"/>
          <w:numId w:val="0"/>
        </w:numPr>
        <w:ind w:firstLine="4480" w:firstLineChars="1400"/>
        <w:jc w:val="both"/>
        <w:rPr>
          <w:rFonts w:hint="eastAsia" w:ascii="宋体" w:hAnsi="宋体" w:eastAsia="宋体" w:cs="宋体"/>
          <w:color w:val="auto"/>
          <w:kern w:val="2"/>
          <w:sz w:val="32"/>
          <w:szCs w:val="32"/>
          <w:highlight w:val="none"/>
          <w:lang w:val="zh-CN" w:eastAsia="zh-CN" w:bidi="ar-SA"/>
        </w:rPr>
      </w:pPr>
    </w:p>
    <w:p w14:paraId="06E026EC">
      <w:pPr>
        <w:pStyle w:val="55"/>
        <w:numPr>
          <w:ilvl w:val="0"/>
          <w:numId w:val="0"/>
        </w:numPr>
        <w:ind w:firstLine="4320" w:firstLineChars="1200"/>
        <w:jc w:val="left"/>
        <w:rPr>
          <w:rFonts w:hint="eastAsia" w:ascii="宋体" w:hAnsi="宋体" w:eastAsia="宋体" w:cs="宋体"/>
          <w:color w:val="auto"/>
          <w:kern w:val="2"/>
          <w:sz w:val="36"/>
          <w:szCs w:val="36"/>
          <w:highlight w:val="none"/>
          <w:lang w:val="zh-CN" w:eastAsia="zh-CN" w:bidi="ar-SA"/>
        </w:rPr>
      </w:pPr>
      <w:r>
        <w:rPr>
          <w:rFonts w:hint="eastAsia" w:ascii="宋体" w:hAnsi="宋体" w:eastAsia="宋体" w:cs="宋体"/>
          <w:color w:val="auto"/>
          <w:kern w:val="2"/>
          <w:sz w:val="36"/>
          <w:szCs w:val="36"/>
          <w:highlight w:val="none"/>
          <w:lang w:val="zh-CN" w:eastAsia="zh-CN" w:bidi="ar-SA"/>
        </w:rPr>
        <w:t>目 录</w:t>
      </w:r>
    </w:p>
    <w:p w14:paraId="7E6DB7C4">
      <w:pPr>
        <w:adjustRightInd w:val="0"/>
        <w:snapToGrid w:val="0"/>
        <w:spacing w:line="560" w:lineRule="exact"/>
        <w:ind w:firstLine="640" w:firstLineChars="200"/>
        <w:rPr>
          <w:rFonts w:hint="eastAsia" w:ascii="宋体" w:hAnsi="宋体" w:eastAsia="宋体" w:cs="宋体"/>
          <w:sz w:val="32"/>
          <w:szCs w:val="32"/>
          <w:highlight w:val="none"/>
          <w:lang w:val="zh-CN" w:eastAsia="zh-CN"/>
        </w:rPr>
      </w:pPr>
    </w:p>
    <w:p w14:paraId="539F0578">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fldChar w:fldCharType="begin"/>
      </w:r>
      <w:r>
        <w:rPr>
          <w:rFonts w:hint="eastAsia" w:ascii="宋体" w:hAnsi="宋体" w:eastAsia="宋体" w:cs="宋体"/>
          <w:sz w:val="32"/>
          <w:szCs w:val="32"/>
          <w:highlight w:val="none"/>
          <w:lang w:val="en-US" w:eastAsia="zh-CN"/>
        </w:rPr>
        <w:instrText xml:space="preserve"> TOC \o "1-3" \h \z \u </w:instrText>
      </w:r>
      <w:r>
        <w:rPr>
          <w:rFonts w:hint="eastAsia" w:ascii="宋体" w:hAnsi="宋体" w:eastAsia="宋体" w:cs="宋体"/>
          <w:sz w:val="32"/>
          <w:szCs w:val="32"/>
          <w:highlight w:val="none"/>
          <w:lang w:val="en-US" w:eastAsia="zh-CN"/>
        </w:rPr>
        <w:fldChar w:fldCharType="separate"/>
      </w:r>
      <w:r>
        <w:rPr>
          <w:rFonts w:hint="eastAsia" w:ascii="宋体" w:hAnsi="宋体" w:eastAsia="宋体" w:cs="宋体"/>
          <w:sz w:val="32"/>
          <w:szCs w:val="32"/>
          <w:highlight w:val="none"/>
          <w:lang w:val="en-US" w:eastAsia="zh-CN"/>
        </w:rPr>
        <w:t>第1条 总则</w:t>
      </w:r>
    </w:p>
    <w:p w14:paraId="76BAA9D7">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第2条 设计条件</w:t>
      </w:r>
    </w:p>
    <w:p w14:paraId="20405FDE">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第3条 供货范围</w:t>
      </w:r>
    </w:p>
    <w:p w14:paraId="46239F0B">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第4条 设备技术要求</w:t>
      </w:r>
    </w:p>
    <w:p w14:paraId="03034DBE">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第5条 设备监造、检验、组装试运转及验收</w:t>
      </w:r>
    </w:p>
    <w:p w14:paraId="4CC4CC1E">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第6条 包装、运输和储存</w:t>
      </w:r>
    </w:p>
    <w:p w14:paraId="2E20083C">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第7条 资料交付要求</w:t>
      </w:r>
    </w:p>
    <w:p w14:paraId="273E247C">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第8条 技术服务</w:t>
      </w:r>
    </w:p>
    <w:p w14:paraId="15C575A0">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第9条 补充要求</w:t>
      </w:r>
    </w:p>
    <w:p w14:paraId="41443CE2">
      <w:pPr>
        <w:adjustRightInd w:val="0"/>
        <w:snapToGrid w:val="0"/>
        <w:spacing w:line="560" w:lineRule="exact"/>
        <w:ind w:firstLine="640" w:firstLineChars="200"/>
        <w:rPr>
          <w:rFonts w:hint="eastAsia" w:ascii="宋体" w:hAnsi="宋体" w:eastAsia="宋体" w:cs="宋体"/>
          <w:b w:val="0"/>
          <w:kern w:val="2"/>
          <w:sz w:val="32"/>
          <w:szCs w:val="32"/>
          <w:highlight w:val="none"/>
          <w:lang w:val="en-US" w:eastAsia="zh-CN" w:bidi="ar-SA"/>
        </w:rPr>
      </w:pPr>
      <w:r>
        <w:rPr>
          <w:rFonts w:hint="eastAsia" w:ascii="宋体" w:hAnsi="宋体" w:eastAsia="宋体" w:cs="宋体"/>
          <w:sz w:val="32"/>
          <w:szCs w:val="32"/>
          <w:highlight w:val="none"/>
          <w:lang w:val="en-US" w:eastAsia="zh-CN"/>
        </w:rPr>
        <w:t>第10条 其他</w:t>
      </w:r>
    </w:p>
    <w:p w14:paraId="5A6D6FF6">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2549E53B">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253BD32E">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6816C0AF">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344EC5DF">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755BB479">
      <w:pPr>
        <w:adjustRightInd w:val="0"/>
        <w:snapToGrid w:val="0"/>
        <w:spacing w:line="560" w:lineRule="exact"/>
        <w:ind w:firstLine="640" w:firstLineChars="200"/>
        <w:rPr>
          <w:rFonts w:hint="eastAsia" w:ascii="宋体" w:hAnsi="宋体" w:eastAsia="宋体" w:cs="宋体"/>
          <w:sz w:val="32"/>
          <w:szCs w:val="32"/>
          <w:highlight w:val="none"/>
          <w:lang w:val="en-US" w:eastAsia="zh-CN"/>
        </w:rPr>
      </w:pPr>
    </w:p>
    <w:p w14:paraId="5B3CAADF">
      <w:pPr>
        <w:adjustRightInd w:val="0"/>
        <w:snapToGrid w:val="0"/>
        <w:spacing w:line="560" w:lineRule="exact"/>
        <w:ind w:firstLine="640" w:firstLineChars="200"/>
        <w:rPr>
          <w:rFonts w:hint="eastAsia" w:ascii="宋体" w:hAnsi="宋体" w:eastAsia="宋体" w:cs="宋体"/>
          <w:sz w:val="28"/>
          <w:szCs w:val="28"/>
          <w:highlight w:val="none"/>
          <w:lang w:val="zh-CN" w:eastAsia="zh-CN"/>
        </w:rPr>
      </w:pPr>
      <w:r>
        <w:rPr>
          <w:rFonts w:hint="eastAsia" w:ascii="宋体" w:hAnsi="宋体" w:eastAsia="宋体" w:cs="宋体"/>
          <w:sz w:val="32"/>
          <w:szCs w:val="32"/>
          <w:highlight w:val="none"/>
          <w:lang w:val="zh-CN" w:eastAsia="zh-CN"/>
        </w:rPr>
        <w:fldChar w:fldCharType="end"/>
      </w:r>
    </w:p>
    <w:p w14:paraId="1A1CB54C">
      <w:pPr>
        <w:pStyle w:val="19"/>
        <w:rPr>
          <w:rFonts w:hint="eastAsia" w:ascii="宋体" w:hAnsi="宋体" w:eastAsia="宋体" w:cs="宋体"/>
          <w:sz w:val="28"/>
          <w:szCs w:val="28"/>
          <w:highlight w:val="none"/>
          <w:lang w:val="zh-CN" w:eastAsia="zh-CN"/>
        </w:rPr>
      </w:pPr>
    </w:p>
    <w:p w14:paraId="68A98395">
      <w:pPr>
        <w:rPr>
          <w:rFonts w:hint="eastAsia"/>
          <w:highlight w:val="none"/>
        </w:rPr>
      </w:pPr>
    </w:p>
    <w:p w14:paraId="17BE81B8">
      <w:pPr>
        <w:pStyle w:val="48"/>
        <w:spacing w:line="240" w:lineRule="auto"/>
        <w:rPr>
          <w:rFonts w:hint="eastAsia" w:ascii="宋体" w:hAnsi="宋体" w:cs="宋体"/>
          <w:highlight w:val="none"/>
        </w:rPr>
      </w:pPr>
    </w:p>
    <w:p w14:paraId="4518BAD8">
      <w:pPr>
        <w:pStyle w:val="48"/>
        <w:numPr>
          <w:ilvl w:val="0"/>
          <w:numId w:val="2"/>
        </w:numPr>
        <w:spacing w:line="240" w:lineRule="auto"/>
        <w:rPr>
          <w:rFonts w:hint="eastAsia" w:ascii="宋体" w:hAnsi="宋体" w:cs="宋体"/>
          <w:highlight w:val="none"/>
        </w:rPr>
      </w:pPr>
      <w:r>
        <w:rPr>
          <w:rFonts w:hint="eastAsia" w:ascii="宋体" w:hAnsi="宋体" w:cs="宋体"/>
          <w:highlight w:val="none"/>
        </w:rPr>
        <w:t>总则</w:t>
      </w:r>
    </w:p>
    <w:p w14:paraId="2AEA2F47">
      <w:pPr>
        <w:pStyle w:val="3"/>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1.1本技术规格书对酒钢宏联自控公司低压成套开关柜项目设备制作使用提出有关技术要求。</w:t>
      </w:r>
    </w:p>
    <w:p w14:paraId="2B9637B1">
      <w:pPr>
        <w:pStyle w:val="3"/>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1.2本技术规格书提出的是最低限度的技术要求，并未对一切技术细节作出规定，也未充分引述有关标准和规范的条文，乙方应提供符合本技术规格书和有关工业标准的优质产品。</w:t>
      </w:r>
    </w:p>
    <w:p w14:paraId="18FD95B9">
      <w:pPr>
        <w:pStyle w:val="3"/>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1.3如果乙方没有以书面形式对本技术规格书的条文提出异议，则意味着乙方提供的设备完全符合本技术规格书的要求。</w:t>
      </w:r>
    </w:p>
    <w:p w14:paraId="5D8CC65F">
      <w:pPr>
        <w:pStyle w:val="3"/>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1.4本技术规格书所使用的标准如遇与乙方所执行的标准发生矛盾时，按较高标准执行。</w:t>
      </w:r>
    </w:p>
    <w:p w14:paraId="191BDF0E">
      <w:pPr>
        <w:pStyle w:val="3"/>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1.5在合同签订后，甲方有权提出因标准、规程和规范发生变化而产生的修订要求，具体事宜由甲、乙双方协商确定。</w:t>
      </w:r>
    </w:p>
    <w:p w14:paraId="1DFA04A0">
      <w:pPr>
        <w:pStyle w:val="3"/>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1.6所有开关柜及回路具体数量，元器件配置，以设计院最终订货图为准。</w:t>
      </w:r>
    </w:p>
    <w:p w14:paraId="11177DBA">
      <w:pPr>
        <w:pStyle w:val="3"/>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1.7本技术规格书经甲、乙双方确认后作为订货合同的技术附件，与合同正文具有同等效力。</w:t>
      </w:r>
    </w:p>
    <w:p w14:paraId="18487C97">
      <w:pPr>
        <w:pStyle w:val="3"/>
        <w:keepNext w:val="0"/>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kern w:val="2"/>
          <w:sz w:val="28"/>
          <w:szCs w:val="28"/>
          <w:highlight w:val="none"/>
          <w:lang w:val="en-US" w:eastAsia="zh-CN" w:bidi="ar-SA"/>
        </w:rPr>
      </w:pPr>
      <w:r>
        <w:rPr>
          <w:rFonts w:hint="eastAsia" w:ascii="宋体" w:hAnsi="宋体" w:eastAsia="宋体" w:cs="宋体"/>
          <w:b w:val="0"/>
          <w:kern w:val="2"/>
          <w:sz w:val="28"/>
          <w:szCs w:val="28"/>
          <w:highlight w:val="none"/>
          <w:lang w:val="en-US" w:eastAsia="zh-CN" w:bidi="ar-SA"/>
        </w:rPr>
        <w:t>1.8乙方应具有ISO.9001质量保证体系认证证书，具有ISO.14001环境管理体系认证证书及具有AAA级资信等级证书或银行出具A级信用等级证书，并具有相应的试验检测手段，确保提供的设备是质量可靠的、全新的，并符合工艺条件、满足长期使用要求的。</w:t>
      </w:r>
    </w:p>
    <w:p w14:paraId="1A0B52B8">
      <w:pPr>
        <w:pStyle w:val="48"/>
        <w:spacing w:line="240" w:lineRule="auto"/>
        <w:rPr>
          <w:rFonts w:ascii="宋体" w:hAnsi="宋体" w:cs="宋体"/>
          <w:highlight w:val="none"/>
        </w:rPr>
      </w:pPr>
      <w:r>
        <w:rPr>
          <w:rFonts w:hint="eastAsia" w:ascii="宋体" w:hAnsi="宋体" w:cs="宋体"/>
          <w:highlight w:val="none"/>
        </w:rPr>
        <w:t>二、设计条件</w:t>
      </w:r>
    </w:p>
    <w:p w14:paraId="7699FF1C">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嘉峪关地区气候特征明显为冬季寒冷，夏季炎热，昼夜温差大，气候干燥。</w:t>
      </w:r>
    </w:p>
    <w:p w14:paraId="71A9098A">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年平均气温：</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7.3℃       </w:t>
      </w:r>
      <w:r>
        <w:rPr>
          <w:rFonts w:hint="eastAsia" w:ascii="宋体" w:hAnsi="宋体" w:cs="宋体"/>
          <w:sz w:val="28"/>
          <w:szCs w:val="28"/>
          <w:highlight w:val="none"/>
        </w:rPr>
        <w:tab/>
      </w:r>
    </w:p>
    <w:p w14:paraId="0BFD5A24">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最高温度：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38.4℃  </w:t>
      </w:r>
    </w:p>
    <w:p w14:paraId="2BD19775">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最低温度：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-31.6℃        </w:t>
      </w:r>
      <w:r>
        <w:rPr>
          <w:rFonts w:hint="eastAsia" w:ascii="宋体" w:hAnsi="宋体" w:cs="宋体"/>
          <w:sz w:val="28"/>
          <w:szCs w:val="28"/>
          <w:highlight w:val="none"/>
        </w:rPr>
        <w:tab/>
      </w:r>
    </w:p>
    <w:p w14:paraId="0299C6C5">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年平均降雨量：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85.3mm</w:t>
      </w:r>
    </w:p>
    <w:p w14:paraId="6C4CC68C">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年最大降雨量：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165.7mm   </w:t>
      </w:r>
      <w:r>
        <w:rPr>
          <w:rFonts w:hint="eastAsia" w:ascii="宋体" w:hAnsi="宋体" w:cs="宋体"/>
          <w:sz w:val="28"/>
          <w:szCs w:val="28"/>
          <w:highlight w:val="none"/>
        </w:rPr>
        <w:tab/>
      </w:r>
    </w:p>
    <w:p w14:paraId="5EBBE81A">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最热月平均湿度：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52％</w:t>
      </w:r>
    </w:p>
    <w:p w14:paraId="72C07977">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最冷月平均湿度：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55％    </w:t>
      </w:r>
      <w:r>
        <w:rPr>
          <w:rFonts w:hint="eastAsia" w:ascii="宋体" w:hAnsi="宋体" w:cs="宋体"/>
          <w:sz w:val="28"/>
          <w:szCs w:val="28"/>
          <w:highlight w:val="none"/>
        </w:rPr>
        <w:tab/>
      </w:r>
    </w:p>
    <w:p w14:paraId="0F11F729">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冬季气压：</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642mmHg</w:t>
      </w:r>
    </w:p>
    <w:p w14:paraId="020584A8">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夏季气压：</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 xml:space="preserve">652mmHg       </w:t>
      </w:r>
      <w:r>
        <w:rPr>
          <w:rFonts w:hint="eastAsia" w:ascii="宋体" w:hAnsi="宋体" w:cs="宋体"/>
          <w:sz w:val="28"/>
          <w:szCs w:val="28"/>
          <w:highlight w:val="none"/>
        </w:rPr>
        <w:tab/>
      </w:r>
    </w:p>
    <w:p w14:paraId="163D723D">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年蒸发量：</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ascii="宋体" w:hAnsi="宋体" w:cs="宋体"/>
          <w:sz w:val="28"/>
          <w:szCs w:val="28"/>
          <w:highlight w:val="none"/>
        </w:rPr>
        <w:t xml:space="preserve">   </w:t>
      </w:r>
      <w:r>
        <w:rPr>
          <w:rFonts w:hint="eastAsia" w:ascii="宋体" w:hAnsi="宋体" w:cs="宋体"/>
          <w:sz w:val="28"/>
          <w:szCs w:val="28"/>
          <w:highlight w:val="none"/>
        </w:rPr>
        <w:t>2245mm</w:t>
      </w:r>
    </w:p>
    <w:p w14:paraId="56BC240D">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年主导风向：</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西南风        </w:t>
      </w:r>
    </w:p>
    <w:p w14:paraId="598C3F2E">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夏季主导风向：</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西北风</w:t>
      </w:r>
    </w:p>
    <w:p w14:paraId="6149BA95">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最大风速：</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  </w:t>
      </w:r>
      <w:r>
        <w:rPr>
          <w:rFonts w:ascii="宋体" w:hAnsi="宋体" w:cs="宋体"/>
          <w:sz w:val="28"/>
          <w:szCs w:val="28"/>
          <w:highlight w:val="none"/>
        </w:rPr>
        <w:t xml:space="preserve">   </w:t>
      </w:r>
      <w:r>
        <w:rPr>
          <w:rFonts w:hint="eastAsia" w:ascii="宋体" w:hAnsi="宋体" w:cs="宋体"/>
          <w:sz w:val="28"/>
          <w:szCs w:val="28"/>
          <w:highlight w:val="none"/>
        </w:rPr>
        <w:t xml:space="preserve">34m/s         </w:t>
      </w:r>
      <w:r>
        <w:rPr>
          <w:rFonts w:hint="eastAsia" w:ascii="宋体" w:hAnsi="宋体" w:cs="宋体"/>
          <w:sz w:val="28"/>
          <w:szCs w:val="28"/>
          <w:highlight w:val="none"/>
        </w:rPr>
        <w:tab/>
      </w:r>
    </w:p>
    <w:p w14:paraId="1A7F98B5">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土壤冻结深度：</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 xml:space="preserve">  -1.2m</w:t>
      </w:r>
    </w:p>
    <w:p w14:paraId="25BED8AA">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海拔                   1633.2m</w:t>
      </w:r>
    </w:p>
    <w:p w14:paraId="4076F98C">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按《建筑抗震设计规范》规定，本场地抗震设防烈度为8度；设计基本地震加速度值为0.20g，设计地震分组为第二组，场地类别为Ⅱ类，场地地震动反应谱特征周期值为0.40s。</w:t>
      </w:r>
    </w:p>
    <w:p w14:paraId="3489BD69">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低压</w:t>
      </w:r>
      <w:r>
        <w:rPr>
          <w:rFonts w:hint="eastAsia" w:ascii="宋体" w:hAnsi="宋体" w:cs="宋体"/>
          <w:sz w:val="28"/>
          <w:szCs w:val="28"/>
          <w:highlight w:val="none"/>
          <w:lang w:val="en-US" w:eastAsia="zh-CN"/>
        </w:rPr>
        <w:t>开关</w:t>
      </w:r>
      <w:r>
        <w:rPr>
          <w:rFonts w:hint="eastAsia" w:ascii="宋体" w:hAnsi="宋体" w:cs="宋体"/>
          <w:sz w:val="28"/>
          <w:szCs w:val="28"/>
          <w:highlight w:val="none"/>
        </w:rPr>
        <w:t>柜需参照上述自然地质条件，满足相关规范要求。</w:t>
      </w:r>
    </w:p>
    <w:p w14:paraId="684A1328">
      <w:pPr>
        <w:pStyle w:val="46"/>
        <w:spacing w:line="240" w:lineRule="auto"/>
        <w:rPr>
          <w:rFonts w:ascii="宋体" w:hAnsi="宋体"/>
          <w:szCs w:val="28"/>
          <w:highlight w:val="none"/>
        </w:rPr>
      </w:pPr>
      <w:r>
        <w:rPr>
          <w:rFonts w:hint="eastAsia" w:ascii="宋体" w:hAnsi="宋体"/>
          <w:szCs w:val="28"/>
          <w:highlight w:val="none"/>
        </w:rPr>
        <w:t>2.1 电源条件</w:t>
      </w:r>
    </w:p>
    <w:p w14:paraId="4EBFE522">
      <w:pPr>
        <w:adjustRightInd w:val="0"/>
        <w:snapToGrid w:val="0"/>
        <w:spacing w:line="560" w:lineRule="exact"/>
        <w:ind w:firstLine="560" w:firstLineChars="200"/>
        <w:rPr>
          <w:rFonts w:ascii="宋体" w:hAnsi="宋体" w:cs="宋体"/>
          <w:sz w:val="28"/>
          <w:szCs w:val="28"/>
          <w:highlight w:val="none"/>
        </w:rPr>
      </w:pPr>
      <w:bookmarkStart w:id="3" w:name="_Toc511847738"/>
      <w:r>
        <w:rPr>
          <w:rFonts w:hint="eastAsia" w:ascii="宋体" w:hAnsi="宋体" w:cs="宋体"/>
          <w:sz w:val="28"/>
          <w:szCs w:val="28"/>
          <w:highlight w:val="none"/>
        </w:rPr>
        <w:t>电压等级：</w:t>
      </w:r>
      <w:r>
        <w:rPr>
          <w:rFonts w:hint="eastAsia" w:ascii="宋体" w:hAnsi="宋体" w:cs="宋体"/>
          <w:sz w:val="28"/>
          <w:szCs w:val="28"/>
          <w:highlight w:val="none"/>
        </w:rPr>
        <w:tab/>
      </w:r>
      <w:r>
        <w:rPr>
          <w:rFonts w:hint="eastAsia" w:ascii="宋体" w:hAnsi="宋体" w:cs="宋体"/>
          <w:sz w:val="28"/>
          <w:szCs w:val="28"/>
          <w:highlight w:val="none"/>
        </w:rPr>
        <w:t>380V AC±7％/三相五线、220V AC±7％/单相</w:t>
      </w:r>
    </w:p>
    <w:p w14:paraId="0C94C22A">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频率：</w:t>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ab/>
      </w:r>
      <w:r>
        <w:rPr>
          <w:rFonts w:hint="eastAsia" w:ascii="宋体" w:hAnsi="宋体" w:cs="宋体"/>
          <w:sz w:val="28"/>
          <w:szCs w:val="28"/>
          <w:highlight w:val="none"/>
        </w:rPr>
        <w:t>50Hz±0.5Hz</w:t>
      </w:r>
    </w:p>
    <w:bookmarkEnd w:id="3"/>
    <w:p w14:paraId="3B029026">
      <w:pPr>
        <w:pStyle w:val="46"/>
        <w:spacing w:line="240" w:lineRule="auto"/>
        <w:rPr>
          <w:rFonts w:ascii="宋体" w:hAnsi="宋体"/>
          <w:szCs w:val="28"/>
          <w:highlight w:val="none"/>
        </w:rPr>
      </w:pPr>
      <w:bookmarkStart w:id="4" w:name="_Toc511847739"/>
      <w:r>
        <w:rPr>
          <w:rFonts w:hint="eastAsia" w:ascii="宋体" w:hAnsi="宋体"/>
          <w:szCs w:val="28"/>
          <w:highlight w:val="none"/>
        </w:rPr>
        <w:t>2.</w:t>
      </w:r>
      <w:r>
        <w:rPr>
          <w:rFonts w:hint="eastAsia" w:ascii="宋体" w:hAnsi="宋体"/>
          <w:szCs w:val="28"/>
          <w:highlight w:val="none"/>
          <w:lang w:val="en-US" w:eastAsia="zh-CN"/>
        </w:rPr>
        <w:t>2</w:t>
      </w:r>
      <w:r>
        <w:rPr>
          <w:rFonts w:hint="eastAsia" w:ascii="宋体" w:hAnsi="宋体"/>
          <w:szCs w:val="28"/>
          <w:highlight w:val="none"/>
        </w:rPr>
        <w:t xml:space="preserve"> 标准及规范</w:t>
      </w:r>
      <w:bookmarkEnd w:id="4"/>
    </w:p>
    <w:p w14:paraId="0FAABBCF">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GB/T 7251.1-2023《低压成套开关设备和控制设备》</w:t>
      </w:r>
    </w:p>
    <w:p w14:paraId="41D6867A">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GB4208 《外壳防护等级（IP代码）》</w:t>
      </w:r>
    </w:p>
    <w:p w14:paraId="37E59DA9">
      <w:pPr>
        <w:adjustRightInd w:val="0"/>
        <w:snapToGrid w:val="0"/>
        <w:spacing w:line="560" w:lineRule="exact"/>
        <w:ind w:left="279" w:leftChars="133" w:firstLine="0" w:firstLineChars="0"/>
        <w:rPr>
          <w:rFonts w:ascii="宋体" w:hAnsi="宋体" w:cs="宋体"/>
          <w:sz w:val="28"/>
          <w:szCs w:val="28"/>
          <w:highlight w:val="none"/>
        </w:rPr>
      </w:pPr>
      <w:r>
        <w:rPr>
          <w:rFonts w:hint="eastAsia" w:ascii="宋体" w:hAnsi="宋体" w:cs="宋体"/>
          <w:sz w:val="28"/>
          <w:szCs w:val="28"/>
          <w:highlight w:val="none"/>
        </w:rPr>
        <w:t>GB/T14048.7《低压开关设备和控制设备 第7-1部分：辅助器件 铜导体的接线端子排》</w:t>
      </w:r>
    </w:p>
    <w:p w14:paraId="012D371C">
      <w:pPr>
        <w:adjustRightInd w:val="0"/>
        <w:snapToGrid w:val="0"/>
        <w:spacing w:line="560" w:lineRule="exact"/>
        <w:ind w:left="279" w:leftChars="133" w:firstLine="0" w:firstLineChars="0"/>
        <w:rPr>
          <w:rFonts w:ascii="宋体" w:hAnsi="宋体" w:cs="宋体"/>
          <w:sz w:val="28"/>
          <w:szCs w:val="28"/>
          <w:highlight w:val="none"/>
        </w:rPr>
      </w:pPr>
      <w:r>
        <w:rPr>
          <w:rFonts w:hint="eastAsia" w:ascii="宋体" w:hAnsi="宋体" w:cs="宋体"/>
          <w:sz w:val="28"/>
          <w:szCs w:val="28"/>
          <w:highlight w:val="none"/>
        </w:rPr>
        <w:t>GB/T14048.8 《低压开关设备和控制设备 第7-2部分：辅助器件 铜导体的保护导体接线端子排》</w:t>
      </w:r>
    </w:p>
    <w:p w14:paraId="6A23917F">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GB50054《低压配电设计规范》</w:t>
      </w:r>
    </w:p>
    <w:p w14:paraId="77D98B50">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GB3047《面板、架和柜的基本尺寸》</w:t>
      </w:r>
    </w:p>
    <w:p w14:paraId="7D856C1D">
      <w:pPr>
        <w:adjustRightInd w:val="0"/>
        <w:snapToGrid w:val="0"/>
        <w:spacing w:line="560" w:lineRule="exact"/>
        <w:ind w:firstLine="280" w:firstLineChars="100"/>
        <w:rPr>
          <w:rFonts w:ascii="宋体" w:hAnsi="宋体" w:cs="宋体"/>
          <w:sz w:val="28"/>
          <w:szCs w:val="28"/>
          <w:highlight w:val="none"/>
        </w:rPr>
      </w:pPr>
      <w:r>
        <w:rPr>
          <w:rFonts w:hint="eastAsia" w:ascii="宋体" w:hAnsi="宋体" w:cs="宋体"/>
          <w:sz w:val="28"/>
          <w:szCs w:val="28"/>
          <w:highlight w:val="none"/>
        </w:rPr>
        <w:t>GB2681《电工成套装置中的导线颜色》</w:t>
      </w:r>
    </w:p>
    <w:p w14:paraId="42872D0B">
      <w:pPr>
        <w:adjustRightInd w:val="0"/>
        <w:snapToGrid w:val="0"/>
        <w:spacing w:line="560" w:lineRule="exact"/>
        <w:ind w:left="279" w:leftChars="133" w:firstLine="0" w:firstLineChars="0"/>
        <w:rPr>
          <w:rFonts w:ascii="宋体" w:hAnsi="宋体" w:cs="宋体"/>
          <w:sz w:val="28"/>
          <w:szCs w:val="28"/>
          <w:highlight w:val="none"/>
        </w:rPr>
      </w:pPr>
      <w:r>
        <w:rPr>
          <w:rFonts w:hint="eastAsia" w:ascii="宋体" w:hAnsi="宋体" w:cs="宋体"/>
          <w:sz w:val="28"/>
          <w:szCs w:val="28"/>
          <w:highlight w:val="none"/>
        </w:rPr>
        <w:t>GB50171《电气装置安装工程盘、柜及二次回路接线施工及验收规范》</w:t>
      </w:r>
    </w:p>
    <w:p w14:paraId="4A0B6472">
      <w:pPr>
        <w:adjustRightInd w:val="0"/>
        <w:snapToGrid w:val="0"/>
        <w:spacing w:line="560" w:lineRule="exact"/>
        <w:ind w:firstLine="560" w:firstLineChars="200"/>
        <w:rPr>
          <w:rFonts w:ascii="宋体" w:hAnsi="宋体" w:cs="宋体"/>
          <w:snapToGrid w:val="0"/>
          <w:sz w:val="28"/>
          <w:szCs w:val="28"/>
          <w:highlight w:val="none"/>
        </w:rPr>
        <w:sectPr>
          <w:headerReference r:id="rId4" w:type="default"/>
          <w:pgSz w:w="11906" w:h="16838"/>
          <w:pgMar w:top="1440" w:right="1797" w:bottom="1440" w:left="1797" w:header="851" w:footer="992" w:gutter="0"/>
          <w:pgNumType w:fmt="decimal"/>
          <w:cols w:space="720" w:num="1"/>
          <w:docGrid w:type="linesAndChars" w:linePitch="312" w:charSpace="0"/>
        </w:sectPr>
      </w:pPr>
      <w:r>
        <w:rPr>
          <w:rFonts w:hint="eastAsia" w:ascii="宋体" w:hAnsi="宋体" w:cs="宋体"/>
          <w:sz w:val="28"/>
          <w:szCs w:val="28"/>
          <w:highlight w:val="none"/>
        </w:rPr>
        <w:t>乙方提供电气设备的设计、制造、试验、检验参数不得低于以上列出及未列出的相关IEC及GB标准。并且所有标准均采用最新有效版本标准。</w:t>
      </w:r>
    </w:p>
    <w:p w14:paraId="6AD3BB92">
      <w:pPr>
        <w:pStyle w:val="48"/>
        <w:spacing w:line="240" w:lineRule="auto"/>
        <w:rPr>
          <w:rFonts w:ascii="宋体" w:hAnsi="宋体"/>
          <w:bCs/>
          <w:color w:val="000000"/>
          <w:highlight w:val="none"/>
        </w:rPr>
      </w:pPr>
      <w:r>
        <w:rPr>
          <w:rFonts w:hint="eastAsia"/>
          <w:highlight w:val="none"/>
        </w:rPr>
        <w:t>三、供货范围</w:t>
      </w:r>
      <w:bookmarkEnd w:id="0"/>
      <w:bookmarkEnd w:id="1"/>
      <w:bookmarkEnd w:id="2"/>
      <w:bookmarkStart w:id="5" w:name="_Toc3267"/>
      <w:bookmarkStart w:id="6" w:name="_Toc10925"/>
      <w:bookmarkStart w:id="7" w:name="_Toc21266"/>
    </w:p>
    <w:p w14:paraId="08176CCA">
      <w:pPr>
        <w:adjustRightInd w:val="0"/>
        <w:snapToGrid w:val="0"/>
        <w:outlineLvl w:val="1"/>
        <w:rPr>
          <w:rFonts w:ascii="宋体" w:hAnsi="宋体"/>
          <w:b/>
          <w:bCs/>
          <w:color w:val="000000"/>
          <w:sz w:val="28"/>
          <w:szCs w:val="28"/>
          <w:highlight w:val="none"/>
        </w:rPr>
      </w:pPr>
      <w:r>
        <w:rPr>
          <w:rFonts w:hint="eastAsia" w:ascii="宋体" w:hAnsi="宋体"/>
          <w:b/>
          <w:bCs/>
          <w:color w:val="000000"/>
          <w:sz w:val="28"/>
          <w:szCs w:val="28"/>
          <w:highlight w:val="none"/>
        </w:rPr>
        <w:t xml:space="preserve">3.1 </w:t>
      </w:r>
      <w:bookmarkEnd w:id="5"/>
      <w:bookmarkEnd w:id="6"/>
      <w:r>
        <w:rPr>
          <w:rFonts w:hint="eastAsia" w:ascii="宋体" w:hAnsi="宋体"/>
          <w:b/>
          <w:bCs/>
          <w:color w:val="000000"/>
          <w:sz w:val="28"/>
          <w:szCs w:val="28"/>
          <w:highlight w:val="none"/>
        </w:rPr>
        <w:t>主要供货范围</w:t>
      </w:r>
      <w:bookmarkEnd w:id="7"/>
      <w:r>
        <w:rPr>
          <w:rFonts w:hint="eastAsia" w:ascii="宋体" w:hAnsi="宋体"/>
          <w:b/>
          <w:bCs/>
          <w:color w:val="000000"/>
          <w:sz w:val="28"/>
          <w:szCs w:val="28"/>
          <w:highlight w:val="none"/>
        </w:rPr>
        <w:t>：</w:t>
      </w:r>
    </w:p>
    <w:tbl>
      <w:tblPr>
        <w:tblStyle w:val="26"/>
        <w:tblW w:w="8909" w:type="dxa"/>
        <w:tblInd w:w="93" w:type="dxa"/>
        <w:tblLayout w:type="fixed"/>
        <w:tblCellMar>
          <w:top w:w="0" w:type="dxa"/>
          <w:left w:w="108" w:type="dxa"/>
          <w:bottom w:w="0" w:type="dxa"/>
          <w:right w:w="108" w:type="dxa"/>
        </w:tblCellMar>
      </w:tblPr>
      <w:tblGrid>
        <w:gridCol w:w="666"/>
        <w:gridCol w:w="1386"/>
        <w:gridCol w:w="3932"/>
        <w:gridCol w:w="915"/>
        <w:gridCol w:w="2010"/>
      </w:tblGrid>
      <w:tr w14:paraId="4D0FB19A">
        <w:tblPrEx>
          <w:tblCellMar>
            <w:top w:w="0" w:type="dxa"/>
            <w:left w:w="108" w:type="dxa"/>
            <w:bottom w:w="0" w:type="dxa"/>
            <w:right w:w="108" w:type="dxa"/>
          </w:tblCellMar>
        </w:tblPrEx>
        <w:trPr>
          <w:trHeight w:val="388"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83172">
            <w:pPr>
              <w:widowControl/>
              <w:jc w:val="center"/>
              <w:textAlignment w:val="center"/>
              <w:rPr>
                <w:rFonts w:ascii="宋体" w:hAnsi="宋体" w:cs="宋体"/>
                <w:b w:val="0"/>
                <w:bCs w:val="0"/>
                <w:color w:val="000000"/>
                <w:sz w:val="22"/>
                <w:szCs w:val="22"/>
                <w:highlight w:val="none"/>
              </w:rPr>
            </w:pPr>
            <w:r>
              <w:rPr>
                <w:rFonts w:hint="eastAsia" w:ascii="宋体" w:hAnsi="宋体" w:cs="宋体"/>
                <w:b w:val="0"/>
                <w:bCs w:val="0"/>
                <w:color w:val="000000"/>
                <w:kern w:val="0"/>
                <w:sz w:val="22"/>
                <w:szCs w:val="22"/>
                <w:highlight w:val="none"/>
                <w:lang w:bidi="ar"/>
              </w:rPr>
              <w:t>序号</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DBA95">
            <w:pPr>
              <w:widowControl/>
              <w:jc w:val="center"/>
              <w:textAlignment w:val="center"/>
              <w:rPr>
                <w:rFonts w:ascii="宋体" w:hAnsi="宋体" w:cs="宋体"/>
                <w:b w:val="0"/>
                <w:bCs w:val="0"/>
                <w:color w:val="000000"/>
                <w:sz w:val="22"/>
                <w:szCs w:val="22"/>
                <w:highlight w:val="none"/>
              </w:rPr>
            </w:pPr>
            <w:r>
              <w:rPr>
                <w:rFonts w:hint="eastAsia" w:ascii="宋体" w:hAnsi="宋体" w:cs="宋体"/>
                <w:b w:val="0"/>
                <w:bCs w:val="0"/>
                <w:color w:val="000000"/>
                <w:kern w:val="0"/>
                <w:sz w:val="22"/>
                <w:szCs w:val="22"/>
                <w:highlight w:val="none"/>
                <w:lang w:bidi="ar"/>
              </w:rPr>
              <w:t>设备名称</w:t>
            </w:r>
          </w:p>
        </w:tc>
        <w:tc>
          <w:tcPr>
            <w:tcW w:w="3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9804B">
            <w:pPr>
              <w:widowControl/>
              <w:jc w:val="center"/>
              <w:textAlignment w:val="center"/>
              <w:rPr>
                <w:rFonts w:hint="default" w:ascii="宋体" w:hAnsi="宋体" w:eastAsia="宋体" w:cs="宋体"/>
                <w:b w:val="0"/>
                <w:bCs w:val="0"/>
                <w:color w:val="000000"/>
                <w:sz w:val="22"/>
                <w:szCs w:val="22"/>
                <w:highlight w:val="none"/>
                <w:lang w:val="en-US" w:eastAsia="zh-CN"/>
              </w:rPr>
            </w:pPr>
            <w:r>
              <w:rPr>
                <w:rFonts w:hint="eastAsia" w:ascii="宋体" w:hAnsi="宋体" w:cs="宋体"/>
                <w:b w:val="0"/>
                <w:bCs w:val="0"/>
                <w:color w:val="000000"/>
                <w:kern w:val="0"/>
                <w:sz w:val="22"/>
                <w:szCs w:val="22"/>
                <w:highlight w:val="none"/>
                <w:lang w:val="en-US" w:eastAsia="zh-CN" w:bidi="ar"/>
              </w:rPr>
              <w:t>规格型号</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C9F5B">
            <w:pPr>
              <w:widowControl/>
              <w:jc w:val="center"/>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数量</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67A8C">
            <w:pPr>
              <w:widowControl/>
              <w:jc w:val="center"/>
              <w:textAlignment w:val="center"/>
              <w:rPr>
                <w:rFonts w:ascii="宋体" w:hAnsi="宋体" w:cs="宋体"/>
                <w:b w:val="0"/>
                <w:bCs w:val="0"/>
                <w:color w:val="000000"/>
                <w:sz w:val="22"/>
                <w:szCs w:val="22"/>
                <w:highlight w:val="none"/>
              </w:rPr>
            </w:pPr>
            <w:r>
              <w:rPr>
                <w:rFonts w:hint="eastAsia" w:ascii="宋体" w:hAnsi="宋体" w:cs="宋体"/>
                <w:b w:val="0"/>
                <w:bCs w:val="0"/>
                <w:color w:val="000000"/>
                <w:kern w:val="0"/>
                <w:sz w:val="22"/>
                <w:szCs w:val="22"/>
                <w:highlight w:val="none"/>
                <w:lang w:bidi="ar"/>
              </w:rPr>
              <w:t>备注</w:t>
            </w:r>
          </w:p>
        </w:tc>
      </w:tr>
      <w:tr w14:paraId="7F505A72">
        <w:tblPrEx>
          <w:tblCellMar>
            <w:top w:w="0" w:type="dxa"/>
            <w:left w:w="108" w:type="dxa"/>
            <w:bottom w:w="0" w:type="dxa"/>
            <w:right w:w="108" w:type="dxa"/>
          </w:tblCellMar>
        </w:tblPrEx>
        <w:trPr>
          <w:trHeight w:val="335"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1EFFD">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C3CA0">
            <w:pPr>
              <w:widowControl/>
              <w:jc w:val="center"/>
              <w:textAlignment w:val="center"/>
              <w:rPr>
                <w:rFonts w:hint="eastAsia" w:ascii="宋体" w:hAnsi="宋体" w:eastAsia="宋体" w:cs="宋体"/>
                <w:b w:val="0"/>
                <w:bCs w:val="0"/>
                <w:color w:val="000000"/>
                <w:kern w:val="0"/>
                <w:sz w:val="22"/>
                <w:szCs w:val="22"/>
                <w:highlight w:val="none"/>
                <w:lang w:eastAsia="zh-CN" w:bidi="ar"/>
              </w:rPr>
            </w:pPr>
            <w:r>
              <w:rPr>
                <w:rFonts w:hint="eastAsia" w:ascii="宋体" w:hAnsi="宋体" w:cs="宋体"/>
                <w:b w:val="0"/>
                <w:bCs w:val="0"/>
                <w:color w:val="000000"/>
                <w:kern w:val="0"/>
                <w:sz w:val="22"/>
                <w:szCs w:val="22"/>
                <w:highlight w:val="none"/>
                <w:lang w:val="en-US" w:eastAsia="zh-CN" w:bidi="ar"/>
              </w:rPr>
              <w:t>低压柜</w:t>
            </w:r>
          </w:p>
        </w:tc>
        <w:tc>
          <w:tcPr>
            <w:tcW w:w="3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196A9">
            <w:pPr>
              <w:widowControl/>
              <w:jc w:val="center"/>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GGD (1000×800×2200 )冷轧钢板材质</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B964">
            <w:pPr>
              <w:widowControl/>
              <w:jc w:val="center"/>
              <w:textAlignment w:val="center"/>
              <w:rPr>
                <w:rFonts w:hint="default" w:ascii="宋体" w:hAnsi="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2</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D97C0">
            <w:pPr>
              <w:widowControl/>
              <w:jc w:val="center"/>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具体详见图纸</w:t>
            </w:r>
          </w:p>
        </w:tc>
      </w:tr>
      <w:tr w14:paraId="0EB27E4D">
        <w:tblPrEx>
          <w:tblCellMar>
            <w:top w:w="0" w:type="dxa"/>
            <w:left w:w="108" w:type="dxa"/>
            <w:bottom w:w="0" w:type="dxa"/>
            <w:right w:w="108" w:type="dxa"/>
          </w:tblCellMar>
        </w:tblPrEx>
        <w:trPr>
          <w:trHeight w:val="309"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CDEA6">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454D7">
            <w:pPr>
              <w:widowControl/>
              <w:jc w:val="center"/>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小计</w:t>
            </w:r>
          </w:p>
        </w:tc>
        <w:tc>
          <w:tcPr>
            <w:tcW w:w="3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1A982">
            <w:pPr>
              <w:widowControl/>
              <w:jc w:val="center"/>
              <w:textAlignment w:val="center"/>
              <w:rPr>
                <w:rFonts w:hint="eastAsia" w:ascii="宋体" w:hAnsi="宋体" w:cs="宋体"/>
                <w:b w:val="0"/>
                <w:bCs w:val="0"/>
                <w:color w:val="000000"/>
                <w:kern w:val="0"/>
                <w:sz w:val="22"/>
                <w:szCs w:val="22"/>
                <w:highlight w:val="none"/>
                <w:lang w:bidi="ar"/>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19589">
            <w:pPr>
              <w:widowControl/>
              <w:jc w:val="center"/>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2</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AF019">
            <w:pPr>
              <w:widowControl/>
              <w:jc w:val="center"/>
              <w:textAlignment w:val="center"/>
              <w:rPr>
                <w:rFonts w:hint="eastAsia" w:ascii="宋体" w:hAnsi="宋体" w:cs="宋体"/>
                <w:b w:val="0"/>
                <w:bCs w:val="0"/>
                <w:color w:val="000000"/>
                <w:kern w:val="0"/>
                <w:sz w:val="22"/>
                <w:szCs w:val="22"/>
                <w:highlight w:val="none"/>
                <w:lang w:bidi="ar"/>
              </w:rPr>
            </w:pPr>
          </w:p>
        </w:tc>
      </w:tr>
      <w:tr w14:paraId="0F1EADB0">
        <w:tblPrEx>
          <w:tblCellMar>
            <w:top w:w="0" w:type="dxa"/>
            <w:left w:w="108" w:type="dxa"/>
            <w:bottom w:w="0" w:type="dxa"/>
            <w:right w:w="108" w:type="dxa"/>
          </w:tblCellMar>
        </w:tblPrEx>
        <w:trPr>
          <w:trHeight w:val="507" w:hRule="atLeast"/>
        </w:trPr>
        <w:tc>
          <w:tcPr>
            <w:tcW w:w="89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F1903">
            <w:pPr>
              <w:widowControl/>
              <w:jc w:val="left"/>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备注：以上2面低压柜要与现场旧柜并柜，含搭接铜排，搭接铜排具体尺寸以实际现场测量为准！（必须保证与现场旧柜可靠搭接）</w:t>
            </w:r>
          </w:p>
        </w:tc>
      </w:tr>
      <w:tr w14:paraId="24FFF661">
        <w:tblPrEx>
          <w:tblCellMar>
            <w:top w:w="0" w:type="dxa"/>
            <w:left w:w="108" w:type="dxa"/>
            <w:bottom w:w="0" w:type="dxa"/>
            <w:right w:w="108" w:type="dxa"/>
          </w:tblCellMar>
        </w:tblPrEx>
        <w:trPr>
          <w:trHeight w:val="372" w:hRule="atLeast"/>
        </w:trPr>
        <w:tc>
          <w:tcPr>
            <w:tcW w:w="89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7D15E">
            <w:pPr>
              <w:widowControl/>
              <w:jc w:val="left"/>
              <w:textAlignment w:val="center"/>
              <w:rPr>
                <w:rFonts w:hint="eastAsia" w:ascii="宋体" w:hAnsi="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随柜备件：接触器辅助点CA4-10(与AF系列接触器配套使用）数量50个，品牌ABB。</w:t>
            </w:r>
          </w:p>
          <w:p w14:paraId="3CA8472F">
            <w:pPr>
              <w:widowControl/>
              <w:jc w:val="left"/>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双电源自动转换开关GSA3M-400M/3 400A 1台，品牌天水213。</w:t>
            </w:r>
          </w:p>
        </w:tc>
      </w:tr>
      <w:tr w14:paraId="07846F62">
        <w:tblPrEx>
          <w:tblCellMar>
            <w:top w:w="0" w:type="dxa"/>
            <w:left w:w="108" w:type="dxa"/>
            <w:bottom w:w="0" w:type="dxa"/>
            <w:right w:w="108" w:type="dxa"/>
          </w:tblCellMar>
        </w:tblPrEx>
        <w:trPr>
          <w:trHeight w:val="372" w:hRule="atLeast"/>
        </w:trPr>
        <w:tc>
          <w:tcPr>
            <w:tcW w:w="89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0B404">
            <w:pPr>
              <w:widowControl/>
              <w:jc w:val="left"/>
              <w:textAlignment w:val="center"/>
              <w:rPr>
                <w:rFonts w:hint="eastAsia" w:ascii="宋体" w:hAnsi="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供货厂家为：参照或相当于山东国舜/天水电气传动。</w:t>
            </w:r>
          </w:p>
        </w:tc>
      </w:tr>
    </w:tbl>
    <w:p w14:paraId="636C1AC8">
      <w:pPr>
        <w:rPr>
          <w:highlight w:val="none"/>
        </w:rPr>
      </w:pPr>
    </w:p>
    <w:p w14:paraId="2DE36BD0">
      <w:pPr>
        <w:adjustRightInd w:val="0"/>
        <w:snapToGrid w:val="0"/>
        <w:outlineLvl w:val="1"/>
        <w:rPr>
          <w:rFonts w:ascii="宋体" w:hAnsi="宋体"/>
          <w:b/>
          <w:bCs/>
          <w:color w:val="000000"/>
          <w:sz w:val="28"/>
          <w:szCs w:val="28"/>
          <w:highlight w:val="none"/>
        </w:rPr>
      </w:pPr>
      <w:r>
        <w:rPr>
          <w:rFonts w:hint="eastAsia" w:ascii="宋体" w:hAnsi="宋体"/>
          <w:b/>
          <w:bCs/>
          <w:color w:val="000000"/>
          <w:sz w:val="28"/>
          <w:szCs w:val="28"/>
          <w:highlight w:val="none"/>
        </w:rPr>
        <w:t>3.2 元器件品牌要求：</w:t>
      </w:r>
    </w:p>
    <w:tbl>
      <w:tblPr>
        <w:tblStyle w:val="26"/>
        <w:tblW w:w="8909" w:type="dxa"/>
        <w:tblInd w:w="93" w:type="dxa"/>
        <w:tblLayout w:type="fixed"/>
        <w:tblCellMar>
          <w:top w:w="0" w:type="dxa"/>
          <w:left w:w="108" w:type="dxa"/>
          <w:bottom w:w="0" w:type="dxa"/>
          <w:right w:w="108" w:type="dxa"/>
        </w:tblCellMar>
      </w:tblPr>
      <w:tblGrid>
        <w:gridCol w:w="765"/>
        <w:gridCol w:w="2432"/>
        <w:gridCol w:w="3829"/>
        <w:gridCol w:w="1883"/>
      </w:tblGrid>
      <w:tr w14:paraId="67CFB6C6">
        <w:tblPrEx>
          <w:tblCellMar>
            <w:top w:w="0" w:type="dxa"/>
            <w:left w:w="108" w:type="dxa"/>
            <w:bottom w:w="0" w:type="dxa"/>
            <w:right w:w="108" w:type="dxa"/>
          </w:tblCellMar>
        </w:tblPrEx>
        <w:trPr>
          <w:trHeight w:val="442"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4FA89">
            <w:pPr>
              <w:widowControl/>
              <w:jc w:val="center"/>
              <w:textAlignment w:val="center"/>
              <w:rPr>
                <w:rFonts w:ascii="宋体" w:hAnsi="宋体" w:cs="宋体"/>
                <w:b/>
                <w:bCs/>
                <w:color w:val="000000"/>
                <w:sz w:val="22"/>
                <w:szCs w:val="22"/>
                <w:highlight w:val="none"/>
              </w:rPr>
            </w:pPr>
            <w:bookmarkStart w:id="8" w:name="_Toc10167"/>
            <w:bookmarkStart w:id="9" w:name="_Toc2225"/>
            <w:bookmarkStart w:id="10" w:name="_Toc31956"/>
            <w:r>
              <w:rPr>
                <w:rFonts w:hint="eastAsia" w:ascii="宋体" w:hAnsi="宋体" w:cs="宋体"/>
                <w:b/>
                <w:bCs/>
                <w:color w:val="000000"/>
                <w:kern w:val="0"/>
                <w:sz w:val="22"/>
                <w:szCs w:val="22"/>
                <w:highlight w:val="none"/>
                <w:lang w:bidi="ar"/>
              </w:rPr>
              <w:t>序号</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8B67A">
            <w:pPr>
              <w:widowControl/>
              <w:jc w:val="center"/>
              <w:textAlignment w:val="center"/>
              <w:rPr>
                <w:rFonts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元器件设备名称</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90C1">
            <w:pPr>
              <w:widowControl/>
              <w:jc w:val="center"/>
              <w:textAlignment w:val="center"/>
              <w:rPr>
                <w:rFonts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最终制作</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0E967">
            <w:pPr>
              <w:widowControl/>
              <w:jc w:val="center"/>
              <w:textAlignment w:val="center"/>
              <w:rPr>
                <w:rFonts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备注</w:t>
            </w:r>
          </w:p>
        </w:tc>
      </w:tr>
      <w:tr w14:paraId="0D2CD56C">
        <w:tblPrEx>
          <w:tblCellMar>
            <w:top w:w="0" w:type="dxa"/>
            <w:left w:w="108" w:type="dxa"/>
            <w:bottom w:w="0" w:type="dxa"/>
            <w:right w:w="108" w:type="dxa"/>
          </w:tblCellMar>
        </w:tblPrEx>
        <w:trPr>
          <w:trHeight w:val="1464"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43042">
            <w:pPr>
              <w:widowControl/>
              <w:jc w:val="center"/>
              <w:textAlignment w:val="center"/>
              <w:rPr>
                <w:rFonts w:hint="eastAsia" w:ascii="宋体" w:hAnsi="宋体" w:eastAsia="宋体" w:cs="宋体"/>
                <w:color w:val="000000"/>
                <w:sz w:val="22"/>
                <w:szCs w:val="22"/>
                <w:highlight w:val="none"/>
                <w:lang w:eastAsia="zh-CN"/>
              </w:rPr>
            </w:pPr>
            <w:r>
              <w:rPr>
                <w:rFonts w:hint="eastAsia" w:ascii="宋体" w:hAnsi="宋体" w:cs="宋体"/>
                <w:color w:val="000000"/>
                <w:kern w:val="0"/>
                <w:sz w:val="22"/>
                <w:szCs w:val="22"/>
                <w:highlight w:val="none"/>
                <w:lang w:val="en-US" w:eastAsia="zh-CN" w:bidi="ar"/>
              </w:rPr>
              <w:t>1</w:t>
            </w:r>
          </w:p>
        </w:tc>
        <w:tc>
          <w:tcPr>
            <w:tcW w:w="24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5D86C">
            <w:pPr>
              <w:widowControl/>
              <w:jc w:val="center"/>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框架断路器</w:t>
            </w:r>
            <w:r>
              <w:rPr>
                <w:rFonts w:hint="eastAsia" w:ascii="宋体" w:hAnsi="宋体" w:cs="宋体"/>
                <w:color w:val="000000"/>
                <w:kern w:val="0"/>
                <w:sz w:val="22"/>
                <w:szCs w:val="22"/>
                <w:highlight w:val="none"/>
                <w:lang w:bidi="ar"/>
              </w:rPr>
              <w:br w:type="textWrapping"/>
            </w:r>
            <w:r>
              <w:rPr>
                <w:rFonts w:hint="eastAsia" w:ascii="宋体" w:hAnsi="宋体" w:cs="宋体"/>
                <w:color w:val="000000"/>
                <w:kern w:val="0"/>
                <w:sz w:val="22"/>
                <w:szCs w:val="22"/>
                <w:highlight w:val="none"/>
                <w:lang w:bidi="ar"/>
              </w:rPr>
              <w:t>塑壳断路器</w:t>
            </w:r>
            <w:r>
              <w:rPr>
                <w:rFonts w:hint="eastAsia" w:ascii="宋体" w:hAnsi="宋体" w:cs="宋体"/>
                <w:color w:val="000000"/>
                <w:kern w:val="0"/>
                <w:sz w:val="22"/>
                <w:szCs w:val="22"/>
                <w:highlight w:val="none"/>
                <w:lang w:bidi="ar"/>
              </w:rPr>
              <w:br w:type="textWrapping"/>
            </w:r>
            <w:r>
              <w:rPr>
                <w:rFonts w:hint="eastAsia" w:ascii="宋体" w:hAnsi="宋体" w:cs="宋体"/>
                <w:color w:val="000000"/>
                <w:kern w:val="0"/>
                <w:sz w:val="22"/>
                <w:szCs w:val="22"/>
                <w:highlight w:val="none"/>
                <w:lang w:bidi="ar"/>
              </w:rPr>
              <w:t>微型断路器</w:t>
            </w:r>
            <w:r>
              <w:rPr>
                <w:rFonts w:hint="eastAsia" w:ascii="宋体" w:hAnsi="宋体" w:cs="宋体"/>
                <w:color w:val="000000"/>
                <w:kern w:val="0"/>
                <w:sz w:val="22"/>
                <w:szCs w:val="22"/>
                <w:highlight w:val="none"/>
                <w:lang w:bidi="ar"/>
              </w:rPr>
              <w:br w:type="textWrapping"/>
            </w:r>
            <w:r>
              <w:rPr>
                <w:rFonts w:hint="eastAsia" w:ascii="宋体" w:hAnsi="宋体" w:cs="宋体"/>
                <w:color w:val="000000"/>
                <w:kern w:val="0"/>
                <w:sz w:val="22"/>
                <w:szCs w:val="22"/>
                <w:highlight w:val="none"/>
                <w:lang w:bidi="ar"/>
              </w:rPr>
              <w:t>热继电器</w:t>
            </w:r>
          </w:p>
          <w:p w14:paraId="0DC75AC4">
            <w:pPr>
              <w:widowControl/>
              <w:jc w:val="center"/>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val="en-US" w:eastAsia="zh-CN" w:bidi="ar"/>
              </w:rPr>
              <w:t>双电源自动转换开关</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3629B">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kern w:val="0"/>
                <w:sz w:val="22"/>
                <w:szCs w:val="22"/>
                <w:highlight w:val="none"/>
                <w:lang w:val="en-US" w:eastAsia="zh-CN" w:bidi="ar"/>
              </w:rPr>
              <w:t>常熟、上海人民、天水213</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DE9CB">
            <w:pPr>
              <w:rPr>
                <w:rFonts w:ascii="宋体" w:hAnsi="宋体" w:cs="宋体"/>
                <w:color w:val="000000"/>
                <w:sz w:val="22"/>
                <w:szCs w:val="22"/>
                <w:highlight w:val="none"/>
              </w:rPr>
            </w:pPr>
          </w:p>
        </w:tc>
      </w:tr>
      <w:tr w14:paraId="63C4CE42">
        <w:tblPrEx>
          <w:tblCellMar>
            <w:top w:w="0" w:type="dxa"/>
            <w:left w:w="108" w:type="dxa"/>
            <w:bottom w:w="0" w:type="dxa"/>
            <w:right w:w="108" w:type="dxa"/>
          </w:tblCellMar>
        </w:tblPrEx>
        <w:trPr>
          <w:trHeight w:val="9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C4CE">
            <w:pPr>
              <w:widowControl/>
              <w:jc w:val="center"/>
              <w:textAlignment w:val="center"/>
              <w:rPr>
                <w:rFonts w:hint="default" w:ascii="宋体" w:hAnsi="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val="en-US" w:eastAsia="zh-CN" w:bidi="ar"/>
              </w:rPr>
              <w:t>2</w:t>
            </w:r>
          </w:p>
        </w:tc>
        <w:tc>
          <w:tcPr>
            <w:tcW w:w="24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D4A77">
            <w:pPr>
              <w:widowControl/>
              <w:jc w:val="center"/>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接触器</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1E155">
            <w:pPr>
              <w:widowControl/>
              <w:jc w:val="center"/>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val="en-US" w:eastAsia="zh-CN" w:bidi="ar"/>
              </w:rPr>
              <w:t>以图纸型号为准</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B2EEC">
            <w:pPr>
              <w:rPr>
                <w:rFonts w:ascii="宋体" w:hAnsi="宋体" w:cs="宋体"/>
                <w:color w:val="000000"/>
                <w:sz w:val="22"/>
                <w:szCs w:val="22"/>
                <w:highlight w:val="none"/>
              </w:rPr>
            </w:pPr>
          </w:p>
        </w:tc>
      </w:tr>
      <w:tr w14:paraId="54005C76">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F9669">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3</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FA2A6">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软起动器</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3CFC">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kern w:val="0"/>
                <w:sz w:val="22"/>
                <w:szCs w:val="22"/>
                <w:highlight w:val="none"/>
                <w:lang w:bidi="ar"/>
              </w:rPr>
              <w:t>长沙奥托</w:t>
            </w:r>
            <w:r>
              <w:rPr>
                <w:rFonts w:hint="eastAsia" w:ascii="宋体" w:hAnsi="宋体" w:cs="宋体"/>
                <w:color w:val="000000"/>
                <w:kern w:val="0"/>
                <w:sz w:val="22"/>
                <w:szCs w:val="22"/>
                <w:highlight w:val="none"/>
                <w:lang w:eastAsia="zh-CN" w:bidi="ar"/>
              </w:rPr>
              <w:t>、西安西普、</w:t>
            </w:r>
            <w:r>
              <w:rPr>
                <w:rFonts w:hint="eastAsia" w:ascii="宋体" w:hAnsi="宋体" w:cs="宋体"/>
                <w:color w:val="000000"/>
                <w:kern w:val="0"/>
                <w:sz w:val="22"/>
                <w:szCs w:val="22"/>
                <w:highlight w:val="none"/>
                <w:lang w:val="en-US" w:eastAsia="zh-CN" w:bidi="ar"/>
              </w:rPr>
              <w:t>西安启功</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37F60">
            <w:pPr>
              <w:rPr>
                <w:rFonts w:ascii="宋体" w:hAnsi="宋体" w:cs="宋体"/>
                <w:color w:val="000000"/>
                <w:sz w:val="22"/>
                <w:szCs w:val="22"/>
                <w:highlight w:val="none"/>
              </w:rPr>
            </w:pPr>
          </w:p>
        </w:tc>
      </w:tr>
      <w:tr w14:paraId="6003C404">
        <w:tblPrEx>
          <w:tblCellMar>
            <w:top w:w="0" w:type="dxa"/>
            <w:left w:w="108" w:type="dxa"/>
            <w:bottom w:w="0" w:type="dxa"/>
            <w:right w:w="108" w:type="dxa"/>
          </w:tblCellMar>
        </w:tblPrEx>
        <w:trPr>
          <w:trHeight w:val="64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F20B6">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4</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793D4">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kern w:val="0"/>
                <w:sz w:val="22"/>
                <w:szCs w:val="22"/>
                <w:highlight w:val="none"/>
                <w:lang w:val="en-US" w:eastAsia="zh-CN" w:bidi="ar"/>
              </w:rPr>
              <w:t>隔离开关</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DEA10">
            <w:pPr>
              <w:widowControl/>
              <w:jc w:val="center"/>
              <w:textAlignment w:val="center"/>
              <w:rPr>
                <w:rFonts w:ascii="宋体" w:hAnsi="宋体" w:cs="宋体"/>
                <w:color w:val="000000"/>
                <w:sz w:val="22"/>
                <w:szCs w:val="22"/>
                <w:highlight w:val="none"/>
              </w:rPr>
            </w:pPr>
            <w:r>
              <w:rPr>
                <w:rFonts w:hint="eastAsia" w:ascii="宋体" w:hAnsi="宋体" w:cs="宋体"/>
                <w:color w:val="000000"/>
                <w:sz w:val="22"/>
                <w:szCs w:val="22"/>
                <w:highlight w:val="none"/>
              </w:rPr>
              <w:t>常熟、天水</w:t>
            </w:r>
            <w:r>
              <w:rPr>
                <w:rFonts w:hint="eastAsia" w:ascii="宋体" w:hAnsi="宋体" w:cs="宋体"/>
                <w:color w:val="000000"/>
                <w:sz w:val="22"/>
                <w:szCs w:val="22"/>
                <w:highlight w:val="none"/>
                <w:lang w:val="en-US" w:eastAsia="zh-CN"/>
              </w:rPr>
              <w:t>213</w:t>
            </w:r>
            <w:r>
              <w:rPr>
                <w:rFonts w:hint="eastAsia" w:ascii="宋体" w:hAnsi="宋体" w:cs="宋体"/>
                <w:color w:val="000000"/>
                <w:sz w:val="22"/>
                <w:szCs w:val="22"/>
                <w:highlight w:val="none"/>
              </w:rPr>
              <w:t>、斯沃</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DCDC5">
            <w:pPr>
              <w:jc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（柜外操作）</w:t>
            </w:r>
          </w:p>
        </w:tc>
      </w:tr>
      <w:tr w14:paraId="64D06110">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622DE">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5</w:t>
            </w:r>
          </w:p>
        </w:tc>
        <w:tc>
          <w:tcPr>
            <w:tcW w:w="24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BE3CF">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仪表</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04356">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广东雅达、安科瑞、湖南威盛</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475A4">
            <w:pPr>
              <w:rPr>
                <w:rFonts w:ascii="宋体" w:hAnsi="宋体" w:cs="宋体"/>
                <w:color w:val="000000"/>
                <w:sz w:val="22"/>
                <w:szCs w:val="22"/>
                <w:highlight w:val="none"/>
              </w:rPr>
            </w:pPr>
          </w:p>
        </w:tc>
      </w:tr>
      <w:tr w14:paraId="12EE6F2F">
        <w:tblPrEx>
          <w:tblCellMar>
            <w:top w:w="0" w:type="dxa"/>
            <w:left w:w="108" w:type="dxa"/>
            <w:bottom w:w="0" w:type="dxa"/>
            <w:right w:w="108" w:type="dxa"/>
          </w:tblCellMar>
        </w:tblPrEx>
        <w:trPr>
          <w:trHeight w:val="10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F48CA">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6</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4B6AE">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信号灯</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5C5A">
            <w:pPr>
              <w:widowControl/>
              <w:jc w:val="center"/>
              <w:textAlignment w:val="center"/>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施耐德、ABB、西门子</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8209E">
            <w:pPr>
              <w:rPr>
                <w:rFonts w:ascii="宋体" w:hAnsi="宋体" w:cs="宋体"/>
                <w:color w:val="000000"/>
                <w:sz w:val="22"/>
                <w:szCs w:val="22"/>
                <w:highlight w:val="none"/>
              </w:rPr>
            </w:pPr>
          </w:p>
        </w:tc>
      </w:tr>
      <w:tr w14:paraId="114B332D">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432F6">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7</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5F0BF">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按钮</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E34E6">
            <w:pPr>
              <w:widowControl/>
              <w:jc w:val="center"/>
              <w:textAlignment w:val="center"/>
              <w:rPr>
                <w:rFonts w:ascii="宋体" w:hAnsi="宋体" w:cs="宋体"/>
                <w:sz w:val="22"/>
                <w:szCs w:val="22"/>
                <w:highlight w:val="none"/>
              </w:rPr>
            </w:pPr>
            <w:r>
              <w:rPr>
                <w:rFonts w:hint="eastAsia" w:ascii="宋体" w:hAnsi="宋体" w:cs="宋体"/>
                <w:sz w:val="22"/>
                <w:szCs w:val="22"/>
                <w:highlight w:val="none"/>
                <w:lang w:val="en-US" w:eastAsia="zh-CN"/>
              </w:rPr>
              <w:t>施耐德、ABB、西门子</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A8854">
            <w:pPr>
              <w:rPr>
                <w:rFonts w:ascii="宋体" w:hAnsi="宋体" w:cs="宋体"/>
                <w:color w:val="000000"/>
                <w:sz w:val="22"/>
                <w:szCs w:val="22"/>
                <w:highlight w:val="none"/>
              </w:rPr>
            </w:pPr>
          </w:p>
        </w:tc>
      </w:tr>
      <w:tr w14:paraId="23E59005">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E0AB2">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8</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C0E91">
            <w:pPr>
              <w:widowControl/>
              <w:jc w:val="center"/>
              <w:textAlignment w:val="center"/>
              <w:rPr>
                <w:rFonts w:hint="default" w:ascii="宋体" w:hAnsi="宋体" w:eastAsia="宋体" w:cs="宋体"/>
                <w:kern w:val="0"/>
                <w:sz w:val="22"/>
                <w:szCs w:val="22"/>
                <w:highlight w:val="none"/>
                <w:lang w:val="en-US" w:eastAsia="zh-CN" w:bidi="ar"/>
              </w:rPr>
            </w:pPr>
            <w:r>
              <w:rPr>
                <w:rFonts w:hint="eastAsia" w:ascii="宋体" w:hAnsi="宋体" w:cs="宋体"/>
                <w:kern w:val="0"/>
                <w:sz w:val="22"/>
                <w:szCs w:val="22"/>
                <w:highlight w:val="none"/>
                <w:lang w:val="en-US" w:eastAsia="zh-CN" w:bidi="ar"/>
              </w:rPr>
              <w:t>继电器</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5121C">
            <w:pPr>
              <w:widowControl/>
              <w:jc w:val="center"/>
              <w:textAlignment w:val="center"/>
              <w:rPr>
                <w:rFonts w:hint="default" w:ascii="宋体" w:hAnsi="宋体" w:eastAsia="宋体" w:cs="宋体"/>
                <w:sz w:val="22"/>
                <w:szCs w:val="22"/>
                <w:highlight w:val="none"/>
                <w:lang w:val="en-US" w:eastAsia="zh-CN"/>
              </w:rPr>
            </w:pPr>
            <w:r>
              <w:rPr>
                <w:rFonts w:hint="eastAsia" w:ascii="宋体" w:hAnsi="宋体" w:cs="宋体"/>
                <w:sz w:val="22"/>
                <w:szCs w:val="22"/>
                <w:highlight w:val="none"/>
              </w:rPr>
              <w:t>魏德米勒</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菲尼克斯</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1CA65">
            <w:pPr>
              <w:rPr>
                <w:rFonts w:ascii="宋体" w:hAnsi="宋体" w:cs="宋体"/>
                <w:color w:val="000000"/>
                <w:sz w:val="22"/>
                <w:szCs w:val="22"/>
                <w:highlight w:val="none"/>
              </w:rPr>
            </w:pPr>
          </w:p>
        </w:tc>
      </w:tr>
      <w:tr w14:paraId="5A51A1E5">
        <w:tblPrEx>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839F">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9</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D762D">
            <w:pPr>
              <w:widowControl/>
              <w:jc w:val="center"/>
              <w:textAlignment w:val="center"/>
              <w:rPr>
                <w:rFonts w:hint="default" w:ascii="宋体" w:hAnsi="宋体" w:cs="宋体"/>
                <w:kern w:val="0"/>
                <w:sz w:val="22"/>
                <w:szCs w:val="22"/>
                <w:highlight w:val="none"/>
                <w:lang w:val="en-US" w:eastAsia="zh-CN" w:bidi="ar"/>
              </w:rPr>
            </w:pPr>
            <w:r>
              <w:rPr>
                <w:rFonts w:hint="eastAsia" w:ascii="宋体" w:hAnsi="宋体" w:cs="宋体"/>
                <w:kern w:val="0"/>
                <w:sz w:val="22"/>
                <w:szCs w:val="22"/>
                <w:highlight w:val="none"/>
                <w:lang w:val="en-US" w:eastAsia="zh-CN" w:bidi="ar"/>
              </w:rPr>
              <w:t>浪涌保护器</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162E">
            <w:pPr>
              <w:widowControl/>
              <w:jc w:val="center"/>
              <w:textAlignment w:val="center"/>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中霍传感、安徽虹科、安徽金力</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D2549">
            <w:pPr>
              <w:rPr>
                <w:rFonts w:ascii="宋体" w:hAnsi="宋体" w:cs="宋体"/>
                <w:color w:val="000000"/>
                <w:sz w:val="22"/>
                <w:szCs w:val="22"/>
                <w:highlight w:val="none"/>
              </w:rPr>
            </w:pPr>
          </w:p>
        </w:tc>
      </w:tr>
      <w:tr w14:paraId="0008D354">
        <w:tblPrEx>
          <w:tblCellMar>
            <w:top w:w="0" w:type="dxa"/>
            <w:left w:w="108" w:type="dxa"/>
            <w:bottom w:w="0" w:type="dxa"/>
            <w:right w:w="108"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4AA9F">
            <w:pPr>
              <w:widowControl/>
              <w:jc w:val="center"/>
              <w:textAlignment w:val="center"/>
              <w:rPr>
                <w:rFonts w:hint="default" w:ascii="宋体" w:hAnsi="宋体" w:eastAsia="宋体" w:cs="宋体"/>
                <w:color w:val="0D0D0D"/>
                <w:sz w:val="22"/>
                <w:szCs w:val="22"/>
                <w:highlight w:val="none"/>
                <w:lang w:val="en-US" w:eastAsia="zh-CN"/>
              </w:rPr>
            </w:pPr>
            <w:r>
              <w:rPr>
                <w:rFonts w:hint="eastAsia" w:ascii="宋体" w:hAnsi="宋体" w:cs="宋体"/>
                <w:color w:val="0D0D0D"/>
                <w:sz w:val="22"/>
                <w:szCs w:val="22"/>
                <w:highlight w:val="none"/>
                <w:lang w:val="en-US" w:eastAsia="zh-CN"/>
              </w:rPr>
              <w:t>10</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3FCCE">
            <w:pPr>
              <w:widowControl/>
              <w:jc w:val="center"/>
              <w:textAlignment w:val="center"/>
              <w:rPr>
                <w:rFonts w:ascii="宋体" w:hAnsi="宋体" w:cs="宋体"/>
                <w:color w:val="0D0D0D"/>
                <w:sz w:val="22"/>
                <w:szCs w:val="22"/>
                <w:highlight w:val="none"/>
              </w:rPr>
            </w:pPr>
            <w:r>
              <w:rPr>
                <w:rFonts w:hint="eastAsia" w:ascii="宋体" w:hAnsi="宋体" w:cs="宋体"/>
                <w:color w:val="0D0D0D"/>
                <w:kern w:val="0"/>
                <w:sz w:val="22"/>
                <w:szCs w:val="22"/>
                <w:highlight w:val="none"/>
                <w:lang w:bidi="ar"/>
              </w:rPr>
              <w:t>端子</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E4562">
            <w:pPr>
              <w:widowControl/>
              <w:jc w:val="center"/>
              <w:textAlignment w:val="center"/>
              <w:rPr>
                <w:rFonts w:hint="default" w:ascii="宋体" w:hAnsi="宋体" w:eastAsia="宋体" w:cs="宋体"/>
                <w:color w:val="0D0D0D"/>
                <w:sz w:val="22"/>
                <w:szCs w:val="22"/>
                <w:highlight w:val="none"/>
                <w:lang w:val="en-US" w:eastAsia="zh-CN"/>
              </w:rPr>
            </w:pPr>
            <w:r>
              <w:rPr>
                <w:rFonts w:hint="eastAsia" w:ascii="宋体" w:hAnsi="宋体" w:cs="宋体"/>
                <w:color w:val="0D0D0D"/>
                <w:kern w:val="0"/>
                <w:sz w:val="22"/>
                <w:szCs w:val="22"/>
                <w:highlight w:val="none"/>
                <w:lang w:bidi="ar"/>
              </w:rPr>
              <w:t>菲尼克斯</w:t>
            </w:r>
            <w:r>
              <w:rPr>
                <w:rFonts w:hint="eastAsia" w:ascii="宋体" w:hAnsi="宋体" w:cs="宋体"/>
                <w:color w:val="0D0D0D"/>
                <w:kern w:val="0"/>
                <w:sz w:val="22"/>
                <w:szCs w:val="22"/>
                <w:highlight w:val="none"/>
                <w:lang w:eastAsia="zh-CN" w:bidi="ar"/>
              </w:rPr>
              <w:t>、</w:t>
            </w:r>
            <w:r>
              <w:rPr>
                <w:rFonts w:hint="eastAsia" w:ascii="宋体" w:hAnsi="宋体" w:cs="宋体"/>
                <w:color w:val="0D0D0D"/>
                <w:kern w:val="0"/>
                <w:sz w:val="22"/>
                <w:szCs w:val="22"/>
                <w:highlight w:val="none"/>
                <w:lang w:val="en-US" w:eastAsia="zh-CN" w:bidi="ar"/>
              </w:rPr>
              <w:t>魏德米勒</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79E4C">
            <w:pPr>
              <w:rPr>
                <w:rFonts w:ascii="宋体" w:hAnsi="宋体" w:cs="宋体"/>
                <w:color w:val="000000"/>
                <w:sz w:val="22"/>
                <w:szCs w:val="22"/>
                <w:highlight w:val="none"/>
              </w:rPr>
            </w:pPr>
          </w:p>
        </w:tc>
      </w:tr>
      <w:tr w14:paraId="4F6FC16A">
        <w:tblPrEx>
          <w:tblCellMar>
            <w:top w:w="0" w:type="dxa"/>
            <w:left w:w="108" w:type="dxa"/>
            <w:bottom w:w="0" w:type="dxa"/>
            <w:right w:w="108" w:type="dxa"/>
          </w:tblCellMar>
        </w:tblPrEx>
        <w:trPr>
          <w:trHeight w:val="4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4E50E">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11</w:t>
            </w:r>
          </w:p>
        </w:tc>
        <w:tc>
          <w:tcPr>
            <w:tcW w:w="2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1C8AD">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其他</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EB619">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按图纸执行</w:t>
            </w:r>
          </w:p>
        </w:tc>
        <w:tc>
          <w:tcPr>
            <w:tcW w:w="1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A564F">
            <w:pPr>
              <w:rPr>
                <w:rFonts w:ascii="宋体" w:hAnsi="宋体" w:cs="宋体"/>
                <w:color w:val="000000"/>
                <w:sz w:val="22"/>
                <w:szCs w:val="22"/>
                <w:highlight w:val="none"/>
              </w:rPr>
            </w:pPr>
          </w:p>
        </w:tc>
      </w:tr>
    </w:tbl>
    <w:p w14:paraId="7F2A8274">
      <w:pPr>
        <w:pStyle w:val="48"/>
        <w:spacing w:line="240" w:lineRule="auto"/>
        <w:rPr>
          <w:rFonts w:ascii="宋体" w:hAnsi="宋体" w:cs="宋体"/>
          <w:highlight w:val="none"/>
        </w:rPr>
      </w:pPr>
      <w:r>
        <w:rPr>
          <w:rFonts w:hint="eastAsia" w:ascii="宋体" w:hAnsi="宋体" w:cs="宋体"/>
          <w:highlight w:val="none"/>
        </w:rPr>
        <w:t>四、设备技术要求</w:t>
      </w:r>
    </w:p>
    <w:p w14:paraId="548DB935">
      <w:pPr>
        <w:pStyle w:val="46"/>
        <w:spacing w:line="240" w:lineRule="auto"/>
        <w:rPr>
          <w:rFonts w:ascii="宋体" w:hAnsi="宋体"/>
          <w:szCs w:val="28"/>
          <w:highlight w:val="none"/>
        </w:rPr>
      </w:pPr>
      <w:bookmarkStart w:id="11" w:name="_Toc134543793"/>
      <w:bookmarkStart w:id="12" w:name="_Toc13065909"/>
      <w:r>
        <w:rPr>
          <w:rFonts w:hint="eastAsia" w:ascii="宋体" w:hAnsi="宋体"/>
          <w:szCs w:val="28"/>
          <w:highlight w:val="none"/>
        </w:rPr>
        <w:t>4.1总体要求</w:t>
      </w:r>
      <w:bookmarkEnd w:id="11"/>
      <w:bookmarkEnd w:id="12"/>
    </w:p>
    <w:p w14:paraId="0BE42311">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1）本技术规格书提出的为最低限度的技术要求，乙方提供符合有关工业标准的优质产品。对国家有关安全、能源效率标识、环保等强制性标准必须满足其要求。</w:t>
      </w:r>
    </w:p>
    <w:p w14:paraId="2768603D">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2）乙方应对所供设备（包括业主方认可的外购产品）负有全责。</w:t>
      </w:r>
    </w:p>
    <w:p w14:paraId="592D33AE">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3）结构设计合理，能保证工作人员的安全，便于运行、维护、检查、监视和试验。</w:t>
      </w:r>
    </w:p>
    <w:p w14:paraId="5BB68944">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4）所提供的设备应是先进、成熟、完整和安全可靠的，且必须是为本工程生产的全新产品，任何已使用过的产品都被拒收。</w:t>
      </w:r>
    </w:p>
    <w:p w14:paraId="337028C8">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5）合同设备应在良好的工艺条件下进行制造，制造工艺应是经实践证实是最先进的。全部设计和制造工作应由专业技术人员和经训练的熟练技工担任。所有零部件应严格按规定的标准加工，零件可互换，便于修理。合同设备生产的过程应进行严格质量控制，确保提供设备的质量。</w:t>
      </w:r>
    </w:p>
    <w:p w14:paraId="1A9A4DDA">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6）每一项主要设备与辅助设备均应有一永久固定铭牌，铭牌应清楚标出序号、制造厂家的名称、产品名称、型号及规格或系列号、出厂日期以及其它有用的数据。</w:t>
      </w:r>
    </w:p>
    <w:p w14:paraId="02708CD7">
      <w:pPr>
        <w:pStyle w:val="46"/>
        <w:spacing w:line="240" w:lineRule="auto"/>
        <w:rPr>
          <w:rFonts w:ascii="宋体" w:hAnsi="宋体"/>
          <w:szCs w:val="28"/>
          <w:highlight w:val="none"/>
        </w:rPr>
      </w:pPr>
      <w:bookmarkStart w:id="13" w:name="_Toc520738664"/>
      <w:bookmarkStart w:id="14" w:name="_Toc134543794"/>
      <w:r>
        <w:rPr>
          <w:rFonts w:hint="eastAsia" w:ascii="宋体" w:hAnsi="宋体"/>
          <w:szCs w:val="28"/>
          <w:highlight w:val="none"/>
        </w:rPr>
        <w:t>4.2 低压配电柜</w:t>
      </w:r>
      <w:bookmarkEnd w:id="13"/>
      <w:bookmarkEnd w:id="14"/>
    </w:p>
    <w:p w14:paraId="242E6EE6">
      <w:pPr>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低压配电柜的柜型采用GGD柜，柜型为固定式，冷轧钢板材质，柜体颜色均为计算机灰 RAL 7035，柜体框架厚度不小于2</w:t>
      </w:r>
      <w:r>
        <w:rPr>
          <w:rFonts w:ascii="宋体" w:hAnsi="宋体" w:cs="宋体"/>
          <w:sz w:val="28"/>
          <w:szCs w:val="28"/>
          <w:highlight w:val="none"/>
        </w:rPr>
        <w:t>mm</w:t>
      </w:r>
      <w:r>
        <w:rPr>
          <w:rFonts w:hint="eastAsia" w:ascii="宋体" w:hAnsi="宋体" w:cs="宋体"/>
          <w:sz w:val="28"/>
          <w:szCs w:val="28"/>
          <w:highlight w:val="none"/>
        </w:rPr>
        <w:t>，不得采用阻燃型塑料板做二层底板，配电柜油漆无脱落，系统采用TN-S制，柜体内元件温升符合型式试验标准；所有带电导体的布置应满足国标规定的最小电气安全净距，即不同相的带电部分之间最小电气安全净距为</w:t>
      </w:r>
      <w:r>
        <w:rPr>
          <w:rFonts w:hint="eastAsia" w:ascii="宋体" w:hAnsi="宋体" w:cs="宋体"/>
          <w:sz w:val="28"/>
          <w:szCs w:val="28"/>
          <w:highlight w:val="none"/>
          <w:lang w:val="en-US" w:eastAsia="zh-CN"/>
        </w:rPr>
        <w:t>20</w:t>
      </w:r>
      <w:r>
        <w:rPr>
          <w:rFonts w:hint="eastAsia" w:ascii="宋体" w:hAnsi="宋体" w:cs="宋体"/>
          <w:sz w:val="28"/>
          <w:szCs w:val="28"/>
          <w:highlight w:val="none"/>
        </w:rPr>
        <w:t xml:space="preserve"> mm；带电部分至接地部分之间最小电气安全净距为</w:t>
      </w:r>
      <w:r>
        <w:rPr>
          <w:rFonts w:hint="eastAsia" w:ascii="宋体" w:hAnsi="宋体" w:cs="宋体"/>
          <w:sz w:val="28"/>
          <w:szCs w:val="28"/>
          <w:highlight w:val="none"/>
          <w:lang w:val="en-US" w:eastAsia="zh-CN"/>
        </w:rPr>
        <w:t>20</w:t>
      </w:r>
      <w:r>
        <w:rPr>
          <w:rFonts w:hint="eastAsia" w:ascii="宋体" w:hAnsi="宋体" w:cs="宋体"/>
          <w:sz w:val="28"/>
          <w:szCs w:val="28"/>
          <w:highlight w:val="none"/>
        </w:rPr>
        <w:t>mm；配电柜防护等级为IP31。每个低压配电室柜门锁参考下图(MS8491Z-1-2)，同一电气室钥匙相同，隔离开关小门采用三角锁。大于600mm宽的柜体前后双开门（进线柜母联柜或框架断路器柜除外），单开门右开，隔离开关设单独门，参考图如下。</w:t>
      </w:r>
    </w:p>
    <w:p w14:paraId="7C860FCD">
      <w:pPr>
        <w:pStyle w:val="50"/>
        <w:adjustRightInd w:val="0"/>
        <w:snapToGrid w:val="0"/>
        <w:ind w:firstLine="560" w:firstLineChars="200"/>
        <w:rPr>
          <w:rFonts w:ascii="宋体" w:hAnsi="宋体" w:cs="宋体"/>
          <w:sz w:val="28"/>
          <w:szCs w:val="28"/>
          <w:highlight w:val="none"/>
        </w:rPr>
      </w:pPr>
      <w:r>
        <w:rPr>
          <w:rFonts w:ascii="宋体" w:hAnsi="宋体" w:cs="宋体"/>
          <w:sz w:val="28"/>
          <w:szCs w:val="28"/>
          <w:highlight w:val="none"/>
        </w:rPr>
        <w:drawing>
          <wp:inline distT="0" distB="0" distL="114300" distR="114300">
            <wp:extent cx="1513840" cy="2136775"/>
            <wp:effectExtent l="0" t="0" r="10160" b="158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1513840" cy="2136775"/>
                    </a:xfrm>
                    <a:prstGeom prst="rect">
                      <a:avLst/>
                    </a:prstGeom>
                    <a:noFill/>
                    <a:ln>
                      <a:noFill/>
                    </a:ln>
                  </pic:spPr>
                </pic:pic>
              </a:graphicData>
            </a:graphic>
          </wp:inline>
        </w:drawing>
      </w:r>
      <w:r>
        <w:rPr>
          <w:rFonts w:ascii="宋体" w:hAnsi="宋体" w:cs="宋体"/>
          <w:sz w:val="28"/>
          <w:szCs w:val="28"/>
          <w:highlight w:val="none"/>
        </w:rPr>
        <w:drawing>
          <wp:inline distT="0" distB="0" distL="114300" distR="114300">
            <wp:extent cx="1668145" cy="2136775"/>
            <wp:effectExtent l="0" t="0" r="8255" b="158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668145" cy="2136775"/>
                    </a:xfrm>
                    <a:prstGeom prst="rect">
                      <a:avLst/>
                    </a:prstGeom>
                    <a:noFill/>
                    <a:ln>
                      <a:noFill/>
                    </a:ln>
                  </pic:spPr>
                </pic:pic>
              </a:graphicData>
            </a:graphic>
          </wp:inline>
        </w:drawing>
      </w:r>
    </w:p>
    <w:p w14:paraId="51505552">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柜面板上安装表及指示灯。</w:t>
      </w:r>
    </w:p>
    <w:p w14:paraId="70471E55">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隔离开关、断路器、等均需配相间隔弧板。</w:t>
      </w:r>
    </w:p>
    <w:p w14:paraId="5F9C2CC5">
      <w:pPr>
        <w:pStyle w:val="50"/>
        <w:adjustRightInd w:val="0"/>
        <w:snapToGrid w:val="0"/>
        <w:spacing w:line="560" w:lineRule="exact"/>
        <w:ind w:left="559" w:leftChars="266" w:firstLine="0" w:firstLineChars="0"/>
        <w:rPr>
          <w:rFonts w:hint="eastAsia" w:ascii="宋体" w:hAnsi="宋体" w:cs="宋体"/>
          <w:sz w:val="28"/>
          <w:szCs w:val="28"/>
          <w:highlight w:val="none"/>
        </w:rPr>
      </w:pPr>
      <w:r>
        <w:rPr>
          <w:rFonts w:hint="eastAsia" w:ascii="宋体" w:hAnsi="宋体" w:eastAsia="宋体" w:cs="宋体"/>
          <w:b w:val="0"/>
          <w:bCs w:val="0"/>
          <w:kern w:val="2"/>
          <w:sz w:val="28"/>
          <w:szCs w:val="28"/>
          <w:highlight w:val="none"/>
          <w:lang w:val="en-US" w:eastAsia="zh-CN" w:bidi="ar-SA"/>
        </w:rPr>
        <w:t>柜内</w:t>
      </w:r>
      <w:r>
        <w:rPr>
          <w:rFonts w:hint="eastAsia" w:ascii="宋体" w:hAnsi="宋体" w:cs="宋体"/>
          <w:b w:val="0"/>
          <w:bCs w:val="0"/>
          <w:kern w:val="2"/>
          <w:sz w:val="28"/>
          <w:szCs w:val="28"/>
          <w:highlight w:val="none"/>
          <w:lang w:val="en-US" w:eastAsia="zh-CN" w:bidi="ar-SA"/>
        </w:rPr>
        <w:t>必须要有元器件标识</w:t>
      </w:r>
      <w:r>
        <w:rPr>
          <w:rFonts w:hint="eastAsia" w:ascii="宋体" w:hAnsi="宋体" w:eastAsia="宋体" w:cs="宋体"/>
          <w:b w:val="0"/>
          <w:bCs w:val="0"/>
          <w:kern w:val="2"/>
          <w:sz w:val="28"/>
          <w:szCs w:val="28"/>
          <w:highlight w:val="none"/>
          <w:lang w:val="en-US" w:eastAsia="zh-CN" w:bidi="ar-SA"/>
        </w:rPr>
        <w:t>（备注代号和用途）</w:t>
      </w:r>
      <w:r>
        <w:rPr>
          <w:rFonts w:hint="eastAsia" w:ascii="宋体" w:hAnsi="宋体" w:cs="宋体"/>
          <w:b w:val="0"/>
          <w:bCs w:val="0"/>
          <w:kern w:val="2"/>
          <w:sz w:val="28"/>
          <w:szCs w:val="28"/>
          <w:highlight w:val="none"/>
          <w:lang w:val="en-US" w:eastAsia="zh-CN" w:bidi="ar-SA"/>
        </w:rPr>
        <w:t>，柜外门必须要有回路标识</w:t>
      </w:r>
      <w:r>
        <w:rPr>
          <w:rFonts w:hint="eastAsia" w:ascii="宋体" w:hAnsi="宋体" w:eastAsia="宋体" w:cs="宋体"/>
          <w:b w:val="0"/>
          <w:bCs w:val="0"/>
          <w:kern w:val="2"/>
          <w:sz w:val="28"/>
          <w:szCs w:val="28"/>
          <w:highlight w:val="none"/>
          <w:lang w:val="en-US" w:eastAsia="zh-CN" w:bidi="ar-SA"/>
        </w:rPr>
        <w:t>（备注代号和用途）</w:t>
      </w:r>
      <w:r>
        <w:rPr>
          <w:rFonts w:hint="eastAsia" w:ascii="宋体" w:hAnsi="宋体" w:cs="宋体"/>
          <w:b w:val="0"/>
          <w:bCs w:val="0"/>
          <w:kern w:val="2"/>
          <w:sz w:val="28"/>
          <w:szCs w:val="28"/>
          <w:highlight w:val="none"/>
          <w:lang w:val="en-US" w:eastAsia="zh-CN" w:bidi="ar-SA"/>
        </w:rPr>
        <w:t>、</w:t>
      </w:r>
      <w:r>
        <w:rPr>
          <w:rFonts w:hint="eastAsia" w:ascii="宋体" w:hAnsi="宋体" w:cs="宋体"/>
          <w:sz w:val="28"/>
          <w:szCs w:val="28"/>
          <w:highlight w:val="none"/>
        </w:rPr>
        <w:t>备用的标识贴备用。</w:t>
      </w:r>
    </w:p>
    <w:p w14:paraId="4C90675D">
      <w:pPr>
        <w:pStyle w:val="46"/>
        <w:spacing w:line="240" w:lineRule="auto"/>
        <w:ind w:left="279" w:leftChars="133" w:firstLine="280" w:firstLineChars="100"/>
        <w:rPr>
          <w:rFonts w:hint="eastAsia" w:ascii="宋体" w:hAnsi="宋体" w:eastAsia="宋体" w:cs="宋体"/>
          <w:b w:val="0"/>
          <w:bCs w:val="0"/>
          <w:kern w:val="2"/>
          <w:sz w:val="28"/>
          <w:szCs w:val="28"/>
          <w:highlight w:val="none"/>
          <w:lang w:val="en-US" w:eastAsia="zh-CN" w:bidi="ar-SA"/>
        </w:rPr>
      </w:pPr>
      <w:r>
        <w:rPr>
          <w:rFonts w:hint="eastAsia" w:ascii="宋体" w:hAnsi="宋体" w:eastAsia="宋体" w:cs="宋体"/>
          <w:b w:val="0"/>
          <w:bCs w:val="0"/>
          <w:kern w:val="2"/>
          <w:sz w:val="28"/>
          <w:szCs w:val="28"/>
          <w:highlight w:val="none"/>
          <w:lang w:val="en-US" w:eastAsia="zh-CN" w:bidi="ar-SA"/>
        </w:rPr>
        <w:t>接地线使用黄绿线、裸露铜排出必须加装有机玻璃板，并粘贴防触电标识，满足带电安全要求</w:t>
      </w:r>
      <w:r>
        <w:rPr>
          <w:rFonts w:hint="eastAsia" w:ascii="宋体" w:hAnsi="宋体" w:cs="宋体"/>
          <w:b w:val="0"/>
          <w:bCs w:val="0"/>
          <w:kern w:val="2"/>
          <w:sz w:val="28"/>
          <w:szCs w:val="28"/>
          <w:highlight w:val="none"/>
          <w:lang w:val="en-US" w:eastAsia="zh-CN" w:bidi="ar-SA"/>
        </w:rPr>
        <w:t>。</w:t>
      </w:r>
    </w:p>
    <w:p w14:paraId="77ED5C4B">
      <w:pPr>
        <w:pStyle w:val="46"/>
        <w:spacing w:line="240" w:lineRule="auto"/>
        <w:rPr>
          <w:rFonts w:hint="eastAsia" w:ascii="宋体" w:hAnsi="宋体"/>
          <w:szCs w:val="28"/>
          <w:highlight w:val="none"/>
        </w:rPr>
      </w:pPr>
      <w:r>
        <w:rPr>
          <w:rFonts w:hint="eastAsia" w:ascii="宋体" w:hAnsi="宋体"/>
          <w:szCs w:val="28"/>
          <w:highlight w:val="none"/>
        </w:rPr>
        <w:t>4.3 断路器</w:t>
      </w:r>
    </w:p>
    <w:p w14:paraId="6B83C9EF">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 xml:space="preserve">框架断路器容量及技术参数应与图纸一致，万能式断路器要求具有以下特点：无飞弧距离；过电流脱扣保护；脱扣带有彩色触摸屏并有电流、电压显示功率等测量功能，跳闸报警；内部过热、控制器监视的自诊断功能；框架断路器要求额定工作电压AC 50/60Hz，Ue=690V。附件应包括以下附件：固定单元、安全档板、防弧隔板、合闸线圈、分闸线圈、欠压线圈240AC/DC（整定长延时）、储能电机220AC/220DC、密封门框、脱扣并报警、辅助触点、参数设定模块、液晶显示等标准配置附件。                       </w:t>
      </w:r>
    </w:p>
    <w:p w14:paraId="1D5E891D">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 xml:space="preserve">塑料外壳式断路器采用手柄直接操作式断路器，断路器极数P=3；额定绝缘电压=690V；Ui大于等于800V额定冲击耐受电压=6000V; 断路器使用寿命在通电状态下≧2000次；不通电状态下≧4000次；飞弧距离≦50mm;                                                                                                                                                                                                                                            </w:t>
      </w:r>
    </w:p>
    <w:p w14:paraId="3B2A5160">
      <w:pPr>
        <w:pStyle w:val="46"/>
        <w:spacing w:line="240" w:lineRule="auto"/>
        <w:rPr>
          <w:rFonts w:hint="eastAsia" w:ascii="宋体" w:hAnsi="宋体"/>
          <w:szCs w:val="28"/>
          <w:highlight w:val="none"/>
        </w:rPr>
      </w:pPr>
      <w:r>
        <w:rPr>
          <w:rFonts w:hint="eastAsia" w:ascii="宋体" w:hAnsi="宋体"/>
          <w:szCs w:val="28"/>
          <w:highlight w:val="none"/>
        </w:rPr>
        <w:t>4.4软启动</w:t>
      </w:r>
    </w:p>
    <w:p w14:paraId="5AFB9A22">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软启动必须具备低电压穿越功能（即当电网电压骤降或突然消失时，软启动器不应闭锁继续输出，保证电动机继续运转不停机）,时间为1S。</w:t>
      </w:r>
    </w:p>
    <w:p w14:paraId="28A6FDF3">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软启动器具备缺相保护、起动过流保护、运行过流保护、过载保护、过热保护、违反规程起动保护、干扰保护、参数丢失保护等保护功能；起动电流在2.5倍电机额定电流范围内能起动各类负载，具备软停车功能；具有独立的旁路端子，旁路接触器实现无电流分合；装置采用数码显示，键盘操作，可在操作键盘上进行数据监视，参数设置及启停控制功能；具有远程控制及状态输出端子，4～20mA信号输出及RS485通信接口。控制板内含开关电源供电，电压在80V~300V范围内可靠工作。提供RS485通讯接口，须具备标准 Modbus 协议或 DL/T645 协议，且具有智能通讯接口与系统相连以保证数据通讯的稳定，快速，配合通讯调试工作。</w:t>
      </w:r>
    </w:p>
    <w:p w14:paraId="74F2CF4D">
      <w:pPr>
        <w:pStyle w:val="46"/>
        <w:spacing w:line="240" w:lineRule="auto"/>
        <w:rPr>
          <w:rFonts w:hint="eastAsia" w:ascii="宋体" w:hAnsi="宋体"/>
          <w:szCs w:val="28"/>
          <w:highlight w:val="none"/>
        </w:rPr>
      </w:pPr>
      <w:r>
        <w:rPr>
          <w:rFonts w:hint="eastAsia" w:ascii="宋体" w:hAnsi="宋体"/>
          <w:szCs w:val="28"/>
          <w:highlight w:val="none"/>
        </w:rPr>
        <w:t>4.5 智能电力仪表</w:t>
      </w:r>
    </w:p>
    <w:p w14:paraId="4E2D3547">
      <w:pPr>
        <w:pStyle w:val="50"/>
        <w:adjustRightInd w:val="0"/>
        <w:snapToGrid w:val="0"/>
        <w:spacing w:line="560" w:lineRule="exact"/>
        <w:ind w:firstLine="560" w:firstLineChars="200"/>
        <w:rPr>
          <w:rFonts w:ascii="宋体" w:hAnsi="宋体" w:cs="宋体"/>
          <w:sz w:val="28"/>
          <w:szCs w:val="28"/>
          <w:highlight w:val="none"/>
        </w:rPr>
      </w:pPr>
      <w:r>
        <w:rPr>
          <w:rFonts w:hint="eastAsia" w:ascii="宋体" w:hAnsi="宋体" w:cs="宋体"/>
          <w:sz w:val="28"/>
          <w:szCs w:val="28"/>
          <w:highlight w:val="none"/>
        </w:rPr>
        <w:t>智能电力仪表选用多功能电力仪表。仪表运用DSP处理器技术，同时测量、可交替显示三相交流电流、电压值；显示为LCD显示，中文菜单，同时可显示4个参数。具有RS485通讯接口，采用开关电源技术，在交、直流电源65V～330V范围内可靠工作。仪表精度：0.5% 。所有仪表均需联系酒钢计量检定中心检定合格并粘贴合格证。</w:t>
      </w:r>
    </w:p>
    <w:p w14:paraId="683399E3">
      <w:pPr>
        <w:pStyle w:val="46"/>
        <w:spacing w:line="240" w:lineRule="auto"/>
        <w:rPr>
          <w:rFonts w:hint="eastAsia" w:ascii="宋体" w:hAnsi="宋体" w:eastAsia="宋体"/>
          <w:szCs w:val="28"/>
          <w:highlight w:val="none"/>
          <w:lang w:val="en-US" w:eastAsia="zh-CN"/>
        </w:rPr>
      </w:pPr>
      <w:r>
        <w:rPr>
          <w:rFonts w:hint="eastAsia" w:ascii="宋体" w:hAnsi="宋体"/>
          <w:szCs w:val="28"/>
          <w:highlight w:val="none"/>
        </w:rPr>
        <w:t>4.</w:t>
      </w:r>
      <w:r>
        <w:rPr>
          <w:rFonts w:hint="eastAsia" w:ascii="宋体" w:hAnsi="宋体"/>
          <w:szCs w:val="28"/>
          <w:highlight w:val="none"/>
          <w:lang w:val="en-US" w:eastAsia="zh-CN"/>
        </w:rPr>
        <w:t>6</w:t>
      </w:r>
      <w:r>
        <w:rPr>
          <w:rFonts w:hint="eastAsia" w:ascii="宋体" w:hAnsi="宋体"/>
          <w:szCs w:val="28"/>
          <w:highlight w:val="none"/>
        </w:rPr>
        <w:t xml:space="preserve"> 其他</w:t>
      </w:r>
      <w:r>
        <w:rPr>
          <w:rFonts w:hint="eastAsia" w:ascii="宋体" w:hAnsi="宋体"/>
          <w:szCs w:val="28"/>
          <w:highlight w:val="none"/>
          <w:lang w:val="en-US" w:eastAsia="zh-CN"/>
        </w:rPr>
        <w:t>要求</w:t>
      </w:r>
    </w:p>
    <w:p w14:paraId="642ADA1C">
      <w:pPr>
        <w:spacing w:line="560" w:lineRule="exact"/>
        <w:jc w:val="left"/>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6</w:t>
      </w:r>
      <w:r>
        <w:rPr>
          <w:rFonts w:hint="eastAsia" w:ascii="宋体" w:hAnsi="宋体" w:cs="宋体"/>
          <w:sz w:val="28"/>
          <w:szCs w:val="28"/>
          <w:highlight w:val="none"/>
        </w:rPr>
        <w:t>.1 所有配电屏应有一定的机械强度，周边平整无损伤。</w:t>
      </w:r>
    </w:p>
    <w:p w14:paraId="13AEA7AB">
      <w:pPr>
        <w:spacing w:line="560" w:lineRule="exact"/>
        <w:jc w:val="left"/>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6</w:t>
      </w:r>
      <w:r>
        <w:rPr>
          <w:rFonts w:hint="eastAsia" w:ascii="宋体" w:hAnsi="宋体" w:cs="宋体"/>
          <w:sz w:val="28"/>
          <w:szCs w:val="28"/>
          <w:highlight w:val="none"/>
        </w:rPr>
        <w:t>.2 转换开关、小型空气开关、继电器、按钮、接线端子等元器件容量及技术参数应满足技术附件及图纸要求。</w:t>
      </w:r>
    </w:p>
    <w:p w14:paraId="27C71766">
      <w:pPr>
        <w:spacing w:line="560" w:lineRule="exact"/>
        <w:jc w:val="left"/>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6</w:t>
      </w:r>
      <w:r>
        <w:rPr>
          <w:rFonts w:hint="eastAsia" w:ascii="宋体" w:hAnsi="宋体" w:cs="宋体"/>
          <w:sz w:val="28"/>
          <w:szCs w:val="28"/>
          <w:highlight w:val="none"/>
        </w:rPr>
        <w:t>.3.1 柜门与柜体采用黄绿双色软线连接，</w:t>
      </w:r>
      <w:r>
        <w:rPr>
          <w:rFonts w:hint="eastAsia" w:ascii="宋体" w:hAnsi="宋体" w:cs="宋体"/>
          <w:sz w:val="28"/>
          <w:szCs w:val="28"/>
          <w:highlight w:val="none"/>
          <w:lang w:val="en-US" w:eastAsia="zh-CN"/>
        </w:rPr>
        <w:t>配接地标识，</w:t>
      </w:r>
      <w:r>
        <w:rPr>
          <w:rFonts w:hint="eastAsia" w:ascii="宋体" w:hAnsi="宋体" w:cs="宋体"/>
          <w:sz w:val="28"/>
          <w:szCs w:val="28"/>
          <w:highlight w:val="none"/>
        </w:rPr>
        <w:t>端子排应留有不少于15%的备用端子。</w:t>
      </w:r>
    </w:p>
    <w:p w14:paraId="65B60667">
      <w:pPr>
        <w:spacing w:line="560" w:lineRule="exact"/>
        <w:jc w:val="left"/>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6</w:t>
      </w:r>
      <w:r>
        <w:rPr>
          <w:rFonts w:hint="eastAsia" w:ascii="宋体" w:hAnsi="宋体" w:cs="宋体"/>
          <w:sz w:val="28"/>
          <w:szCs w:val="28"/>
          <w:highlight w:val="none"/>
        </w:rPr>
        <w:t>.3.2 断路器到接触器和软启动器原则上100A以下回路一次线采用导线，100A以上回路一次线采用铜母排，用绝缘护套，相位、控制状态、控制方式等要有明显标志。</w:t>
      </w:r>
    </w:p>
    <w:p w14:paraId="458169FC">
      <w:pPr>
        <w:spacing w:line="560" w:lineRule="exact"/>
        <w:jc w:val="left"/>
        <w:rPr>
          <w:rFonts w:hint="default" w:ascii="宋体" w:hAnsi="宋体" w:cs="宋体"/>
          <w:sz w:val="28"/>
          <w:szCs w:val="28"/>
          <w:highlight w:val="none"/>
          <w:lang w:val="en-US"/>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6</w:t>
      </w:r>
      <w:r>
        <w:rPr>
          <w:rFonts w:hint="eastAsia" w:ascii="宋体" w:hAnsi="宋体" w:cs="宋体"/>
          <w:sz w:val="28"/>
          <w:szCs w:val="28"/>
          <w:highlight w:val="none"/>
        </w:rPr>
        <w:t>.3.3 柜列母线应采用铜母线，母线材质为无氧铜，规格见图纸，主母线加工按照国标进行；</w:t>
      </w:r>
      <w:r>
        <w:rPr>
          <w:rFonts w:hint="eastAsia" w:ascii="宋体" w:hAnsi="宋体" w:cs="宋体"/>
          <w:sz w:val="28"/>
          <w:szCs w:val="28"/>
          <w:highlight w:val="none"/>
          <w:lang w:val="en-US" w:eastAsia="zh-CN"/>
        </w:rPr>
        <w:t>不允许一柜一搭接，所有母线均采用</w:t>
      </w:r>
      <w:r>
        <w:rPr>
          <w:rFonts w:hint="eastAsia" w:ascii="宋体" w:hAnsi="宋体" w:cs="宋体"/>
          <w:sz w:val="28"/>
          <w:szCs w:val="28"/>
          <w:highlight w:val="none"/>
        </w:rPr>
        <w:t>A、B、C</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N</w:t>
      </w:r>
      <w:r>
        <w:rPr>
          <w:rFonts w:hint="eastAsia" w:ascii="宋体" w:hAnsi="宋体" w:cs="宋体"/>
          <w:sz w:val="28"/>
          <w:szCs w:val="28"/>
          <w:highlight w:val="none"/>
        </w:rPr>
        <w:t>相分别为黄、绿、红</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蓝</w:t>
      </w:r>
      <w:r>
        <w:rPr>
          <w:rFonts w:hint="eastAsia" w:ascii="宋体" w:hAnsi="宋体" w:cs="宋体"/>
          <w:sz w:val="28"/>
          <w:szCs w:val="28"/>
          <w:highlight w:val="none"/>
        </w:rPr>
        <w:t>色</w:t>
      </w:r>
      <w:r>
        <w:rPr>
          <w:rFonts w:hint="eastAsia" w:ascii="宋体" w:hAnsi="宋体" w:cs="宋体"/>
          <w:sz w:val="28"/>
          <w:szCs w:val="28"/>
          <w:highlight w:val="none"/>
          <w:lang w:val="en-US" w:eastAsia="zh-CN"/>
        </w:rPr>
        <w:t>热缩套管；N、PE排应留有足够的接线孔，满足本柜及外部电缆接线，每个孔洞只允许接一根二次线或电缆。</w:t>
      </w:r>
    </w:p>
    <w:p w14:paraId="64217128">
      <w:pPr>
        <w:spacing w:line="560" w:lineRule="exact"/>
        <w:jc w:val="left"/>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6</w:t>
      </w:r>
      <w:r>
        <w:rPr>
          <w:rFonts w:hint="eastAsia" w:ascii="宋体" w:hAnsi="宋体" w:cs="宋体"/>
          <w:sz w:val="28"/>
          <w:szCs w:val="28"/>
          <w:highlight w:val="none"/>
        </w:rPr>
        <w:t>.3.4 所有柜必须密封严密，防尘，符合相关技术要求。</w:t>
      </w:r>
    </w:p>
    <w:p w14:paraId="00F55A8D">
      <w:pPr>
        <w:spacing w:line="560" w:lineRule="exact"/>
        <w:jc w:val="left"/>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6</w:t>
      </w:r>
      <w:r>
        <w:rPr>
          <w:rFonts w:hint="eastAsia" w:ascii="宋体" w:hAnsi="宋体" w:cs="宋体"/>
          <w:sz w:val="28"/>
          <w:szCs w:val="28"/>
          <w:highlight w:val="none"/>
        </w:rPr>
        <w:t>.3.5 导线、电缆的规格、型号必须符合相关规范要求，有产品合格证。</w:t>
      </w:r>
    </w:p>
    <w:p w14:paraId="3B704FE0">
      <w:pPr>
        <w:spacing w:line="560" w:lineRule="exact"/>
        <w:jc w:val="left"/>
        <w:rPr>
          <w:rFonts w:ascii="宋体" w:hAnsi="宋体" w:cs="宋体"/>
          <w:sz w:val="28"/>
          <w:szCs w:val="28"/>
          <w:highlight w:val="none"/>
        </w:rPr>
      </w:pPr>
      <w:r>
        <w:rPr>
          <w:rFonts w:hint="eastAsia" w:ascii="宋体" w:hAnsi="宋体" w:cs="宋体"/>
          <w:sz w:val="28"/>
          <w:szCs w:val="28"/>
          <w:highlight w:val="none"/>
        </w:rPr>
        <w:t>4.</w:t>
      </w:r>
      <w:r>
        <w:rPr>
          <w:rFonts w:hint="eastAsia" w:ascii="宋体" w:hAnsi="宋体" w:cs="宋体"/>
          <w:sz w:val="28"/>
          <w:szCs w:val="28"/>
          <w:highlight w:val="none"/>
          <w:lang w:val="en-US" w:eastAsia="zh-CN"/>
        </w:rPr>
        <w:t>6</w:t>
      </w:r>
      <w:r>
        <w:rPr>
          <w:rFonts w:hint="eastAsia" w:ascii="宋体" w:hAnsi="宋体" w:cs="宋体"/>
          <w:sz w:val="28"/>
          <w:szCs w:val="28"/>
          <w:highlight w:val="none"/>
        </w:rPr>
        <w:t>.3.6 接地网必须按图纸要求做，并符合国家相关安全标准。</w:t>
      </w:r>
    </w:p>
    <w:p w14:paraId="0F04E92B">
      <w:pPr>
        <w:spacing w:line="560" w:lineRule="exact"/>
        <w:jc w:val="left"/>
        <w:rPr>
          <w:rFonts w:ascii="宋体" w:hAnsi="宋体" w:cs="宋体"/>
          <w:sz w:val="28"/>
          <w:szCs w:val="28"/>
          <w:highlight w:val="none"/>
        </w:rPr>
      </w:pPr>
      <w:r>
        <w:rPr>
          <w:rFonts w:hint="eastAsia" w:ascii="宋体" w:hAnsi="宋体" w:cs="宋体"/>
          <w:sz w:val="28"/>
          <w:szCs w:val="28"/>
          <w:highlight w:val="none"/>
        </w:rPr>
        <w:t>4.7.4.1 配电柜电气特性要求：</w:t>
      </w:r>
    </w:p>
    <w:p w14:paraId="033A84C9">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lang w:val="de-DE"/>
        </w:rPr>
        <w:t>柜体前后按照规则双重编号。</w:t>
      </w:r>
      <w:r>
        <w:rPr>
          <w:rFonts w:hint="eastAsia" w:ascii="宋体" w:hAnsi="宋体" w:cs="宋体"/>
          <w:sz w:val="28"/>
          <w:szCs w:val="28"/>
          <w:highlight w:val="none"/>
        </w:rPr>
        <w:t>配电柜电气特性应满足如下要求：①在单线图和数据表中应给出低压配电柜和电动机控制柜的电气额定值，即电压、电流等。此额定值为在自然通风条件下装于柜体内设备的额定值。设备的额定值应充分考虑柜体内的热源影响，温升值应控制在规定的值内。② 主接线方式为单母线分段或单母线，应适于规定的TN-S系统要求。③所有电气元件应能承受可能通过的负荷电流和短路电流，使各级保护间的配合具有良好的选择性；所有机械构件能承受冲击短路电流的影响。</w:t>
      </w:r>
    </w:p>
    <w:p w14:paraId="0218991A">
      <w:pPr>
        <w:spacing w:line="560" w:lineRule="exact"/>
        <w:jc w:val="left"/>
        <w:rPr>
          <w:rFonts w:ascii="宋体" w:hAnsi="宋体" w:cs="宋体"/>
          <w:sz w:val="28"/>
          <w:szCs w:val="28"/>
          <w:highlight w:val="none"/>
        </w:rPr>
      </w:pPr>
      <w:r>
        <w:rPr>
          <w:rFonts w:hint="eastAsia" w:ascii="宋体" w:hAnsi="宋体" w:cs="宋体"/>
          <w:sz w:val="28"/>
          <w:szCs w:val="28"/>
          <w:highlight w:val="none"/>
        </w:rPr>
        <w:t>4.7.4.2 配电柜结构</w:t>
      </w:r>
    </w:p>
    <w:p w14:paraId="3B655211">
      <w:pPr>
        <w:spacing w:line="560" w:lineRule="exact"/>
        <w:ind w:firstLine="480"/>
        <w:jc w:val="left"/>
        <w:rPr>
          <w:rFonts w:ascii="宋体" w:hAnsi="宋体" w:cs="宋体"/>
          <w:sz w:val="28"/>
          <w:szCs w:val="28"/>
          <w:highlight w:val="none"/>
        </w:rPr>
      </w:pPr>
      <w:bookmarkStart w:id="15" w:name="_Toc11976"/>
      <w:r>
        <w:rPr>
          <w:rFonts w:hint="eastAsia" w:ascii="宋体" w:hAnsi="宋体" w:cs="宋体"/>
          <w:sz w:val="28"/>
          <w:szCs w:val="28"/>
          <w:highlight w:val="none"/>
        </w:rPr>
        <w:t>低压配电屏组件为落地安装的金属封闭型、直立式结构，低压配电屏外形应平整美观，构架零件及专用配套零件由型钢定点生产厂配套供货以保证柜体的精度和质量，零部件按模块原理设计并有</w:t>
      </w:r>
      <w:r>
        <w:rPr>
          <w:rFonts w:ascii="宋体" w:hAnsi="宋体" w:cs="宋体"/>
          <w:sz w:val="28"/>
          <w:szCs w:val="28"/>
          <w:highlight w:val="none"/>
        </w:rPr>
        <w:t>20㎜模数的安装孔，通用系数高。门的开启角度在组列安装时应大于</w:t>
      </w:r>
      <w:r>
        <w:rPr>
          <w:rFonts w:hint="eastAsia" w:ascii="宋体" w:hAnsi="宋体" w:cs="宋体"/>
          <w:sz w:val="28"/>
          <w:szCs w:val="28"/>
          <w:highlight w:val="none"/>
        </w:rPr>
        <w:t>110</w:t>
      </w:r>
      <w:r>
        <w:rPr>
          <w:rFonts w:ascii="宋体" w:hAnsi="宋体" w:cs="宋体"/>
          <w:sz w:val="28"/>
          <w:szCs w:val="28"/>
          <w:highlight w:val="none"/>
        </w:rPr>
        <w:t>°</w:t>
      </w:r>
      <w:r>
        <w:rPr>
          <w:rFonts w:hint="eastAsia" w:ascii="宋体" w:hAnsi="宋体" w:cs="宋体"/>
          <w:sz w:val="28"/>
          <w:szCs w:val="28"/>
          <w:highlight w:val="none"/>
        </w:rPr>
        <w:t>；柜架和面板应有足够机械强度和钢度，应能承受所安装元件及短路时所产生的机械应力和热应力，并应考虑防止构成足以引起较大涡流损耗的磁性通路，不能因设备的吊装、运输等情况而影响设备的性能。柜体的顶盖在需要时可拆卸，便于现场主母线的装配和调整，柜顶的四角装有吊环，用于起吊和装运；</w:t>
      </w:r>
      <w:bookmarkEnd w:id="15"/>
    </w:p>
    <w:p w14:paraId="1885AF89">
      <w:pPr>
        <w:spacing w:line="560" w:lineRule="exact"/>
        <w:ind w:firstLine="480"/>
        <w:jc w:val="left"/>
        <w:rPr>
          <w:rFonts w:ascii="宋体" w:hAnsi="宋体" w:cs="宋体"/>
          <w:sz w:val="28"/>
          <w:szCs w:val="28"/>
          <w:highlight w:val="none"/>
        </w:rPr>
      </w:pPr>
      <w:bookmarkStart w:id="16" w:name="_Toc28003"/>
      <w:r>
        <w:rPr>
          <w:rFonts w:hint="eastAsia" w:ascii="宋体" w:hAnsi="宋体" w:cs="宋体"/>
          <w:sz w:val="28"/>
          <w:szCs w:val="28"/>
          <w:highlight w:val="none"/>
        </w:rPr>
        <w:t>低压配电柜一般为自然通风式，采用通风孔散热时，通风孔设计和安装应使得当熔断器、断路器在正常工作或短路情况时没有电弧或可溶金属喷出，通风孔设置不应降低设备的外壳防护等级。仪表门用多股软铜线与构架相连，整个柜架构成完整的接地保护电路；开关柜内各备用单元按照配电系统设计要求，完全配备有规定功能和额定值的元件及设备。电动机控制柜应与开关柜具有相同的高度及深度，以便于并排安装。设备的布置应方便操作，在任何情况下不应妨碍良好的运行性能，柜内空间应满足电缆接线、检修要求。开关柜端部结构、母线的布置，应考虑便于扩建。</w:t>
      </w:r>
      <w:bookmarkEnd w:id="16"/>
    </w:p>
    <w:p w14:paraId="15694313">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 xml:space="preserve">4.7.4.3 进、出线方式                                              </w:t>
      </w:r>
    </w:p>
    <w:p w14:paraId="57027ABC">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进线回路为电缆下进线；出线方式采用电缆下出线。电缆室应考虑截面为240mm2的大电缆的弯曲半径；柜内电缆室设安装支架便于电缆的固定，配电柜底部带密封板，电缆进线孔有防火密封措施。</w:t>
      </w:r>
    </w:p>
    <w:p w14:paraId="5A181FAC">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4.7.4.4 柜内接线</w:t>
      </w:r>
    </w:p>
    <w:p w14:paraId="23630196">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 xml:space="preserve"> 柜内主回路电缆截面应不小于</w:t>
      </w:r>
      <w:r>
        <w:rPr>
          <w:rFonts w:ascii="宋体" w:hAnsi="宋体" w:cs="宋体"/>
          <w:sz w:val="28"/>
          <w:szCs w:val="28"/>
          <w:highlight w:val="none"/>
        </w:rPr>
        <w:t>4mm2，额定耐压为</w:t>
      </w:r>
      <w:r>
        <w:rPr>
          <w:rFonts w:hint="eastAsia" w:ascii="宋体" w:hAnsi="宋体" w:cs="宋体"/>
          <w:sz w:val="28"/>
          <w:szCs w:val="28"/>
          <w:highlight w:val="none"/>
        </w:rPr>
        <w:t>750</w:t>
      </w:r>
      <w:r>
        <w:rPr>
          <w:rFonts w:ascii="宋体" w:hAnsi="宋体" w:cs="宋体"/>
          <w:sz w:val="28"/>
          <w:szCs w:val="28"/>
          <w:highlight w:val="none"/>
        </w:rPr>
        <w:t xml:space="preserve">V，并具有耐热、防潮、阻燃性能。要求有挠性的地方，应采用多股铜导线。多股铜绞线应有铜接线鼻子，相同线号的导线必须全部标以编号。导线不允许有中间接头。 </w:t>
      </w:r>
      <w:r>
        <w:rPr>
          <w:rFonts w:hint="eastAsia" w:ascii="宋体" w:hAnsi="宋体" w:cs="宋体"/>
          <w:sz w:val="28"/>
          <w:szCs w:val="28"/>
          <w:highlight w:val="none"/>
        </w:rPr>
        <w:t>控制回路与母线间应有适当的间距，电缆截面应不小</w:t>
      </w:r>
      <w:r>
        <w:rPr>
          <w:rFonts w:ascii="宋体" w:hAnsi="宋体" w:cs="宋体"/>
          <w:sz w:val="28"/>
          <w:szCs w:val="28"/>
          <w:highlight w:val="none"/>
        </w:rPr>
        <w:t>1.5mm2，绝缘电压不小于500V，导线任何的连接部分不能焊接；所有电线应绑扎固定，并在线束的两端使用导线标识牌；各馈线回路电流互感器的窗口直径应使电缆能方便地穿过；除互感器连接线采用软线连接外，其余控制线均采用</w:t>
      </w:r>
      <w:r>
        <w:rPr>
          <w:rFonts w:hint="eastAsia" w:ascii="宋体" w:hAnsi="宋体" w:cs="宋体"/>
          <w:sz w:val="28"/>
          <w:szCs w:val="28"/>
          <w:highlight w:val="none"/>
        </w:rPr>
        <w:t>多股软铜导线</w:t>
      </w:r>
      <w:r>
        <w:rPr>
          <w:rFonts w:ascii="宋体" w:hAnsi="宋体" w:cs="宋体"/>
          <w:sz w:val="28"/>
          <w:szCs w:val="28"/>
          <w:highlight w:val="none"/>
        </w:rPr>
        <w:t xml:space="preserve">；布线应没有磨损和刀痕，并应有足够的弯曲半径。 </w:t>
      </w:r>
      <w:r>
        <w:rPr>
          <w:rFonts w:hint="eastAsia" w:ascii="宋体" w:hAnsi="宋体" w:cs="宋体"/>
          <w:sz w:val="28"/>
          <w:szCs w:val="28"/>
          <w:highlight w:val="none"/>
        </w:rPr>
        <w:t>对外引接电缆均应通过端子排，每排端子排应留有不少于</w:t>
      </w:r>
      <w:r>
        <w:rPr>
          <w:rFonts w:ascii="宋体" w:hAnsi="宋体" w:cs="宋体"/>
          <w:sz w:val="28"/>
          <w:szCs w:val="28"/>
          <w:highlight w:val="none"/>
        </w:rPr>
        <w:t>15%的备用端子；导线两端均要标以编号，端子应能可靠地连接单根导线；各电力回路设备的接线端子，其尺寸及接触面应能保证与其相应的电缆连接头（线鼻子）可靠而方便地安装和连接，并满足带电距离要求。端子排端子的选取应比导线截面高一个等级（如1.5mm2导线选取的端子应能满足2.5 mm2及以上接线要求）</w:t>
      </w:r>
      <w:r>
        <w:rPr>
          <w:rFonts w:hint="eastAsia" w:ascii="宋体" w:hAnsi="宋体" w:cs="宋体"/>
          <w:sz w:val="28"/>
          <w:szCs w:val="28"/>
          <w:highlight w:val="none"/>
        </w:rPr>
        <w:t>。</w:t>
      </w:r>
    </w:p>
    <w:p w14:paraId="7CCFA7C5">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4.7.4.5 防腐</w:t>
      </w:r>
    </w:p>
    <w:p w14:paraId="5CC98B9A">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 xml:space="preserve"> 所有金属部分应根据制造厂的防腐标准和指定的环境条件进行防腐处理。开关柜的外表面涂漆要求遵守《规格化建设标准》，表面涂层厚度60-80</w:t>
      </w:r>
      <w:r>
        <w:rPr>
          <w:rFonts w:ascii="宋体" w:hAnsi="宋体" w:cs="宋体"/>
          <w:sz w:val="28"/>
          <w:szCs w:val="28"/>
          <w:highlight w:val="none"/>
        </w:rPr>
        <w:t>微米</w:t>
      </w:r>
      <w:r>
        <w:rPr>
          <w:rFonts w:hint="eastAsia" w:ascii="宋体" w:hAnsi="宋体" w:cs="宋体"/>
          <w:sz w:val="28"/>
          <w:szCs w:val="28"/>
          <w:highlight w:val="none"/>
        </w:rPr>
        <w:t>；柜体颜色为RAL7035（参照GSB05-1426-2001漆膜颜色标准样卡，全国涂料和颜色标准化技术委员会研制发行）工艺为亚光热喷粉，并留有一定的喷粉，并负责在现场安装调试后屏柜颜色的修补。柜体面漆选用静电环氧粉末喷涂，附着力强，质感好，呈哑光色调，避免了眩目效应。</w:t>
      </w:r>
    </w:p>
    <w:p w14:paraId="40610C99">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4.7.4.6 铭牌及标志</w:t>
      </w:r>
    </w:p>
    <w:p w14:paraId="0E457AAF">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（1）低压配电柜应有坚固、耐久、清晰的铭牌，采用银光拉丝专用标签打印粘贴，字体为黑色中宋加粗。规格为长*宽</w:t>
      </w:r>
      <w:r>
        <w:rPr>
          <w:rFonts w:ascii="宋体" w:hAnsi="宋体" w:cs="宋体"/>
          <w:sz w:val="28"/>
          <w:szCs w:val="28"/>
          <w:highlight w:val="none"/>
        </w:rPr>
        <w:t>=</w:t>
      </w:r>
      <w:r>
        <w:rPr>
          <w:rFonts w:hint="eastAsia" w:ascii="宋体" w:hAnsi="宋体" w:cs="宋体"/>
          <w:sz w:val="28"/>
          <w:szCs w:val="28"/>
          <w:highlight w:val="none"/>
        </w:rPr>
        <w:t>140*70</w:t>
      </w:r>
      <w:r>
        <w:rPr>
          <w:rFonts w:ascii="宋体" w:hAnsi="宋体" w:cs="宋体"/>
          <w:sz w:val="28"/>
          <w:szCs w:val="28"/>
          <w:highlight w:val="none"/>
        </w:rPr>
        <w:t>（尺寸为mm×mm）每个回路用电负荷名称、编号应在双色板标牌上标出，</w:t>
      </w:r>
      <w:r>
        <w:rPr>
          <w:rFonts w:hint="eastAsia" w:ascii="宋体" w:hAnsi="宋体" w:cs="宋体"/>
          <w:sz w:val="28"/>
          <w:szCs w:val="28"/>
          <w:highlight w:val="none"/>
        </w:rPr>
        <w:t>标牌内容应与单线图和图纸一致。</w:t>
      </w:r>
    </w:p>
    <w:p w14:paraId="5BA99CE7">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2）安装在柜内的每个设备、每根导线、每块端子板及每个指示和操作元件应用永久连接的标牌标记，所有文字符号应与甲方确认的图纸上的文字符号一致。柜眉中央为配电柜编号和名称（柜前、柜后两面均要有配电柜编号和名称），顺序与设计图纸保持一致。低压配电柜编号命名原则：按照图纸编号。元器件编号应该柜号的基础上增加回路编号。</w:t>
      </w:r>
    </w:p>
    <w:p w14:paraId="1C7AC10C">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材质：黄标签</w:t>
      </w:r>
    </w:p>
    <w:p w14:paraId="07C5AAC3">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颜色及要求：白底黑字</w:t>
      </w:r>
    </w:p>
    <w:p w14:paraId="7B51C70C">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贴纸大小：柜眉长×柜眉宽 </w:t>
      </w:r>
    </w:p>
    <w:p w14:paraId="5BF18449">
      <w:pPr>
        <w:spacing w:line="560" w:lineRule="exact"/>
        <w:ind w:firstLine="480"/>
        <w:jc w:val="left"/>
        <w:rPr>
          <w:rFonts w:ascii="宋体" w:hAnsi="宋体" w:cs="宋体"/>
          <w:sz w:val="28"/>
          <w:szCs w:val="28"/>
          <w:highlight w:val="none"/>
        </w:rPr>
      </w:pPr>
      <w:r>
        <w:rPr>
          <w:rFonts w:hint="eastAsia" w:ascii="宋体" w:hAnsi="宋体" w:cs="宋体"/>
          <w:sz w:val="28"/>
          <w:szCs w:val="28"/>
          <w:highlight w:val="none"/>
        </w:rPr>
        <w:t>铭牌内容应符合要求，内容如下⑴制造商或商标；⑵型号或标志号，或其他标记。</w:t>
      </w:r>
      <w:bookmarkEnd w:id="8"/>
      <w:bookmarkEnd w:id="9"/>
      <w:bookmarkEnd w:id="10"/>
      <w:bookmarkStart w:id="17" w:name="_Toc291431010"/>
    </w:p>
    <w:p w14:paraId="0A6C5980">
      <w:pPr>
        <w:widowControl/>
        <w:numPr>
          <w:ilvl w:val="5"/>
          <w:numId w:val="0"/>
        </w:numPr>
        <w:outlineLvl w:val="0"/>
        <w:rPr>
          <w:rFonts w:ascii="宋体" w:hAnsi="宋体" w:cs="宋体"/>
          <w:b/>
          <w:bCs/>
          <w:sz w:val="28"/>
          <w:szCs w:val="28"/>
          <w:highlight w:val="none"/>
        </w:rPr>
      </w:pPr>
      <w:bookmarkStart w:id="18" w:name="_Toc20929"/>
      <w:bookmarkStart w:id="19" w:name="_Toc1748"/>
      <w:r>
        <w:rPr>
          <w:rFonts w:hint="eastAsia" w:ascii="宋体" w:hAnsi="宋体" w:cs="宋体"/>
          <w:b/>
          <w:bCs/>
          <w:sz w:val="28"/>
          <w:szCs w:val="28"/>
          <w:highlight w:val="none"/>
        </w:rPr>
        <w:t>5. 设备监造、检验、组装试运转及验收</w:t>
      </w:r>
      <w:bookmarkEnd w:id="18"/>
      <w:bookmarkEnd w:id="19"/>
    </w:p>
    <w:p w14:paraId="0BBACA48">
      <w:pPr>
        <w:spacing w:line="560" w:lineRule="exact"/>
        <w:ind w:firstLine="560" w:firstLineChars="200"/>
        <w:outlineLvl w:val="1"/>
        <w:rPr>
          <w:rFonts w:ascii="宋体" w:hAnsi="宋体" w:cs="宋体"/>
          <w:sz w:val="28"/>
          <w:szCs w:val="28"/>
          <w:highlight w:val="none"/>
        </w:rPr>
      </w:pPr>
      <w:r>
        <w:rPr>
          <w:rFonts w:hint="eastAsia" w:ascii="宋体" w:hAnsi="宋体" w:cs="宋体"/>
          <w:sz w:val="28"/>
          <w:szCs w:val="28"/>
          <w:highlight w:val="none"/>
        </w:rPr>
        <w:t>5.1 监造计划</w:t>
      </w:r>
    </w:p>
    <w:p w14:paraId="5490BF27">
      <w:pPr>
        <w:pStyle w:val="52"/>
        <w:numPr>
          <w:ilvl w:val="0"/>
          <w:numId w:val="0"/>
        </w:numPr>
        <w:spacing w:line="560" w:lineRule="exact"/>
        <w:ind w:firstLine="560" w:firstLineChars="200"/>
        <w:rPr>
          <w:rFonts w:ascii="宋体" w:hAnsi="宋体" w:eastAsia="宋体" w:cs="宋体"/>
          <w:kern w:val="2"/>
          <w:sz w:val="28"/>
          <w:szCs w:val="28"/>
          <w:highlight w:val="none"/>
        </w:rPr>
      </w:pPr>
      <w:r>
        <w:rPr>
          <w:rFonts w:hint="eastAsia" w:ascii="宋体" w:hAnsi="宋体" w:eastAsia="宋体" w:cs="宋体"/>
          <w:kern w:val="2"/>
          <w:sz w:val="28"/>
          <w:szCs w:val="28"/>
          <w:highlight w:val="none"/>
        </w:rPr>
        <w:t>5.1.1 本计划用于合同执行期间对乙方提供的设备(包括对外分包的外购设备)进行检验、监造和验收，确保供方所提供的设备符合本技术规格书的要求。甲方在适当的时候，派出具有一定技术水平和经验且责任心强的工程技术人员，按照国家有关规定和行业标准进行设备监造、出厂前检验、试验。</w:t>
      </w:r>
    </w:p>
    <w:p w14:paraId="1F9E347E">
      <w:pPr>
        <w:pStyle w:val="52"/>
        <w:numPr>
          <w:ilvl w:val="0"/>
          <w:numId w:val="0"/>
        </w:numPr>
        <w:spacing w:line="560" w:lineRule="exact"/>
        <w:ind w:firstLine="560" w:firstLineChars="200"/>
        <w:outlineLvl w:val="2"/>
        <w:rPr>
          <w:rFonts w:ascii="宋体" w:hAnsi="宋体" w:eastAsia="宋体" w:cs="宋体"/>
          <w:sz w:val="28"/>
          <w:szCs w:val="28"/>
          <w:highlight w:val="none"/>
        </w:rPr>
      </w:pPr>
      <w:r>
        <w:rPr>
          <w:rFonts w:hint="eastAsia" w:ascii="宋体" w:hAnsi="宋体" w:eastAsia="宋体" w:cs="宋体"/>
          <w:kern w:val="2"/>
          <w:sz w:val="28"/>
          <w:szCs w:val="28"/>
          <w:highlight w:val="none"/>
        </w:rPr>
        <w:t xml:space="preserve">5.1.2 </w:t>
      </w:r>
      <w:r>
        <w:rPr>
          <w:rFonts w:hint="eastAsia" w:ascii="宋体" w:hAnsi="宋体" w:eastAsia="宋体" w:cs="宋体"/>
          <w:sz w:val="28"/>
          <w:szCs w:val="28"/>
          <w:highlight w:val="none"/>
        </w:rPr>
        <w:t>监造方式</w:t>
      </w:r>
    </w:p>
    <w:p w14:paraId="7148BFEB">
      <w:pPr>
        <w:pStyle w:val="52"/>
        <w:numPr>
          <w:ilvl w:val="0"/>
          <w:numId w:val="0"/>
        </w:numPr>
        <w:spacing w:line="560" w:lineRule="exact"/>
        <w:ind w:firstLine="560" w:firstLineChars="200"/>
        <w:rPr>
          <w:rFonts w:ascii="宋体" w:hAnsi="宋体" w:eastAsia="宋体" w:cs="宋体"/>
          <w:kern w:val="2"/>
          <w:sz w:val="28"/>
          <w:szCs w:val="28"/>
          <w:highlight w:val="none"/>
        </w:rPr>
      </w:pPr>
      <w:r>
        <w:rPr>
          <w:rFonts w:hint="eastAsia" w:ascii="宋体" w:hAnsi="宋体" w:eastAsia="宋体" w:cs="宋体"/>
          <w:kern w:val="2"/>
          <w:sz w:val="28"/>
          <w:szCs w:val="28"/>
          <w:highlight w:val="none"/>
        </w:rPr>
        <w:t>文件见证和现场见证，每次监造内容完成后，供方和需方监造代表须在见证表上履行签字手续，原件甲、乙双方各执一份。</w:t>
      </w:r>
    </w:p>
    <w:p w14:paraId="66F16C41">
      <w:pPr>
        <w:adjustRightInd w:val="0"/>
        <w:snapToGrid w:val="0"/>
        <w:spacing w:line="560" w:lineRule="exact"/>
        <w:ind w:firstLine="560" w:firstLineChars="200"/>
        <w:rPr>
          <w:rFonts w:ascii="宋体" w:hAnsi="宋体" w:cs="宋体"/>
          <w:bCs/>
          <w:sz w:val="28"/>
          <w:szCs w:val="28"/>
          <w:highlight w:val="none"/>
        </w:rPr>
      </w:pPr>
      <w:r>
        <w:rPr>
          <w:rFonts w:hint="eastAsia" w:ascii="宋体" w:hAnsi="宋体" w:cs="宋体"/>
          <w:sz w:val="28"/>
          <w:szCs w:val="28"/>
          <w:highlight w:val="none"/>
        </w:rPr>
        <w:t>5.1.3 乙方需向甲方参加监造、检验、试运转人员提供必要的工具和工作条件。</w:t>
      </w:r>
    </w:p>
    <w:p w14:paraId="0197C343">
      <w:pPr>
        <w:adjustRightInd w:val="0"/>
        <w:snapToGrid w:val="0"/>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rPr>
        <w:t>5.1.4 具体监造内容由甲方根据实际情况确定。</w:t>
      </w:r>
    </w:p>
    <w:p w14:paraId="340B0FAC">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5.2 性能验收试验：</w:t>
      </w:r>
    </w:p>
    <w:p w14:paraId="3322BF5A">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5.2.1 性能验收试验的目的为了检验合同设备的所有性能是否符合要求。</w:t>
      </w:r>
    </w:p>
    <w:p w14:paraId="47B4A049">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5.2.2 性能验收试验的地点由合同确定，一般为甲方现场。</w:t>
      </w:r>
    </w:p>
    <w:p w14:paraId="483E22DA">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5.2.3 性能试验的时间：由甲乙双方协商确定。</w:t>
      </w:r>
    </w:p>
    <w:p w14:paraId="54CB633F">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5.2.4 性能验收试验由甲方主持，乙方参加。试验大纲由甲方提供，与乙方讨论后确定。如试验在现场进行，乙方按本章要求进行配合；如试验在工厂进行，试验所需的人力和物力等由乙方提供。</w:t>
      </w:r>
    </w:p>
    <w:p w14:paraId="06885566">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 试验：</w:t>
      </w:r>
    </w:p>
    <w:p w14:paraId="08D095B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试验满足国家以及机械部、电力部颁布的有关标准，且试验不小于下列项目：</w:t>
      </w:r>
    </w:p>
    <w:p w14:paraId="3D183D3B">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 试验项目：</w:t>
      </w:r>
    </w:p>
    <w:p w14:paraId="5725E40A">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5.3.1.1 结构检查及外观检验；</w:t>
      </w:r>
    </w:p>
    <w:p w14:paraId="6717B7A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5.3.1.2 机械试验；</w:t>
      </w:r>
    </w:p>
    <w:p w14:paraId="2DF7FE69">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5.3.1.3 绝缘试验；</w:t>
      </w:r>
    </w:p>
    <w:p w14:paraId="7C72257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5.3.1.4 动热稳定试验；</w:t>
      </w:r>
    </w:p>
    <w:p w14:paraId="090E9C6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5.3.1.5 断路器开断、关合能力试验；</w:t>
      </w:r>
    </w:p>
    <w:p w14:paraId="3C48E94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5.3.1.6 断路器失步开断、关合试验；</w:t>
      </w:r>
    </w:p>
    <w:p w14:paraId="6ED186B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5.3.1.7 熔断器开断能力试验；</w:t>
      </w:r>
    </w:p>
    <w:p w14:paraId="65AB8897">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5.3.1.8 配电屏正常运行温升试验；</w:t>
      </w:r>
    </w:p>
    <w:p w14:paraId="2B4F6FC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5.3.1.9 密封防雨试验；</w:t>
      </w:r>
    </w:p>
    <w:p w14:paraId="690C5914">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5.3.1.10 操作特性试验；</w:t>
      </w:r>
    </w:p>
    <w:p w14:paraId="0B0C42E3">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5.3.1.11 断路器主回路电阻；</w:t>
      </w:r>
    </w:p>
    <w:p w14:paraId="73A8944A">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5.3.1.12二次回路工频耐压试验；全工况绝缘验证试验；</w:t>
      </w:r>
    </w:p>
    <w:p w14:paraId="29E2E03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5.3.1.13 工厂规定的其它试验。</w:t>
      </w:r>
    </w:p>
    <w:p w14:paraId="75EFAA6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5.3.2 出厂试验项目为5.3.1条中5.3.1.1、5.3.1.2、5.3.1.3、5.3.1.10、5.3.1.11、5.3.1.12、5.3.1.13项。</w:t>
      </w:r>
    </w:p>
    <w:p w14:paraId="04FB7600">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5.3.3 现场试验项目为5.3.1.1、5.3.1.3、5.3.1.10、5.3.1.12项。</w:t>
      </w:r>
    </w:p>
    <w:p w14:paraId="5207AAE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5.3.4 试验要求：</w:t>
      </w:r>
    </w:p>
    <w:p w14:paraId="6E07DE23">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5.3.4.1 结构检查及外观检查</w:t>
      </w:r>
    </w:p>
    <w:p w14:paraId="06FC252C">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产品及其全部零件符合正式产品图纸和技术要求。零部件装配正确、完整、无生锈、腐蚀和涂漆层剥落现象。带电体相间及对地距离符合制造标准规定值。相同回路的小车应有良好的互换性。</w:t>
      </w:r>
    </w:p>
    <w:p w14:paraId="1C1E4DC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5.3.4.2 机械试验及操作特性试验按有关规定进行，并满足要求。</w:t>
      </w:r>
    </w:p>
    <w:p w14:paraId="02A7388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5.3.4.3 绝缘试验按有关规定进行。</w:t>
      </w:r>
    </w:p>
    <w:p w14:paraId="43FE920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5.3.4.4 断路器主回路电阻试验按GB763进行，并符合产品技术条件规定。</w:t>
      </w:r>
    </w:p>
    <w:p w14:paraId="60983693">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5.3.4.5 其余各项试验均应按有关规定进行，并应符合要求。</w:t>
      </w:r>
    </w:p>
    <w:p w14:paraId="42A39FF4">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5.4 设备生产工艺过程，质量控制点、检测试验项目及监造项目清单。</w:t>
      </w:r>
    </w:p>
    <w:p w14:paraId="385BB330">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5.4.1 工艺过程检验项目：</w:t>
      </w:r>
    </w:p>
    <w:p w14:paraId="7AC709A4">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5.4.1.1进货（入库前）检验</w:t>
      </w:r>
    </w:p>
    <w:p w14:paraId="56D5792F">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电气元器件检验入库；</w:t>
      </w:r>
    </w:p>
    <w:p w14:paraId="134FC4E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原材料、外购、外协件入库验收</w:t>
      </w:r>
    </w:p>
    <w:p w14:paraId="272C7EF2">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5.4.1.2 半成品工序检验</w:t>
      </w:r>
    </w:p>
    <w:p w14:paraId="2AE46F0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零部件加工工序检验（首件检、巡回检、完工检）</w:t>
      </w:r>
    </w:p>
    <w:p w14:paraId="39F99D2B">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喷涂检验（首件检、巡回检、完工检）</w:t>
      </w:r>
    </w:p>
    <w:p w14:paraId="246A50D0">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装配检验（首件检、巡回检、完工检）</w:t>
      </w:r>
    </w:p>
    <w:p w14:paraId="1707746F">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5.4.1.3 成品检验（按出厂检验报告项目逐项检查）</w:t>
      </w:r>
    </w:p>
    <w:p w14:paraId="5F770B0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5.4.1.4 包装检验后合格品准予出厂</w:t>
      </w:r>
    </w:p>
    <w:p w14:paraId="03EB197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5.4.2 出厂试验项目：</w:t>
      </w:r>
    </w:p>
    <w:p w14:paraId="589415E2">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一般检查</w:t>
      </w:r>
    </w:p>
    <w:p w14:paraId="63FCCCC6">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测量电气间隙和爬电距离</w:t>
      </w:r>
    </w:p>
    <w:p w14:paraId="3D6A327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通电操作试验，按每一个回路操作5次</w:t>
      </w:r>
    </w:p>
    <w:p w14:paraId="51801C67">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绝缘电阻测试</w:t>
      </w:r>
    </w:p>
    <w:p w14:paraId="4F4C188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介电强度试验</w:t>
      </w:r>
    </w:p>
    <w:p w14:paraId="625A6C43">
      <w:pPr>
        <w:spacing w:line="560" w:lineRule="exact"/>
        <w:ind w:firstLine="560" w:firstLineChars="200"/>
        <w:rPr>
          <w:rFonts w:ascii="宋体" w:hAnsi="宋体" w:cs="宋体"/>
          <w:sz w:val="28"/>
          <w:szCs w:val="28"/>
          <w:highlight w:val="none"/>
        </w:rPr>
      </w:pPr>
      <w:r>
        <w:rPr>
          <w:rFonts w:hint="eastAsia" w:ascii="宋体" w:hAnsi="宋体" w:cs="宋体"/>
          <w:bCs/>
          <w:sz w:val="28"/>
          <w:szCs w:val="28"/>
          <w:highlight w:val="none"/>
        </w:rPr>
        <w:t>保护电路连续性试验</w:t>
      </w:r>
    </w:p>
    <w:p w14:paraId="1ACCC551">
      <w:pPr>
        <w:spacing w:line="560" w:lineRule="exact"/>
        <w:ind w:firstLine="560" w:firstLineChars="200"/>
        <w:outlineLvl w:val="1"/>
        <w:rPr>
          <w:rFonts w:ascii="宋体" w:hAnsi="宋体" w:cs="宋体"/>
          <w:sz w:val="28"/>
          <w:szCs w:val="28"/>
          <w:highlight w:val="none"/>
        </w:rPr>
      </w:pPr>
      <w:r>
        <w:rPr>
          <w:rFonts w:hint="eastAsia" w:ascii="宋体" w:hAnsi="宋体" w:cs="宋体"/>
          <w:sz w:val="28"/>
          <w:szCs w:val="28"/>
          <w:highlight w:val="none"/>
        </w:rPr>
        <w:t>5.5 组装、试运转及验收</w:t>
      </w:r>
    </w:p>
    <w:p w14:paraId="269E67D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5.5.1 出厂检验前应邀请业主方及甲方代表参加，并对整机及其它业主方和甲方认为必要的部件进行试装、试运行，甲方对试运行的见证并不代表可以免除乙方的设备在现场发生事故的责任。</w:t>
      </w:r>
    </w:p>
    <w:p w14:paraId="0B85E6FA">
      <w:pPr>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rPr>
        <w:t>5.5.2 整机性能检验、整机的验收工作在设备使用现场进行。</w:t>
      </w:r>
    </w:p>
    <w:p w14:paraId="23750C96">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5.5.3 各项检验、验收工作，由乙方向甲方提交检验或验收报告。某项检验、验收不能满足标准、规范及性能要求时，乙方应自费自行调整、修改和补充。</w:t>
      </w:r>
    </w:p>
    <w:p w14:paraId="6BD1A14C">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5.5.4 甲方检验人员在供方设备制造厂期间，其对设备的任何检验和了解，均不能代替设备运抵甲方后，甲方所进行的检验和验收工作，也不能免除甲方对合同所规定承担的一切保证责任和义务。</w:t>
      </w:r>
    </w:p>
    <w:p w14:paraId="56F584CC">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5.5.5 在无载荷/有载荷测试条件下，主要设备功能和技术性能应满足设备操作和性能保证的要求。同时要保证功能的可靠性和预定条件下的使用寿命。</w:t>
      </w:r>
    </w:p>
    <w:p w14:paraId="601F5B59">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5.5.6 设备能力、保证值测试应在重载试车期间集中连续进行并全部实现甲方提出的各项功能和指标要求，否则甲方有权拒绝验收，并按照商务合同的有关条款对乙方进行违约索赔。</w:t>
      </w:r>
    </w:p>
    <w:p w14:paraId="23A6B80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5.5.7 乙方必须提供各种设备的技术说明、验收方法及程序，经甲、乙双方修改确认后，作为最终验收检测的依据。</w:t>
      </w:r>
    </w:p>
    <w:p w14:paraId="164030BA">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5.3.8 在所有测试、考核结束后，乙方提供测试报告。该测试报告经需方确认并鉴字后有效，它将作为竣工验收的依据存档。</w:t>
      </w:r>
    </w:p>
    <w:p w14:paraId="2BD96E6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5.3.9 设备质保期为交工验收合格后12个月。质保期内如因设备本身制造引起的质量问题，发生的费用由乙方承担。</w:t>
      </w:r>
    </w:p>
    <w:p w14:paraId="1920551A">
      <w:pPr>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rPr>
        <w:t>5.3.10 安装调试过程中损坏和失效的备件，由乙方提供。</w:t>
      </w:r>
    </w:p>
    <w:p w14:paraId="548E24F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5.3.11 乙方应根据所提供设备的特性，提出检验项目、检验方法、检验手段以及检验标准等。</w:t>
      </w:r>
    </w:p>
    <w:p w14:paraId="199D5302">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5.3.12 乙方对产品的质量负全部责任，出厂预验收不能代替最终的验收，仅作为最终验收的一项依据。其余部件乙方应在标书中说明其质量检验的相关标准。</w:t>
      </w:r>
    </w:p>
    <w:p w14:paraId="2DB124E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5.3.13 投产运行后产品出现质量问题，乙方接到通知后应在24小时内赶到现场解决。</w:t>
      </w:r>
    </w:p>
    <w:p w14:paraId="6AA6DEA3">
      <w:pPr>
        <w:spacing w:line="560" w:lineRule="exact"/>
        <w:outlineLvl w:val="0"/>
        <w:rPr>
          <w:rFonts w:ascii="宋体" w:hAnsi="宋体" w:cs="宋体"/>
          <w:b/>
          <w:sz w:val="28"/>
          <w:szCs w:val="28"/>
          <w:highlight w:val="none"/>
        </w:rPr>
      </w:pPr>
      <w:bookmarkStart w:id="20" w:name="_Toc31700"/>
      <w:bookmarkStart w:id="21" w:name="_Toc20145"/>
      <w:r>
        <w:rPr>
          <w:rFonts w:hint="eastAsia" w:ascii="宋体" w:hAnsi="宋体" w:cs="宋体"/>
          <w:b/>
          <w:sz w:val="28"/>
          <w:szCs w:val="28"/>
          <w:highlight w:val="none"/>
        </w:rPr>
        <w:t>6. 包装、运输和储存</w:t>
      </w:r>
      <w:bookmarkEnd w:id="20"/>
      <w:bookmarkEnd w:id="21"/>
    </w:p>
    <w:p w14:paraId="19ADC4CF">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rPr>
        <w:t>6.1 包装</w:t>
      </w:r>
    </w:p>
    <w:p w14:paraId="0669F156">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6.1.1 要严格按照制造厂给出的说明书对设备进行包装、运输和储存。制造厂应在交货前的适当时间提供设备的运输和储存说明书。</w:t>
      </w:r>
    </w:p>
    <w:p w14:paraId="0D9908B0">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6.1.2 设备制造完成并通过试验后应及时包装, 否则应得到切实的保护。其包装也应符合铁路、公路和海运部门的有关规定。</w:t>
      </w:r>
    </w:p>
    <w:p w14:paraId="0E956FF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6.1.3 包装箱上应有明显的包装储运图示标志, 并应标明招标方的订货号和发货号。</w:t>
      </w:r>
    </w:p>
    <w:p w14:paraId="6F8D3563">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6.1.4 设备的包装应能保证设备各零部件在运输过程中不致遭到脏污、损坏、变形、丢失及受潮。对于其中的绝缘部件及由有机绝缘材料制成的绝缘件应特别加以保护，以免损坏和受潮。对于外露的接触表面，应有预防腐蚀的措施。所有运输措施均应经过验证。凡有运输损坏，应由制造厂负责赔偿。</w:t>
      </w:r>
      <w:bookmarkStart w:id="22" w:name="_Toc279695210"/>
      <w:bookmarkStart w:id="23" w:name="_Toc296431604"/>
    </w:p>
    <w:p w14:paraId="3EFF42F3">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rPr>
        <w:t>6.2 运输</w:t>
      </w:r>
      <w:bookmarkEnd w:id="22"/>
      <w:bookmarkEnd w:id="23"/>
    </w:p>
    <w:p w14:paraId="0D02A668">
      <w:pPr>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rPr>
        <w:t>6.2.1 设备单独运输的零部件应有标志,便于用户安装装配。</w:t>
      </w:r>
    </w:p>
    <w:p w14:paraId="3020F286">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6.2.2 整体产品或分别运输的部件,都要适合于运输及装卸的要求。</w:t>
      </w:r>
    </w:p>
    <w:p w14:paraId="6F5B958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6.2.3 制造厂应提供按全部解体检修用的备品备件和装用机具，随同产品发运。</w:t>
      </w:r>
    </w:p>
    <w:p w14:paraId="1EE81DEC">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6.2.4 随同运输的产品应附有装箱清单，产品所需提供的技术资料应完整无缺。</w:t>
      </w:r>
    </w:p>
    <w:p w14:paraId="52541B2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6.2.5 设备到场后，供、需双方共同清点、验收，并办理移交手续。</w:t>
      </w:r>
    </w:p>
    <w:p w14:paraId="700C8049">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rPr>
        <w:t>6.3储存</w:t>
      </w:r>
    </w:p>
    <w:p w14:paraId="2DA21709">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乙方应根据包装箱内所包装物品的特性，向甲方提供安全保存方法的说明。</w:t>
      </w:r>
    </w:p>
    <w:p w14:paraId="5621265A">
      <w:pPr>
        <w:spacing w:line="560" w:lineRule="exact"/>
        <w:outlineLvl w:val="0"/>
        <w:rPr>
          <w:rFonts w:ascii="宋体" w:hAnsi="宋体" w:cs="宋体"/>
          <w:b/>
          <w:sz w:val="28"/>
          <w:szCs w:val="28"/>
          <w:highlight w:val="none"/>
        </w:rPr>
      </w:pPr>
      <w:bookmarkStart w:id="24" w:name="_Toc18993"/>
      <w:bookmarkStart w:id="25" w:name="_Toc30013"/>
      <w:r>
        <w:rPr>
          <w:rFonts w:hint="eastAsia" w:ascii="宋体" w:hAnsi="宋体" w:cs="宋体"/>
          <w:b/>
          <w:sz w:val="28"/>
          <w:szCs w:val="28"/>
          <w:highlight w:val="none"/>
        </w:rPr>
        <w:t>7. 资料交付要求</w:t>
      </w:r>
      <w:bookmarkEnd w:id="24"/>
      <w:bookmarkEnd w:id="25"/>
    </w:p>
    <w:p w14:paraId="0352F624">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rPr>
        <w:t>7.1 乙方工作范围</w:t>
      </w:r>
    </w:p>
    <w:p w14:paraId="74C98892">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7.1.1 乙方需根据甲方提供的设备参数、设计制造要求进行低压配电柜的详细设计和制造。设备的制造包括：设备的制作、油漆、材料试验和工作试验、组装及厂内试运转，检验、包装、交货等。</w:t>
      </w:r>
    </w:p>
    <w:p w14:paraId="48316429">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7.1.2 乙方提供的设备应完全符合本技术规格书的要求。并对所供设备的完整性、安全性、可靠性负责。</w:t>
      </w:r>
    </w:p>
    <w:p w14:paraId="5AFC23B4">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7.1.3 工厂试验由乙方在厂内完成, 但应有甲方代表参加。</w:t>
      </w:r>
    </w:p>
    <w:p w14:paraId="6AF8C2E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7.1.4 向甲方提供所有低压配电柜的安装尺寸及基础图。</w:t>
      </w:r>
    </w:p>
    <w:p w14:paraId="5252A8E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7.1.5 中标后，如甲方提出修改要求，乙方需配合甲方进行设备的更改。</w:t>
      </w:r>
    </w:p>
    <w:p w14:paraId="31627FF7">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7.1.6 在设备具备发货的条件时，可向甲方发出邀请对设备进行出厂前的检验。</w:t>
      </w:r>
    </w:p>
    <w:p w14:paraId="376DCDC6">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7.1.7 乙方需向甲方及业主方提供优质、完善的售后服务，包括：对业主方人员的培训、现场对设备安装的服务及调试指导等。</w:t>
      </w:r>
    </w:p>
    <w:p w14:paraId="48DCA53F">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rPr>
        <w:t>7.2 资料交付要求</w:t>
      </w:r>
    </w:p>
    <w:p w14:paraId="5E84832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7.2.1 乙方在接到中标通知书后7日内，提出满足工厂设计所需开关柜的如下资料：</w:t>
      </w:r>
    </w:p>
    <w:p w14:paraId="6A8E3CB0">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低压配电柜各项技术指标表</w:t>
      </w:r>
    </w:p>
    <w:p w14:paraId="0C42AC0F">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低压配电柜安装外形详细尺寸图（开关柜结构图、侧板图）</w:t>
      </w:r>
    </w:p>
    <w:p w14:paraId="2FE118B0">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低压配电柜安装基础详细尺寸图</w:t>
      </w:r>
    </w:p>
    <w:p w14:paraId="61481BCB">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低压配电柜屏重量</w:t>
      </w:r>
    </w:p>
    <w:p w14:paraId="359CE88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低压配电柜对电气接线的文字要求及附图</w:t>
      </w:r>
    </w:p>
    <w:p w14:paraId="56B2B99C">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7.2.2 乙方应提供如下文件</w:t>
      </w:r>
    </w:p>
    <w:p w14:paraId="2F097ED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制造单位资格证书</w:t>
      </w:r>
    </w:p>
    <w:p w14:paraId="7BDFB2E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安装使用维护说明书，包括调试、储藏运行和维护等注意事项及方法。</w:t>
      </w:r>
    </w:p>
    <w:p w14:paraId="4807E759">
      <w:pPr>
        <w:spacing w:line="560" w:lineRule="exact"/>
        <w:ind w:firstLine="560" w:firstLineChars="200"/>
        <w:outlineLvl w:val="0"/>
        <w:rPr>
          <w:rFonts w:ascii="宋体" w:hAnsi="宋体" w:cs="宋体"/>
          <w:bCs/>
          <w:sz w:val="28"/>
          <w:szCs w:val="28"/>
          <w:highlight w:val="none"/>
        </w:rPr>
      </w:pPr>
      <w:bookmarkStart w:id="26" w:name="_Toc548"/>
      <w:r>
        <w:rPr>
          <w:rFonts w:hint="eastAsia" w:ascii="宋体" w:hAnsi="宋体" w:cs="宋体"/>
          <w:bCs/>
          <w:sz w:val="28"/>
          <w:szCs w:val="28"/>
          <w:highlight w:val="none"/>
        </w:rPr>
        <w:t>设备出厂安全试验报告</w:t>
      </w:r>
      <w:bookmarkEnd w:id="26"/>
    </w:p>
    <w:p w14:paraId="64D97A8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产品质量监督检验报告（证）书（监检单位出具）</w:t>
      </w:r>
    </w:p>
    <w:p w14:paraId="1DB297A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产品质量证明书</w:t>
      </w:r>
    </w:p>
    <w:p w14:paraId="52C8AF8B">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设备出厂铭牌（标牌）附印件</w:t>
      </w:r>
    </w:p>
    <w:p w14:paraId="4AC4E459">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性能试验报告</w:t>
      </w:r>
    </w:p>
    <w:p w14:paraId="0ECE7CD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装箱清单</w:t>
      </w:r>
    </w:p>
    <w:p w14:paraId="33F1E94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成套设备清单。</w:t>
      </w:r>
    </w:p>
    <w:p w14:paraId="06BDFB8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备品备件清单。</w:t>
      </w:r>
    </w:p>
    <w:p w14:paraId="2511791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配电屏主要技术数据，内部安装接线图端子排等。</w:t>
      </w:r>
    </w:p>
    <w:p w14:paraId="059EDFAB">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产品合格证。</w:t>
      </w:r>
    </w:p>
    <w:p w14:paraId="1CD66FE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电气线路图、结构图、主要部件受损元件图等。</w:t>
      </w:r>
    </w:p>
    <w:p w14:paraId="35BCA88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最终竣工后提供三份终版纸质全套电气图纸（电气原理图、端子接线图、安装尺寸图）和一份电子版全套电气图纸。</w:t>
      </w:r>
    </w:p>
    <w:p w14:paraId="73CAA92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7.2.3 配电屏的有关调试、运行、检修、维护、介质消耗等其他方面的技术文件、各项测试报告、组件、备件清单，可随设备到货时一并提供。</w:t>
      </w:r>
    </w:p>
    <w:p w14:paraId="0B8E1670">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7.2.4 提交的与本项目有关的所有技术文件，均应以书面形式反映，文件中除包括各项内容外，还应注明文件提交人姓名和提交时间，甲方有权进行检查监督，并有权按照项目合同的相关条款进行处罚。</w:t>
      </w:r>
    </w:p>
    <w:p w14:paraId="4A863493">
      <w:pPr>
        <w:spacing w:line="560" w:lineRule="exact"/>
        <w:outlineLvl w:val="0"/>
        <w:rPr>
          <w:rFonts w:ascii="宋体" w:hAnsi="宋体" w:cs="宋体"/>
          <w:b/>
          <w:sz w:val="28"/>
          <w:szCs w:val="28"/>
          <w:highlight w:val="none"/>
        </w:rPr>
      </w:pPr>
      <w:bookmarkStart w:id="27" w:name="_Toc10496"/>
      <w:bookmarkStart w:id="28" w:name="_Toc23498"/>
      <w:r>
        <w:rPr>
          <w:rFonts w:hint="eastAsia" w:ascii="宋体" w:hAnsi="宋体" w:cs="宋体"/>
          <w:b/>
          <w:sz w:val="28"/>
          <w:szCs w:val="28"/>
          <w:highlight w:val="none"/>
        </w:rPr>
        <w:t>8. 技术服务</w:t>
      </w:r>
      <w:bookmarkEnd w:id="27"/>
      <w:bookmarkEnd w:id="28"/>
    </w:p>
    <w:p w14:paraId="7D72E3DF">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8.1 乙方要派合格的技术人员，赴安装施工现场进行技术服务指导，乙方的现场技术服务人员到现场后需制定必要的计划书。乙方对其现场技术服务人员的一切行为负全部责任。</w:t>
      </w:r>
    </w:p>
    <w:p w14:paraId="2B0143A9">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8.2 乙方按甲方的要求，及时参加现场的设备、调试、功能考核、验收等工作，出席有关会议，及时处理技术和质量问题。</w:t>
      </w:r>
    </w:p>
    <w:p w14:paraId="50011144">
      <w:pPr>
        <w:spacing w:line="560" w:lineRule="exact"/>
        <w:ind w:firstLine="560" w:firstLineChars="200"/>
        <w:outlineLvl w:val="1"/>
        <w:rPr>
          <w:rFonts w:ascii="宋体" w:hAnsi="宋体" w:cs="宋体"/>
          <w:bCs/>
          <w:sz w:val="28"/>
          <w:szCs w:val="28"/>
          <w:highlight w:val="none"/>
        </w:rPr>
      </w:pPr>
      <w:r>
        <w:rPr>
          <w:rFonts w:hint="eastAsia" w:ascii="宋体" w:hAnsi="宋体" w:cs="宋体"/>
          <w:bCs/>
          <w:sz w:val="28"/>
          <w:szCs w:val="28"/>
          <w:highlight w:val="none"/>
        </w:rPr>
        <w:t>8.3 乙方技术服务人员现场服务内容及职责</w:t>
      </w:r>
    </w:p>
    <w:p w14:paraId="12C70B24">
      <w:pPr>
        <w:spacing w:line="560" w:lineRule="exact"/>
        <w:ind w:firstLine="560" w:firstLineChars="200"/>
        <w:outlineLvl w:val="2"/>
        <w:rPr>
          <w:rFonts w:ascii="宋体" w:hAnsi="宋体" w:cs="宋体"/>
          <w:bCs/>
          <w:sz w:val="28"/>
          <w:szCs w:val="28"/>
          <w:highlight w:val="none"/>
        </w:rPr>
      </w:pPr>
      <w:r>
        <w:rPr>
          <w:rFonts w:hint="eastAsia" w:ascii="宋体" w:hAnsi="宋体" w:cs="宋体"/>
          <w:bCs/>
          <w:sz w:val="28"/>
          <w:szCs w:val="28"/>
          <w:highlight w:val="none"/>
        </w:rPr>
        <w:t>8.3.1由甲、乙双方都在现场的情况下开箱验收。</w:t>
      </w:r>
    </w:p>
    <w:p w14:paraId="02E0C19D">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8.3.2 在调试前，如因乙方技术服务人员指导错误而发生的问题，乙方负全部责任。</w:t>
      </w:r>
    </w:p>
    <w:p w14:paraId="0DC6BE11">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8.3.3 乙方技术服务人员应有权处理现场出现的一切技术、设备质量问题。接到甲方反映问题后，2小时内做出答复，紧急情况可在48小时内派人赶到现场。</w:t>
      </w:r>
    </w:p>
    <w:p w14:paraId="48CAC9F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8.3.4 全天24小时接收客户投诉：对用户来电、来函的各类投诉，市内12小时内给予答复；市外24小时内给予答复。公司随时准备一套由工程部、生产部、质保部等相关技术部门人员组成的事故应急处理、调查小组，对于处理低压配电柜的应急问题保证在最短的时间内以最快的交通工具赶到现场。</w:t>
      </w:r>
    </w:p>
    <w:p w14:paraId="12E2E2C5">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8.3.5 产品质保期内免费提供低压配电柜方面的技术咨询及服务；质保期外将继续提供各类有偿服务。</w:t>
      </w:r>
    </w:p>
    <w:p w14:paraId="25FFE5E7">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8.3.6 公司常年负责提供产品的备品、备件，使用本公司产品的用户将优先以公司成本价获得备品、备件，不耽误用户对产品的正常使用。</w:t>
      </w:r>
    </w:p>
    <w:p w14:paraId="1095DDF8">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8.3.7 质量保证期内合同产品出现质量问题，乙方及时派遣技术人员给予无偿服务，甲方为其提供工作方便。</w:t>
      </w:r>
    </w:p>
    <w:p w14:paraId="13C2B6A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8.3.8 指导调试，参加设备试运行。</w:t>
      </w:r>
    </w:p>
    <w:p w14:paraId="3D27E3C2">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8.3.9 设备验收后，按甲方要求进行必要的培训。</w:t>
      </w:r>
    </w:p>
    <w:p w14:paraId="3D49677E">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8.3.10 乙方现场技术服务人员应具有下列条件：遵守法纪，遵守现场各项规章、制度；有责任心和事业心，按时到位；了解合同设备的设计，熟悉其结构，有相同或相近机组的现场工作经验，能够正确的进行现场指导；身体健康，适应现场工作条件。</w:t>
      </w:r>
    </w:p>
    <w:p w14:paraId="1DFFC7F8">
      <w:pPr>
        <w:spacing w:line="560" w:lineRule="exact"/>
        <w:ind w:firstLine="560" w:firstLineChars="200"/>
        <w:rPr>
          <w:rFonts w:ascii="仿宋_GB2312" w:hAnsi="宋体" w:eastAsia="仿宋_GB2312"/>
          <w:bCs/>
          <w:sz w:val="24"/>
          <w:highlight w:val="none"/>
        </w:rPr>
      </w:pPr>
      <w:r>
        <w:rPr>
          <w:rFonts w:hint="eastAsia" w:ascii="宋体" w:hAnsi="宋体" w:cs="宋体"/>
          <w:bCs/>
          <w:sz w:val="28"/>
          <w:szCs w:val="28"/>
          <w:highlight w:val="none"/>
        </w:rPr>
        <w:t>8.3.11服务承诺：乙方承诺，对所提供的低压配电柜在额定、正常条件下，应安全可靠无故障运行,设备在调试完成后</w:t>
      </w:r>
      <w:r>
        <w:rPr>
          <w:rFonts w:hint="eastAsia" w:ascii="宋体" w:hAnsi="宋体" w:cs="宋体"/>
          <w:bCs/>
          <w:sz w:val="28"/>
          <w:szCs w:val="28"/>
          <w:highlight w:val="none"/>
          <w:lang w:val="en-US" w:eastAsia="zh-CN"/>
        </w:rPr>
        <w:t>现场从开始运行</w:t>
      </w:r>
      <w:r>
        <w:rPr>
          <w:rFonts w:hint="eastAsia" w:ascii="宋体" w:hAnsi="宋体" w:cs="宋体"/>
          <w:bCs/>
          <w:sz w:val="28"/>
          <w:szCs w:val="28"/>
          <w:highlight w:val="none"/>
        </w:rPr>
        <w:t>1年内所发生的质量问题，乙方免费处理。</w:t>
      </w:r>
    </w:p>
    <w:p w14:paraId="6D653095">
      <w:pPr>
        <w:numPr>
          <w:ilvl w:val="0"/>
          <w:numId w:val="3"/>
        </w:numPr>
        <w:spacing w:line="560" w:lineRule="exact"/>
        <w:outlineLvl w:val="0"/>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补充要求</w:t>
      </w:r>
    </w:p>
    <w:p w14:paraId="306711FB">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低压柜（包含GGD/MNS/GCK/动力柜等）内每个回路粘贴回路设备名称及对应的设备编号；抽屉柜回路、变频器回路、软启动回路要分别安装回路的设备名称及对应的设备编号标识框；柜内所有一、二次元件要粘贴原理图对应的英文代号。出线端子、母线。</w:t>
      </w:r>
    </w:p>
    <w:p w14:paraId="43989DDB">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9.2柜门元件按回路逐一安装功能标识框（黄底黑字），柜内仪表门后部粘贴元件对应英文代号；柜内每个回路的功能标识（15cm*5cm，颜色待定）按照装配位置（柜子前后布置）粘贴在前后柜门。</w:t>
      </w:r>
    </w:p>
    <w:p w14:paraId="76A59AE7">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9.3柜内原理图如单独绘制，必须与委托方所提供控制原理、线号等完全一致，端子位置必须与提供端子图纸一致，不得出现外部对接线端子错位现象。</w:t>
      </w:r>
    </w:p>
    <w:p w14:paraId="6698F3EF">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9.4柜体出厂编号由委托方提供；出厂铭牌及试验报告以委托方提供样板为准制作；铭牌采用钢制牌并用铝钉铆拉；门楣样式及内容以委托方提供样板为准制作；柜体前后均设置眉头；柜体前后粘贴“有电危险”标识。</w:t>
      </w:r>
    </w:p>
    <w:p w14:paraId="5524185B">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9.5柜体厚度按照技术协议执行，未明确标注的柜体厚度不小于2mm；柜内一、二次元件按照技术协议指定厂家选型；生产辅材及铜排采用国内优质品牌；端子采用菲尼克斯或凤凰牌，端子排额定电压不小于500V，额定电流不小于5A，具有隔板、线号和端子螺丝，每个端子排都应有编号，配置好端子标记条及每组端子的标记夹，电流端子额定电流不小于20A；端子预留20%备用端子。</w:t>
      </w:r>
    </w:p>
    <w:p w14:paraId="21BD9F1A">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9.6柜内元件安装位置要求合理正确,低压柜（GGD/MNS/GCK等）内端子排接线考虑与附近元件保持一定安全距离，端子排考虑预留外部接引位置。柜下部接线端子距离地面高度不得小于300mm；所有元件及母线的安装要便于现场操作、维护、更换及外部电缆接引；如元器件距离带电体较近，必须加装绝缘防护板来隔离，保证操作人员安全。每面柜体要留有足够的外部一次、二次电缆接引的空间。柜内所有易触及的带电部位需要加装透明绝缘板隔离，要方便拆卸。</w:t>
      </w:r>
    </w:p>
    <w:p w14:paraId="0E435048">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9.7柜内所有线缆具有耐热、防潮、阻燃性能；二次配线要求整齐美观，符合相关国家规范及执行标准，内部接线排列整齐美观、清晰，用螺旋管绑扎成束，导线连接紧密，不伤线芯，不断股，一个端子只能接引一根线；禁止一个螺栓上固定多根导线。所有导线、尼龙扎带、防护板等均为B级阻燃型。所有线缆不允许中间对接。协议要求柜内要布置线槽的，要严格按照协议执行。</w:t>
      </w:r>
    </w:p>
    <w:p w14:paraId="7966DFC2">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9.8柜所有门锁采用弹跳锁；门铰链采用金属镀铬，当门长大于1.2米时装设三个铰链，小于1.2米时装设两个铰链；柜门与门、门与壳体之间缝隙均匀，缝隙差小于1mm，缝长大于1米时，均匀差不大于1.5mm；大门要有防掉角措施。</w:t>
      </w:r>
    </w:p>
    <w:p w14:paraId="71556FC8">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9.9柜子金属部分和电器金属外壳均应良好接地，接地线不允许串接，每条地线要从接地端子分别引至柜门，并做固定卡固定地线。柜门的接地线应采用≥6mm2铜编织软线，外部套阻燃绝缘套管；柜内设置接地标志。</w:t>
      </w:r>
    </w:p>
    <w:p w14:paraId="1E69FBB2">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9.10零排和地排的电流容量至少保证和相线母排一致，设置合理的压接螺栓，禁止一个螺栓上固定多根导线。</w:t>
      </w:r>
    </w:p>
    <w:p w14:paraId="45232085">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9.11柜内进线、联络柜的分支母排规格与水平排规格保持一致。</w:t>
      </w:r>
    </w:p>
    <w:p w14:paraId="64E95BD9">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9.12柜间小隔板底部要封到底，只留出零排、地排过孔，其余全封闭。</w:t>
      </w:r>
    </w:p>
    <w:p w14:paraId="6A67E9BC">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9.13电流回路铜芯绝缘软线不小于2.5mm2，电压回路不小于1.5mm2，一次线与二次线不能压接在同一端子上，二次端子不能用开口线鼻子压接。柜内所有一次线采用多股铜芯软线或带热缩套管的分支母线形式，二次线全部采用多股铜芯软线，额定绝缘电压1kV。</w:t>
      </w:r>
    </w:p>
    <w:p w14:paraId="46533104">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9.14母线材料选用高导电率T2铜排；采用螺栓连接时，接头处不应少于两个螺栓，所有连接螺母置于维护侧，螺栓强度为8.8级。</w:t>
      </w:r>
    </w:p>
    <w:p w14:paraId="20283E0C">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9.15 N排和PE排出厂前预先钻孔，孔数及大小符合进出线回路使用，并应做好钻孔两面导体紧固处不被绝缘漆覆盖；所有水平母线、垂直母线、分支母线应有绝缘护套（加套热缩管，并按照国家标准颜色区分相序，粘贴相序标识），主母线、分支母线和母线连接部位加装绝缘盒，中性线采用与相线相同的绝缘等级，绝缘物的额定电压为1000V。</w:t>
      </w:r>
    </w:p>
    <w:p w14:paraId="25DA7B76">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9.16所有铜母线要求镀锡或镀银，要求先加工再镀锡或镀银。</w:t>
      </w:r>
    </w:p>
    <w:p w14:paraId="15948648">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9.17铜排含铜率≥99.9%。（提供第三方检测报告）。</w:t>
      </w:r>
    </w:p>
    <w:p w14:paraId="024DAF90">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9.18所有母线夹采用PMJ型，材质为BMC型不饱和树脂，母线要加热缩套管，选择母线夹时要注意，大于等于4000A,母线夹安装支架采用不锈钢材质，安装螺钉为不锈钢；绝缘子采用SM系列绝缘子，材质为不饱和聚酯树脂玻璃纤维增强模压塑件，嵌件为铜制。</w:t>
      </w:r>
    </w:p>
    <w:p w14:paraId="135A6C2D">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9.19主母线额定短时耐受电流（方均根值）不小于4kA（1S）,主母线额定电流满足设计图纸要求。</w:t>
      </w:r>
    </w:p>
    <w:p w14:paraId="3E2228C1">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9.20架桥柜母线伸出柜顶200mm，ABCN均按此要求，同时加装整块绝缘板，防止涡流；</w:t>
      </w:r>
    </w:p>
    <w:p w14:paraId="158EF3A7">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9.21柜内所有螺栓均采用8.8级。配齐外部电缆接引螺栓、母线连接螺栓、并柜螺栓等所有现场安装所需要的螺栓。母线连接螺栓规格及数量严格按照国家相关标准选择。柜内螺栓紧固后要点漆标记。</w:t>
      </w:r>
    </w:p>
    <w:p w14:paraId="4DDE4207">
      <w:pPr>
        <w:spacing w:line="560" w:lineRule="exact"/>
        <w:ind w:firstLine="280" w:firstLineChars="100"/>
        <w:rPr>
          <w:rFonts w:hint="default"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9.22进线柜、母联柜柜后加装透明绝缘板，保证后门开启后不能直接触碰到带电母线。</w:t>
      </w:r>
      <w:r>
        <w:rPr>
          <w:rFonts w:hint="eastAsia" w:ascii="宋体" w:hAnsi="宋体" w:cs="宋体"/>
          <w:bCs/>
          <w:sz w:val="28"/>
          <w:szCs w:val="28"/>
          <w:highlight w:val="none"/>
          <w:lang w:val="en-US" w:eastAsia="zh-CN"/>
        </w:rPr>
        <w:t>柜内母排（汇流排，分支排，其它分支排），凡是人可直接触及到带电母线的部位均要加装透明绝缘板（主母排除外）。</w:t>
      </w:r>
    </w:p>
    <w:p w14:paraId="3C478CBD">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9.23端柜大侧封板内母线位置加装绝缘板。</w:t>
      </w:r>
    </w:p>
    <w:p w14:paraId="0236AB78">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9.24柜体底部设置电缆固定支架。</w:t>
      </w:r>
    </w:p>
    <w:p w14:paraId="2FA9B670">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9.25顶盖设计要注意保证现场正常并柜后防护等级不降低，要求柜与柜之间配合紧密。</w:t>
      </w:r>
    </w:p>
    <w:p w14:paraId="11BDA216">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9.26所有柜体要保证强度，对于较重的元器件及母排，要由加固措施，防止运输过程变形；每面柜体要有独立包装，要求防雨，要防止运输过程碰撞、摩擦损坏柜体及门上元器件。</w:t>
      </w:r>
    </w:p>
    <w:p w14:paraId="0D7F074A">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9.27厂家至少派1名售后人员随柜体到现场配合交接验收，待运行送电无问题后方可离开。</w:t>
      </w:r>
    </w:p>
    <w:p w14:paraId="0B1453FD">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9.28随柜体附带纸质版资料6套（系统图、原理图、端子图、配置清单），电子版资料1套（要包含总装图、布置图、底部安装开孔图等）。</w:t>
      </w:r>
    </w:p>
    <w:p w14:paraId="58E0A4FB">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9.29所有元器件合格证书、出厂试验报告等至少1套。</w:t>
      </w:r>
    </w:p>
    <w:p w14:paraId="2C304416">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9.30柜体包装带木质底托。散发柜体必须采用木质包装。</w:t>
      </w:r>
    </w:p>
    <w:p w14:paraId="1DEB9F32">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 xml:space="preserve">9.31柜门内部粘贴一次图、原理图，要求过塑。 </w:t>
      </w:r>
    </w:p>
    <w:p w14:paraId="63722CAB">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9.32端子标记条在端子进出线两侧均要安装，标记条上号码为打印，不能手写，并且方向要跟端子安装方向一致。</w:t>
      </w:r>
    </w:p>
    <w:p w14:paraId="3E222229">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9.33对于柜外操作的隔离开关、负荷开关、断路器，要保证紧急解锁后可以开启柜门；如果上述开关是本柜的总开关，安装时要拆除连锁装置，保证总开关合闸时，能打开柜门操作其他回路，并告知我方技术人员确认后拆除。</w:t>
      </w:r>
    </w:p>
    <w:p w14:paraId="1793CFB2">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9.34所有导轨安装元件，两侧必须采用堵头固定。</w:t>
      </w:r>
    </w:p>
    <w:p w14:paraId="4F6F5EB3">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9.35门板所有接地螺钉处要有接地标识。</w:t>
      </w:r>
    </w:p>
    <w:p w14:paraId="2EC83144">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9.36门锁钥匙、连锁钥匙、操作手柄、抽屉摇把等附件要集中单独包装放置，不能直接插在门上或绑在柜内外。</w:t>
      </w:r>
    </w:p>
    <w:p w14:paraId="04D7037C">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9.37随柜要配置一定数量的易损配件，如门把手、门锁等；配置与柜体颜色一致的自喷漆，便于剐蹭划伤恢复。</w:t>
      </w:r>
    </w:p>
    <w:p w14:paraId="547FBE39">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9.38表计必须寄回宏联先校检，然后再返回外协厂家安装。</w:t>
      </w:r>
    </w:p>
    <w:p w14:paraId="6C5DE0DD">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9.39要求零排和地排一个螺栓接一根线，零排地排上要求多冲孔，满足接线要求。</w:t>
      </w:r>
    </w:p>
    <w:p w14:paraId="190B3767">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9.40要求每个箱（柜）都必须有零排和地排。</w:t>
      </w:r>
    </w:p>
    <w:p w14:paraId="559BB5FA">
      <w:pPr>
        <w:pStyle w:val="19"/>
        <w:ind w:firstLine="280" w:firstLineChars="100"/>
        <w:rPr>
          <w:rFonts w:hint="default"/>
          <w:highlight w:val="none"/>
          <w:lang w:val="en-US" w:eastAsia="zh-CN"/>
        </w:rPr>
      </w:pPr>
      <w:r>
        <w:rPr>
          <w:rFonts w:hint="eastAsia" w:ascii="宋体" w:hAnsi="宋体" w:eastAsia="宋体" w:cs="宋体"/>
          <w:bCs/>
          <w:sz w:val="28"/>
          <w:szCs w:val="28"/>
          <w:highlight w:val="none"/>
          <w:lang w:val="en-US" w:eastAsia="zh-CN"/>
        </w:rPr>
        <w:t>9.41要求所有按钮加防护罩，所有标识都为双标识(代号和用途），灯使用抗干扰，继电器使用带阻容吸收的。柜门内要设计放置资料的槽。柜内贴图纸，低压柜的进线断路器要配置欠压延时脱扣器，低压柜配置双眉头标识。</w:t>
      </w:r>
    </w:p>
    <w:p w14:paraId="18A7B060">
      <w:pPr>
        <w:spacing w:line="560" w:lineRule="exact"/>
        <w:ind w:firstLine="280" w:firstLineChars="100"/>
        <w:rPr>
          <w:rFonts w:hint="default"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9.42交货日期：以招标合同为准！</w:t>
      </w:r>
    </w:p>
    <w:p w14:paraId="21EAFF47">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9.43交货地点：酒钢冶金厂区。</w:t>
      </w:r>
    </w:p>
    <w:p w14:paraId="306DBFF7">
      <w:pPr>
        <w:pStyle w:val="19"/>
        <w:rPr>
          <w:rFonts w:hint="default"/>
          <w:highlight w:val="none"/>
          <w:lang w:val="en-US" w:eastAsia="zh-CN"/>
        </w:rPr>
      </w:pPr>
    </w:p>
    <w:p w14:paraId="41367F96">
      <w:pPr>
        <w:spacing w:line="560" w:lineRule="exact"/>
        <w:outlineLvl w:val="0"/>
        <w:rPr>
          <w:rFonts w:ascii="宋体" w:hAnsi="宋体" w:cs="宋体"/>
          <w:b/>
          <w:sz w:val="28"/>
          <w:szCs w:val="28"/>
          <w:highlight w:val="none"/>
        </w:rPr>
      </w:pPr>
      <w:r>
        <w:rPr>
          <w:rFonts w:hint="eastAsia" w:ascii="宋体" w:hAnsi="宋体" w:cs="宋体"/>
          <w:b/>
          <w:sz w:val="28"/>
          <w:szCs w:val="28"/>
          <w:highlight w:val="none"/>
          <w:lang w:val="en-US" w:eastAsia="zh-CN"/>
        </w:rPr>
        <w:t>10</w:t>
      </w:r>
      <w:r>
        <w:rPr>
          <w:rFonts w:hint="eastAsia" w:ascii="宋体" w:hAnsi="宋体" w:cs="宋体"/>
          <w:b/>
          <w:sz w:val="28"/>
          <w:szCs w:val="28"/>
          <w:highlight w:val="none"/>
        </w:rPr>
        <w:t>. 其他</w:t>
      </w:r>
    </w:p>
    <w:p w14:paraId="15CF9A45">
      <w:pPr>
        <w:spacing w:line="560" w:lineRule="exact"/>
        <w:ind w:firstLine="280" w:firstLineChars="1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10.1本技术规格书一式四份，甲方三份，乙方一份。</w:t>
      </w:r>
    </w:p>
    <w:p w14:paraId="346B013A">
      <w:pPr>
        <w:keepNext w:val="0"/>
        <w:keepLines w:val="0"/>
        <w:widowControl w:val="0"/>
        <w:kinsoku/>
        <w:wordWrap/>
        <w:overflowPunct/>
        <w:autoSpaceDE/>
        <w:autoSpaceDN/>
        <w:bidi w:val="0"/>
        <w:spacing w:line="360" w:lineRule="auto"/>
        <w:ind w:left="279" w:leftChars="133" w:firstLine="0" w:firstLineChars="0"/>
        <w:textAlignment w:val="auto"/>
        <w:outlineLvl w:val="9"/>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10.2本规格书内容经由甲乙双方于</w:t>
      </w:r>
      <w:r>
        <w:rPr>
          <w:rFonts w:hint="eastAsia" w:ascii="仿宋" w:hAnsi="仿宋" w:eastAsia="仿宋" w:cs="仿宋"/>
          <w:bCs/>
          <w:sz w:val="24"/>
          <w:highlight w:val="non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 xml:space="preserve">年 </w:t>
      </w:r>
      <w:r>
        <w:rPr>
          <w:rFonts w:hint="eastAsia" w:ascii="仿宋" w:hAnsi="仿宋" w:cs="仿宋"/>
          <w:bCs/>
          <w:sz w:val="24"/>
          <w:highlight w:val="none"/>
          <w:u w:val="singl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月</w:t>
      </w:r>
      <w:r>
        <w:rPr>
          <w:rFonts w:hint="eastAsia" w:ascii="仿宋_GB2312" w:hAnsi="仿宋_GB2312" w:eastAsia="仿宋_GB2312" w:cs="仿宋_GB2312"/>
          <w:b w:val="0"/>
          <w:bCs w:val="0"/>
          <w:sz w:val="24"/>
          <w:szCs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仿宋" w:hAnsi="仿宋" w:eastAsia="仿宋" w:cs="仿宋"/>
          <w:bCs/>
          <w:sz w:val="24"/>
          <w:highlight w:val="none"/>
          <w:u w:val="single"/>
          <w:lang w:val="en-US" w:eastAsia="zh-CN"/>
        </w:rPr>
        <w:t xml:space="preserve">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 xml:space="preserve">日 </w:t>
      </w:r>
      <w:r>
        <w:rPr>
          <w:rFonts w:hint="eastAsia" w:ascii="仿宋" w:hAnsi="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时至</w:t>
      </w:r>
      <w:r>
        <w:rPr>
          <w:rFonts w:hint="eastAsia" w:ascii="仿宋_GB2312" w:hAnsi="仿宋_GB2312" w:eastAsia="仿宋_GB2312" w:cs="仿宋_GB2312"/>
          <w:b w:val="0"/>
          <w:bCs w:val="0"/>
          <w:sz w:val="24"/>
          <w:szCs w:val="24"/>
          <w:highlight w:val="none"/>
          <w:u w:val="single"/>
          <w:lang w:val="en-US" w:eastAsia="zh-CN"/>
        </w:rPr>
        <w:t xml:space="preserve">      </w:t>
      </w:r>
      <w:r>
        <w:rPr>
          <w:rFonts w:hint="eastAsia" w:ascii="宋体" w:hAnsi="宋体" w:eastAsia="宋体" w:cs="宋体"/>
          <w:bCs/>
          <w:sz w:val="28"/>
          <w:szCs w:val="28"/>
          <w:highlight w:val="none"/>
          <w:lang w:val="en-US" w:eastAsia="zh-CN"/>
        </w:rPr>
        <w:t>时通过</w:t>
      </w:r>
    </w:p>
    <w:p w14:paraId="6795579B">
      <w:pPr>
        <w:keepNext w:val="0"/>
        <w:keepLines w:val="0"/>
        <w:widowControl w:val="0"/>
        <w:kinsoku/>
        <w:wordWrap/>
        <w:overflowPunct/>
        <w:autoSpaceDE/>
        <w:autoSpaceDN/>
        <w:bidi w:val="0"/>
        <w:spacing w:line="360" w:lineRule="auto"/>
        <w:ind w:left="279" w:leftChars="133" w:firstLine="0" w:firstLineChars="0"/>
        <w:textAlignment w:val="auto"/>
        <w:outlineLvl w:val="9"/>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u w:val="single"/>
          <w:lang w:val="en-US" w:eastAsia="zh-CN"/>
        </w:rPr>
        <w:t xml:space="preserve">   </w:t>
      </w:r>
      <w:r>
        <w:rPr>
          <w:rFonts w:hint="eastAsia" w:ascii="宋体" w:hAnsi="宋体" w:cs="宋体"/>
          <w:bCs/>
          <w:sz w:val="28"/>
          <w:szCs w:val="28"/>
          <w:highlight w:val="none"/>
          <w:u w:val="single"/>
          <w:lang w:val="en-US" w:eastAsia="zh-CN"/>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cs="宋体"/>
          <w:bCs/>
          <w:sz w:val="28"/>
          <w:szCs w:val="28"/>
          <w:highlight w:val="none"/>
          <w:u w:val="single"/>
          <w:lang w:val="en-US" w:eastAsia="zh-CN"/>
        </w:rPr>
        <w:t xml:space="preserve">   </w:t>
      </w:r>
      <w:r>
        <w:rPr>
          <w:rFonts w:hint="eastAsia" w:ascii="宋体" w:hAnsi="宋体" w:eastAsia="宋体" w:cs="宋体"/>
          <w:bCs/>
          <w:sz w:val="28"/>
          <w:szCs w:val="28"/>
          <w:highlight w:val="none"/>
          <w:lang w:val="en-US" w:eastAsia="zh-CN"/>
        </w:rPr>
        <w:t>方式商定。</w:t>
      </w:r>
    </w:p>
    <w:p w14:paraId="4AF7C32A">
      <w:pPr>
        <w:keepNext w:val="0"/>
        <w:keepLines w:val="0"/>
        <w:widowControl w:val="0"/>
        <w:kinsoku/>
        <w:wordWrap/>
        <w:overflowPunct/>
        <w:autoSpaceDE/>
        <w:autoSpaceDN/>
        <w:bidi w:val="0"/>
        <w:spacing w:line="360" w:lineRule="auto"/>
        <w:ind w:firstLine="280" w:firstLineChars="100"/>
        <w:textAlignment w:val="auto"/>
        <w:outlineLvl w:val="9"/>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10.3甲乙双方应当就签订本规格书的相关事宜保密，不得将签订主体、时间、内容等信息透露给其他第三人。</w:t>
      </w:r>
    </w:p>
    <w:p w14:paraId="0A01BCEC">
      <w:pPr>
        <w:keepNext w:val="0"/>
        <w:keepLines w:val="0"/>
        <w:widowControl w:val="0"/>
        <w:kinsoku/>
        <w:wordWrap/>
        <w:overflowPunct/>
        <w:autoSpaceDE/>
        <w:autoSpaceDN/>
        <w:bidi w:val="0"/>
        <w:spacing w:line="360" w:lineRule="auto"/>
        <w:ind w:firstLine="280" w:firstLineChars="100"/>
        <w:textAlignment w:val="auto"/>
        <w:outlineLvl w:val="9"/>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10.4若</w:t>
      </w:r>
      <w:r>
        <w:rPr>
          <w:rFonts w:hint="eastAsia" w:ascii="仿宋" w:hAnsi="仿宋" w:eastAsia="仿宋" w:cs="仿宋"/>
          <w:bCs/>
          <w:sz w:val="24"/>
          <w:highlight w:val="none"/>
          <w:u w:val="single"/>
          <w:lang w:val="en-US" w:eastAsia="zh-CN"/>
        </w:rPr>
        <w:t xml:space="preserve">                             </w:t>
      </w:r>
      <w:r>
        <w:rPr>
          <w:rFonts w:hint="eastAsia" w:ascii="宋体" w:hAnsi="宋体" w:eastAsia="宋体" w:cs="宋体"/>
          <w:bCs/>
          <w:sz w:val="28"/>
          <w:szCs w:val="28"/>
          <w:highlight w:val="none"/>
          <w:lang w:val="en-US" w:eastAsia="zh-CN"/>
        </w:rPr>
        <w:t>单位不中标，本技术规格书自动失效，双方互不承担任何责任。</w:t>
      </w:r>
      <w:bookmarkEnd w:id="17"/>
    </w:p>
    <w:tbl>
      <w:tblPr>
        <w:tblStyle w:val="26"/>
        <w:tblW w:w="9069" w:type="dxa"/>
        <w:jc w:val="center"/>
        <w:tblLayout w:type="fixed"/>
        <w:tblCellMar>
          <w:top w:w="0" w:type="dxa"/>
          <w:left w:w="108" w:type="dxa"/>
          <w:bottom w:w="0" w:type="dxa"/>
          <w:right w:w="108" w:type="dxa"/>
        </w:tblCellMar>
      </w:tblPr>
      <w:tblGrid>
        <w:gridCol w:w="4733"/>
        <w:gridCol w:w="4336"/>
      </w:tblGrid>
      <w:tr w14:paraId="2D776A55">
        <w:trPr>
          <w:trHeight w:val="1654" w:hRule="atLeast"/>
          <w:jc w:val="center"/>
        </w:trPr>
        <w:tc>
          <w:tcPr>
            <w:tcW w:w="4733" w:type="dxa"/>
            <w:noWrap/>
            <w:vAlign w:val="center"/>
          </w:tcPr>
          <w:p w14:paraId="4EAF7A5B">
            <w:pPr>
              <w:snapToGrid w:val="0"/>
              <w:spacing w:line="360" w:lineRule="auto"/>
              <w:ind w:right="2" w:rightChars="1"/>
              <w:rPr>
                <w:rFonts w:hint="eastAsia" w:ascii="仿宋_GB2312" w:hAnsi="仿宋_GB2312" w:eastAsia="仿宋_GB2312" w:cs="仿宋_GB2312"/>
                <w:sz w:val="28"/>
                <w:szCs w:val="28"/>
                <w:highlight w:val="none"/>
                <w:lang w:val="en-US" w:eastAsia="zh-CN"/>
              </w:rPr>
            </w:pPr>
          </w:p>
          <w:p w14:paraId="5DBD3623">
            <w:pPr>
              <w:keepNext w:val="0"/>
              <w:keepLines w:val="0"/>
              <w:widowControl w:val="0"/>
              <w:kinsoku/>
              <w:wordWrap/>
              <w:overflowPunct/>
              <w:autoSpaceDE/>
              <w:autoSpaceDN/>
              <w:bidi w:val="0"/>
              <w:spacing w:line="360" w:lineRule="auto"/>
              <w:textAlignment w:val="auto"/>
              <w:outlineLvl w:val="9"/>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甲方 （盖章）:酒钢（集团）宏联自控有限责任公司</w:t>
            </w:r>
          </w:p>
          <w:p w14:paraId="4E977371">
            <w:pPr>
              <w:pStyle w:val="9"/>
              <w:tabs>
                <w:tab w:val="left" w:pos="525"/>
                <w:tab w:val="left" w:pos="987"/>
                <w:tab w:val="clear" w:pos="284"/>
                <w:tab w:val="clear" w:pos="4111"/>
              </w:tabs>
              <w:snapToGrid w:val="0"/>
              <w:spacing w:line="440" w:lineRule="exact"/>
              <w:rPr>
                <w:rFonts w:ascii="仿宋_GB2312" w:hAnsi="仿宋_GB2312" w:eastAsia="仿宋_GB2312" w:cs="仿宋_GB2312"/>
                <w:sz w:val="28"/>
                <w:szCs w:val="28"/>
                <w:highlight w:val="none"/>
              </w:rPr>
            </w:pPr>
          </w:p>
        </w:tc>
        <w:tc>
          <w:tcPr>
            <w:tcW w:w="4336" w:type="dxa"/>
            <w:noWrap/>
            <w:vAlign w:val="center"/>
          </w:tcPr>
          <w:p w14:paraId="23AE912C">
            <w:pPr>
              <w:adjustRightInd w:val="0"/>
              <w:snapToGrid w:val="0"/>
              <w:spacing w:line="360" w:lineRule="auto"/>
              <w:jc w:val="left"/>
              <w:outlineLvl w:val="9"/>
              <w:rPr>
                <w:rFonts w:ascii="仿宋_GB2312" w:hAnsi="仿宋_GB2312" w:eastAsia="仿宋_GB2312" w:cs="仿宋_GB2312"/>
                <w:sz w:val="28"/>
                <w:szCs w:val="28"/>
                <w:highlight w:val="none"/>
              </w:rPr>
            </w:pPr>
            <w:r>
              <w:rPr>
                <w:rFonts w:hint="eastAsia" w:ascii="宋体" w:hAnsi="宋体" w:eastAsia="宋体" w:cs="宋体"/>
                <w:sz w:val="28"/>
                <w:szCs w:val="28"/>
                <w:highlight w:val="none"/>
                <w:lang w:val="en-US" w:eastAsia="zh-CN"/>
              </w:rPr>
              <w:t>乙方</w:t>
            </w:r>
          </w:p>
        </w:tc>
      </w:tr>
      <w:tr w14:paraId="7C8ACC44">
        <w:tblPrEx>
          <w:tblCellMar>
            <w:top w:w="0" w:type="dxa"/>
            <w:left w:w="108" w:type="dxa"/>
            <w:bottom w:w="0" w:type="dxa"/>
            <w:right w:w="108" w:type="dxa"/>
          </w:tblCellMar>
        </w:tblPrEx>
        <w:trPr>
          <w:trHeight w:val="913" w:hRule="atLeast"/>
          <w:jc w:val="center"/>
        </w:trPr>
        <w:tc>
          <w:tcPr>
            <w:tcW w:w="4733" w:type="dxa"/>
            <w:noWrap/>
            <w:vAlign w:val="center"/>
          </w:tcPr>
          <w:p w14:paraId="7CB07F67">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委托代理人：</w:t>
            </w:r>
          </w:p>
        </w:tc>
        <w:tc>
          <w:tcPr>
            <w:tcW w:w="4336" w:type="dxa"/>
            <w:noWrap/>
            <w:vAlign w:val="center"/>
          </w:tcPr>
          <w:p w14:paraId="43F99280">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委托代理人：</w:t>
            </w:r>
          </w:p>
        </w:tc>
      </w:tr>
      <w:tr w14:paraId="3249451A">
        <w:tblPrEx>
          <w:tblCellMar>
            <w:top w:w="0" w:type="dxa"/>
            <w:left w:w="108" w:type="dxa"/>
            <w:bottom w:w="0" w:type="dxa"/>
            <w:right w:w="108" w:type="dxa"/>
          </w:tblCellMar>
        </w:tblPrEx>
        <w:trPr>
          <w:trHeight w:val="525" w:hRule="atLeast"/>
          <w:jc w:val="center"/>
        </w:trPr>
        <w:tc>
          <w:tcPr>
            <w:tcW w:w="4733" w:type="dxa"/>
            <w:noWrap/>
            <w:vAlign w:val="center"/>
          </w:tcPr>
          <w:p w14:paraId="4EC1D6E1">
            <w:pPr>
              <w:rPr>
                <w:rFonts w:ascii="仿宋_GB2312" w:hAnsi="仿宋_GB2312" w:eastAsia="仿宋_GB2312" w:cs="仿宋_GB2312"/>
                <w:sz w:val="28"/>
                <w:szCs w:val="28"/>
                <w:highlight w:val="none"/>
              </w:rPr>
            </w:pPr>
            <w:r>
              <w:rPr>
                <w:rFonts w:hint="eastAsia" w:ascii="宋体" w:hAnsi="宋体" w:eastAsia="宋体" w:cs="宋体"/>
                <w:sz w:val="28"/>
                <w:szCs w:val="28"/>
                <w:highlight w:val="none"/>
                <w:lang w:val="en-US" w:eastAsia="zh-CN"/>
              </w:rPr>
              <w:t>日期：</w:t>
            </w:r>
          </w:p>
        </w:tc>
        <w:tc>
          <w:tcPr>
            <w:tcW w:w="4336" w:type="dxa"/>
            <w:noWrap/>
            <w:vAlign w:val="center"/>
          </w:tcPr>
          <w:p w14:paraId="13B7F628">
            <w:pPr>
              <w:spacing w:line="360" w:lineRule="exact"/>
              <w:rPr>
                <w:rFonts w:ascii="仿宋_GB2312" w:hAnsi="仿宋_GB2312" w:eastAsia="仿宋_GB2312" w:cs="仿宋_GB2312"/>
                <w:sz w:val="28"/>
                <w:szCs w:val="28"/>
                <w:highlight w:val="none"/>
              </w:rPr>
            </w:pPr>
            <w:r>
              <w:rPr>
                <w:rFonts w:hint="eastAsia" w:ascii="宋体" w:hAnsi="宋体" w:eastAsia="宋体" w:cs="宋体"/>
                <w:sz w:val="28"/>
                <w:szCs w:val="28"/>
                <w:highlight w:val="none"/>
                <w:lang w:val="en-US" w:eastAsia="zh-CN"/>
              </w:rPr>
              <w:t xml:space="preserve">日期： </w:t>
            </w:r>
          </w:p>
        </w:tc>
      </w:tr>
    </w:tbl>
    <w:p w14:paraId="6FB77BA3">
      <w:pPr>
        <w:spacing w:line="360" w:lineRule="auto"/>
        <w:rPr>
          <w:rFonts w:hint="default" w:ascii="宋体" w:hAnsi="宋体" w:eastAsia="宋体" w:cs="宋体"/>
          <w:bCs/>
          <w:sz w:val="28"/>
          <w:szCs w:val="28"/>
          <w:highlight w:val="none"/>
          <w:lang w:val="en-US" w:eastAsia="zh-CN"/>
        </w:rPr>
      </w:pPr>
    </w:p>
    <w:sectPr>
      <w:footerReference r:id="rId5"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EU-F1">
    <w:altName w:val="宋体"/>
    <w:panose1 w:val="00000000000000000000"/>
    <w:charset w:val="86"/>
    <w:family w:val="script"/>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CF728">
    <w:pPr>
      <w:pStyle w:val="17"/>
      <w:jc w:val="center"/>
    </w:pPr>
    <w:r>
      <w:rPr>
        <w:rFonts w:hint="eastAsia"/>
      </w:rPr>
      <w:t xml:space="preserve">                            </w:t>
    </w:r>
    <w:r>
      <w:rPr>
        <w:rFonts w:hint="eastAsia"/>
        <w:lang w:val="en-US" w:eastAsia="zh-CN"/>
      </w:rPr>
      <w:t xml:space="preserve">                                         </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330F8">
    <w:pPr>
      <w:pStyle w:val="17"/>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58DAE">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371D04"/>
    <w:multiLevelType w:val="singleLevel"/>
    <w:tmpl w:val="9F371D04"/>
    <w:lvl w:ilvl="0" w:tentative="0">
      <w:start w:val="9"/>
      <w:numFmt w:val="decimal"/>
      <w:suff w:val="space"/>
      <w:lvlText w:val="%1."/>
      <w:lvlJc w:val="left"/>
    </w:lvl>
  </w:abstractNum>
  <w:abstractNum w:abstractNumId="1">
    <w:nsid w:val="00000002"/>
    <w:multiLevelType w:val="multilevel"/>
    <w:tmpl w:val="00000002"/>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pStyle w:val="52"/>
      <w:lvlText w:val="%1.%2.%3.%4"/>
      <w:lvlJc w:val="left"/>
    </w:lvl>
    <w:lvl w:ilvl="4" w:tentative="0">
      <w:start w:val="1"/>
      <w:numFmt w:val="decimal"/>
      <w:lvlText w:val="%1.%2.%3.%4.%5"/>
      <w:lvlJc w:val="left"/>
    </w:lvl>
    <w:lvl w:ilvl="5" w:tentative="0">
      <w:start w:val="1"/>
      <w:numFmt w:val="decimal"/>
      <w:lvlText w:val="%1.%2.%3.%4.%5.%6"/>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abstractNum w:abstractNumId="2">
    <w:nsid w:val="253F26AC"/>
    <w:multiLevelType w:val="singleLevel"/>
    <w:tmpl w:val="253F26AC"/>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2NWMxYjNlMjUzNzc2ZTU3NzVmNjkxYmU4MGRjZjgifQ=="/>
    <w:docVar w:name="KSO_WPS_MARK_KEY" w:val="243ee5a0-5250-4534-b8ca-363d3bbbea2f"/>
  </w:docVars>
  <w:rsids>
    <w:rsidRoot w:val="3E60168E"/>
    <w:rsid w:val="00043144"/>
    <w:rsid w:val="000A4E4B"/>
    <w:rsid w:val="001620F8"/>
    <w:rsid w:val="001C7D9C"/>
    <w:rsid w:val="001D5FB4"/>
    <w:rsid w:val="0028426C"/>
    <w:rsid w:val="002B05AD"/>
    <w:rsid w:val="002B7C30"/>
    <w:rsid w:val="002E673C"/>
    <w:rsid w:val="00350CD6"/>
    <w:rsid w:val="0036032B"/>
    <w:rsid w:val="003B4060"/>
    <w:rsid w:val="00407DC3"/>
    <w:rsid w:val="00432B2D"/>
    <w:rsid w:val="00446C65"/>
    <w:rsid w:val="0046235A"/>
    <w:rsid w:val="00463214"/>
    <w:rsid w:val="004A31C2"/>
    <w:rsid w:val="004B6A90"/>
    <w:rsid w:val="004C2A5B"/>
    <w:rsid w:val="00501EE6"/>
    <w:rsid w:val="00507BDE"/>
    <w:rsid w:val="005A7208"/>
    <w:rsid w:val="005C5497"/>
    <w:rsid w:val="005C6C2E"/>
    <w:rsid w:val="0065502F"/>
    <w:rsid w:val="00671D0D"/>
    <w:rsid w:val="006E3AE3"/>
    <w:rsid w:val="007A73C6"/>
    <w:rsid w:val="007C7F20"/>
    <w:rsid w:val="007D3DF8"/>
    <w:rsid w:val="0087167F"/>
    <w:rsid w:val="008D70A7"/>
    <w:rsid w:val="008E2714"/>
    <w:rsid w:val="008E3A49"/>
    <w:rsid w:val="008E4475"/>
    <w:rsid w:val="00933906"/>
    <w:rsid w:val="00973FDD"/>
    <w:rsid w:val="009E5F04"/>
    <w:rsid w:val="009E6B42"/>
    <w:rsid w:val="00A33952"/>
    <w:rsid w:val="00A36032"/>
    <w:rsid w:val="00A46FB2"/>
    <w:rsid w:val="00A51F76"/>
    <w:rsid w:val="00AC4D39"/>
    <w:rsid w:val="00AE0618"/>
    <w:rsid w:val="00AF123E"/>
    <w:rsid w:val="00B22BA0"/>
    <w:rsid w:val="00B74FA5"/>
    <w:rsid w:val="00B81947"/>
    <w:rsid w:val="00BB2E6E"/>
    <w:rsid w:val="00BE1B40"/>
    <w:rsid w:val="00CC0741"/>
    <w:rsid w:val="00CC539E"/>
    <w:rsid w:val="00CD4129"/>
    <w:rsid w:val="00D378FC"/>
    <w:rsid w:val="00D561CC"/>
    <w:rsid w:val="00D86077"/>
    <w:rsid w:val="00D91160"/>
    <w:rsid w:val="00DB756C"/>
    <w:rsid w:val="00DC032E"/>
    <w:rsid w:val="00DC3B4B"/>
    <w:rsid w:val="00DC4685"/>
    <w:rsid w:val="00DC5AF0"/>
    <w:rsid w:val="00DC7C1D"/>
    <w:rsid w:val="00E23233"/>
    <w:rsid w:val="00E66DAB"/>
    <w:rsid w:val="00EA1754"/>
    <w:rsid w:val="00EB725F"/>
    <w:rsid w:val="00ED0F8B"/>
    <w:rsid w:val="00EE5A6A"/>
    <w:rsid w:val="00F31A87"/>
    <w:rsid w:val="00F35734"/>
    <w:rsid w:val="00F907CF"/>
    <w:rsid w:val="00FA5A6A"/>
    <w:rsid w:val="00FC206D"/>
    <w:rsid w:val="00FD4218"/>
    <w:rsid w:val="01066A48"/>
    <w:rsid w:val="01207B0A"/>
    <w:rsid w:val="014A102B"/>
    <w:rsid w:val="017813C6"/>
    <w:rsid w:val="01822573"/>
    <w:rsid w:val="018D25AA"/>
    <w:rsid w:val="01D628BE"/>
    <w:rsid w:val="01E74ACC"/>
    <w:rsid w:val="01FD3441"/>
    <w:rsid w:val="02063E51"/>
    <w:rsid w:val="024A0BB7"/>
    <w:rsid w:val="02883D06"/>
    <w:rsid w:val="02EB05EB"/>
    <w:rsid w:val="031713E0"/>
    <w:rsid w:val="032064E7"/>
    <w:rsid w:val="035A307B"/>
    <w:rsid w:val="03F51722"/>
    <w:rsid w:val="03F90AE6"/>
    <w:rsid w:val="04333FF8"/>
    <w:rsid w:val="04575F38"/>
    <w:rsid w:val="047C774D"/>
    <w:rsid w:val="04934A97"/>
    <w:rsid w:val="04A171B4"/>
    <w:rsid w:val="04D57913"/>
    <w:rsid w:val="04DA4474"/>
    <w:rsid w:val="05084CD1"/>
    <w:rsid w:val="051A0D14"/>
    <w:rsid w:val="05452235"/>
    <w:rsid w:val="054B35C3"/>
    <w:rsid w:val="05591248"/>
    <w:rsid w:val="05A9763C"/>
    <w:rsid w:val="060C17E9"/>
    <w:rsid w:val="062A142B"/>
    <w:rsid w:val="063F55D5"/>
    <w:rsid w:val="066B753A"/>
    <w:rsid w:val="06930D7E"/>
    <w:rsid w:val="06D46594"/>
    <w:rsid w:val="07026A9C"/>
    <w:rsid w:val="07600CCB"/>
    <w:rsid w:val="07610E7C"/>
    <w:rsid w:val="077508B3"/>
    <w:rsid w:val="078828AD"/>
    <w:rsid w:val="07C134B6"/>
    <w:rsid w:val="07E01DA1"/>
    <w:rsid w:val="07F10452"/>
    <w:rsid w:val="07F97307"/>
    <w:rsid w:val="082779D0"/>
    <w:rsid w:val="083F74D9"/>
    <w:rsid w:val="08566507"/>
    <w:rsid w:val="086C1887"/>
    <w:rsid w:val="0874698D"/>
    <w:rsid w:val="087F5A5E"/>
    <w:rsid w:val="08843074"/>
    <w:rsid w:val="088B29B2"/>
    <w:rsid w:val="08CC67C9"/>
    <w:rsid w:val="09147D4A"/>
    <w:rsid w:val="095E38C5"/>
    <w:rsid w:val="0963176D"/>
    <w:rsid w:val="0972111F"/>
    <w:rsid w:val="09750C0F"/>
    <w:rsid w:val="09B47989"/>
    <w:rsid w:val="09F258F5"/>
    <w:rsid w:val="0A344626"/>
    <w:rsid w:val="0AFD792C"/>
    <w:rsid w:val="0B015B5E"/>
    <w:rsid w:val="0B27418B"/>
    <w:rsid w:val="0B9E444D"/>
    <w:rsid w:val="0BE10AC9"/>
    <w:rsid w:val="0BFB2FAB"/>
    <w:rsid w:val="0BFD0A89"/>
    <w:rsid w:val="0C2C7CAB"/>
    <w:rsid w:val="0C370182"/>
    <w:rsid w:val="0C436DA2"/>
    <w:rsid w:val="0C540FAF"/>
    <w:rsid w:val="0C79168F"/>
    <w:rsid w:val="0C9951CA"/>
    <w:rsid w:val="0CE95B9C"/>
    <w:rsid w:val="0CF307C8"/>
    <w:rsid w:val="0D006A41"/>
    <w:rsid w:val="0D3D7C96"/>
    <w:rsid w:val="0D766D04"/>
    <w:rsid w:val="0D841421"/>
    <w:rsid w:val="0DB02216"/>
    <w:rsid w:val="0DB919C8"/>
    <w:rsid w:val="0E214EC1"/>
    <w:rsid w:val="0E2F57E5"/>
    <w:rsid w:val="0E344BF5"/>
    <w:rsid w:val="0E7019A0"/>
    <w:rsid w:val="0E9B7165"/>
    <w:rsid w:val="0ED62150"/>
    <w:rsid w:val="0EE16C1E"/>
    <w:rsid w:val="0EE7610B"/>
    <w:rsid w:val="0EF820C6"/>
    <w:rsid w:val="0EF95E3E"/>
    <w:rsid w:val="0F1F0356"/>
    <w:rsid w:val="0F220EF1"/>
    <w:rsid w:val="0F492922"/>
    <w:rsid w:val="0F4B669A"/>
    <w:rsid w:val="0F7D1947"/>
    <w:rsid w:val="0FA64EF2"/>
    <w:rsid w:val="0FF52AA9"/>
    <w:rsid w:val="0FFD54BA"/>
    <w:rsid w:val="10437371"/>
    <w:rsid w:val="108F0808"/>
    <w:rsid w:val="10A6021F"/>
    <w:rsid w:val="10AA3894"/>
    <w:rsid w:val="10E8616A"/>
    <w:rsid w:val="112371A2"/>
    <w:rsid w:val="112C6057"/>
    <w:rsid w:val="114809B7"/>
    <w:rsid w:val="119836EC"/>
    <w:rsid w:val="11D150CD"/>
    <w:rsid w:val="12704669"/>
    <w:rsid w:val="12A550B6"/>
    <w:rsid w:val="12AD31C8"/>
    <w:rsid w:val="12B60F72"/>
    <w:rsid w:val="12B941B2"/>
    <w:rsid w:val="12C624DB"/>
    <w:rsid w:val="12CF1390"/>
    <w:rsid w:val="12EF1A32"/>
    <w:rsid w:val="130814FD"/>
    <w:rsid w:val="132A0CBC"/>
    <w:rsid w:val="132B4FDC"/>
    <w:rsid w:val="134A1DC4"/>
    <w:rsid w:val="13623FB2"/>
    <w:rsid w:val="137D0DEC"/>
    <w:rsid w:val="13B62550"/>
    <w:rsid w:val="13CA2997"/>
    <w:rsid w:val="140137CB"/>
    <w:rsid w:val="1413660E"/>
    <w:rsid w:val="144638D4"/>
    <w:rsid w:val="14512147"/>
    <w:rsid w:val="14FD4200"/>
    <w:rsid w:val="15973CBB"/>
    <w:rsid w:val="15E45152"/>
    <w:rsid w:val="15F335E7"/>
    <w:rsid w:val="15FA6F51"/>
    <w:rsid w:val="16556617"/>
    <w:rsid w:val="16B6711B"/>
    <w:rsid w:val="16F21AF1"/>
    <w:rsid w:val="17581161"/>
    <w:rsid w:val="1796247C"/>
    <w:rsid w:val="17E23FEB"/>
    <w:rsid w:val="17FA6EAF"/>
    <w:rsid w:val="182201B4"/>
    <w:rsid w:val="183C74C7"/>
    <w:rsid w:val="184A3267"/>
    <w:rsid w:val="18700F1F"/>
    <w:rsid w:val="18767B46"/>
    <w:rsid w:val="18C15E0C"/>
    <w:rsid w:val="18C2080B"/>
    <w:rsid w:val="1939135A"/>
    <w:rsid w:val="19510D51"/>
    <w:rsid w:val="196C5B8A"/>
    <w:rsid w:val="1977452F"/>
    <w:rsid w:val="198253AE"/>
    <w:rsid w:val="199306BA"/>
    <w:rsid w:val="19960E59"/>
    <w:rsid w:val="19FE52B1"/>
    <w:rsid w:val="1A231FC1"/>
    <w:rsid w:val="1A331EC7"/>
    <w:rsid w:val="1A3F5A4F"/>
    <w:rsid w:val="1A4F2DB6"/>
    <w:rsid w:val="1A78055F"/>
    <w:rsid w:val="1A952EBF"/>
    <w:rsid w:val="1AA66E7A"/>
    <w:rsid w:val="1AD5775F"/>
    <w:rsid w:val="1AF5306A"/>
    <w:rsid w:val="1B4B65BE"/>
    <w:rsid w:val="1B591397"/>
    <w:rsid w:val="1B5F6D18"/>
    <w:rsid w:val="1B753643"/>
    <w:rsid w:val="1B8D3BC9"/>
    <w:rsid w:val="1BA45BF2"/>
    <w:rsid w:val="1BCC2910"/>
    <w:rsid w:val="1BCD02DF"/>
    <w:rsid w:val="1BDF705C"/>
    <w:rsid w:val="1BE340FE"/>
    <w:rsid w:val="1BE539D2"/>
    <w:rsid w:val="1BE76486"/>
    <w:rsid w:val="1BF56D7C"/>
    <w:rsid w:val="1C35495A"/>
    <w:rsid w:val="1C3B7F15"/>
    <w:rsid w:val="1C3E478C"/>
    <w:rsid w:val="1C8C20A0"/>
    <w:rsid w:val="1C984EE8"/>
    <w:rsid w:val="1CF12709"/>
    <w:rsid w:val="1D294E8E"/>
    <w:rsid w:val="1D4806BC"/>
    <w:rsid w:val="1D631052"/>
    <w:rsid w:val="1D8B2357"/>
    <w:rsid w:val="1DB95116"/>
    <w:rsid w:val="1DDC7057"/>
    <w:rsid w:val="1E43187E"/>
    <w:rsid w:val="1E522559"/>
    <w:rsid w:val="1E5E3C91"/>
    <w:rsid w:val="1E696B3C"/>
    <w:rsid w:val="1E7E3C6A"/>
    <w:rsid w:val="1E957931"/>
    <w:rsid w:val="1EB202A6"/>
    <w:rsid w:val="1EFD3632"/>
    <w:rsid w:val="1F010B23"/>
    <w:rsid w:val="1F2D7B6A"/>
    <w:rsid w:val="1F4C3F3B"/>
    <w:rsid w:val="1FE2222E"/>
    <w:rsid w:val="1FF64400"/>
    <w:rsid w:val="20375041"/>
    <w:rsid w:val="20665E37"/>
    <w:rsid w:val="20893C77"/>
    <w:rsid w:val="20F27EB9"/>
    <w:rsid w:val="211508B6"/>
    <w:rsid w:val="21171A7F"/>
    <w:rsid w:val="21187BA4"/>
    <w:rsid w:val="21262AC3"/>
    <w:rsid w:val="216655B5"/>
    <w:rsid w:val="216E6218"/>
    <w:rsid w:val="21892883"/>
    <w:rsid w:val="21C127EB"/>
    <w:rsid w:val="21EF7359"/>
    <w:rsid w:val="22277108"/>
    <w:rsid w:val="22B42350"/>
    <w:rsid w:val="22E46A00"/>
    <w:rsid w:val="231828DF"/>
    <w:rsid w:val="231C6A1F"/>
    <w:rsid w:val="2366189C"/>
    <w:rsid w:val="238E13E1"/>
    <w:rsid w:val="23B24AE2"/>
    <w:rsid w:val="23B42DDB"/>
    <w:rsid w:val="23C87E61"/>
    <w:rsid w:val="240864B0"/>
    <w:rsid w:val="24172B97"/>
    <w:rsid w:val="245F009A"/>
    <w:rsid w:val="246F4781"/>
    <w:rsid w:val="2472601F"/>
    <w:rsid w:val="249E0BC2"/>
    <w:rsid w:val="24C02B77"/>
    <w:rsid w:val="24C40920"/>
    <w:rsid w:val="25541EB2"/>
    <w:rsid w:val="259C2D86"/>
    <w:rsid w:val="25B05051"/>
    <w:rsid w:val="25B221B4"/>
    <w:rsid w:val="25C93ACF"/>
    <w:rsid w:val="261B1A04"/>
    <w:rsid w:val="26211AAB"/>
    <w:rsid w:val="26EF6DFB"/>
    <w:rsid w:val="275B0FEC"/>
    <w:rsid w:val="276B7482"/>
    <w:rsid w:val="277F4CDB"/>
    <w:rsid w:val="278D6728"/>
    <w:rsid w:val="27962024"/>
    <w:rsid w:val="27A116B6"/>
    <w:rsid w:val="27F058DE"/>
    <w:rsid w:val="282424E5"/>
    <w:rsid w:val="28283F7D"/>
    <w:rsid w:val="284E28FF"/>
    <w:rsid w:val="2854731B"/>
    <w:rsid w:val="292D2626"/>
    <w:rsid w:val="298B5A4B"/>
    <w:rsid w:val="298F3CE6"/>
    <w:rsid w:val="2A004A26"/>
    <w:rsid w:val="2AA00A7C"/>
    <w:rsid w:val="2B050B4A"/>
    <w:rsid w:val="2B083239"/>
    <w:rsid w:val="2B524F32"/>
    <w:rsid w:val="2B603075"/>
    <w:rsid w:val="2B69017C"/>
    <w:rsid w:val="2B6D12EE"/>
    <w:rsid w:val="2B726905"/>
    <w:rsid w:val="2B96153B"/>
    <w:rsid w:val="2BD307D3"/>
    <w:rsid w:val="2BD733B6"/>
    <w:rsid w:val="2BE0727F"/>
    <w:rsid w:val="2BE5745F"/>
    <w:rsid w:val="2BF10171"/>
    <w:rsid w:val="2BF57C61"/>
    <w:rsid w:val="2C4B7881"/>
    <w:rsid w:val="2C83526D"/>
    <w:rsid w:val="2CB01DDA"/>
    <w:rsid w:val="2CC92505"/>
    <w:rsid w:val="2CE83D50"/>
    <w:rsid w:val="2D0D2D89"/>
    <w:rsid w:val="2D1F5D48"/>
    <w:rsid w:val="2D2F71A3"/>
    <w:rsid w:val="2D346567"/>
    <w:rsid w:val="2D393B7E"/>
    <w:rsid w:val="2D3E4386"/>
    <w:rsid w:val="2D5E5941"/>
    <w:rsid w:val="2D8F7C42"/>
    <w:rsid w:val="2D9B0395"/>
    <w:rsid w:val="2DAC4350"/>
    <w:rsid w:val="2DE41D3C"/>
    <w:rsid w:val="2DF259C6"/>
    <w:rsid w:val="2E075A2A"/>
    <w:rsid w:val="2E52619A"/>
    <w:rsid w:val="2E636E27"/>
    <w:rsid w:val="2EFB33FE"/>
    <w:rsid w:val="2FBE036A"/>
    <w:rsid w:val="2FC8743B"/>
    <w:rsid w:val="2FED05D5"/>
    <w:rsid w:val="30662EDC"/>
    <w:rsid w:val="30C776F3"/>
    <w:rsid w:val="30CD16E2"/>
    <w:rsid w:val="30F027A5"/>
    <w:rsid w:val="31037E57"/>
    <w:rsid w:val="31046701"/>
    <w:rsid w:val="31352618"/>
    <w:rsid w:val="31682C84"/>
    <w:rsid w:val="31C00377"/>
    <w:rsid w:val="31C81974"/>
    <w:rsid w:val="31C90226"/>
    <w:rsid w:val="31D71BB7"/>
    <w:rsid w:val="32425283"/>
    <w:rsid w:val="328055A1"/>
    <w:rsid w:val="32A52782"/>
    <w:rsid w:val="32B141B6"/>
    <w:rsid w:val="32B441F2"/>
    <w:rsid w:val="32C64B91"/>
    <w:rsid w:val="32CE263E"/>
    <w:rsid w:val="32F742BF"/>
    <w:rsid w:val="330F05D7"/>
    <w:rsid w:val="333170A5"/>
    <w:rsid w:val="33833DA5"/>
    <w:rsid w:val="338E4CED"/>
    <w:rsid w:val="33A66BC8"/>
    <w:rsid w:val="33B95A18"/>
    <w:rsid w:val="33C320C4"/>
    <w:rsid w:val="33D463AE"/>
    <w:rsid w:val="346C7B97"/>
    <w:rsid w:val="346C7D60"/>
    <w:rsid w:val="3529272A"/>
    <w:rsid w:val="3619279E"/>
    <w:rsid w:val="364D2448"/>
    <w:rsid w:val="367B6FB5"/>
    <w:rsid w:val="36C02C1A"/>
    <w:rsid w:val="36CF7301"/>
    <w:rsid w:val="36DD557A"/>
    <w:rsid w:val="36EA39D5"/>
    <w:rsid w:val="37212067"/>
    <w:rsid w:val="373E6D06"/>
    <w:rsid w:val="37492C0F"/>
    <w:rsid w:val="37660D5D"/>
    <w:rsid w:val="378843F5"/>
    <w:rsid w:val="37962A96"/>
    <w:rsid w:val="37C50F6E"/>
    <w:rsid w:val="37F01A08"/>
    <w:rsid w:val="37F62DE6"/>
    <w:rsid w:val="37FD2F07"/>
    <w:rsid w:val="37FE1C4C"/>
    <w:rsid w:val="38504E6F"/>
    <w:rsid w:val="388760E5"/>
    <w:rsid w:val="38B61B6D"/>
    <w:rsid w:val="38CA6CB0"/>
    <w:rsid w:val="38CC1D4A"/>
    <w:rsid w:val="38D46E50"/>
    <w:rsid w:val="39012314"/>
    <w:rsid w:val="393C7109"/>
    <w:rsid w:val="397D02D4"/>
    <w:rsid w:val="39810D86"/>
    <w:rsid w:val="3A0B63E1"/>
    <w:rsid w:val="3A5C04DB"/>
    <w:rsid w:val="3A8521B0"/>
    <w:rsid w:val="3A9C574C"/>
    <w:rsid w:val="3AF36915"/>
    <w:rsid w:val="3B032C08"/>
    <w:rsid w:val="3B111708"/>
    <w:rsid w:val="3B1B0D67"/>
    <w:rsid w:val="3B2477AE"/>
    <w:rsid w:val="3B5C700A"/>
    <w:rsid w:val="3B8E778B"/>
    <w:rsid w:val="3BB84807"/>
    <w:rsid w:val="3BBE792D"/>
    <w:rsid w:val="3BFA07DD"/>
    <w:rsid w:val="3C11114C"/>
    <w:rsid w:val="3C3519B4"/>
    <w:rsid w:val="3C461E13"/>
    <w:rsid w:val="3C9A5CBB"/>
    <w:rsid w:val="3CAD544D"/>
    <w:rsid w:val="3CC1149A"/>
    <w:rsid w:val="3CFB49AC"/>
    <w:rsid w:val="3D3251D4"/>
    <w:rsid w:val="3D9406C6"/>
    <w:rsid w:val="3E5A7DF8"/>
    <w:rsid w:val="3E60168E"/>
    <w:rsid w:val="3E7A29B1"/>
    <w:rsid w:val="3EE029C8"/>
    <w:rsid w:val="3F4106E4"/>
    <w:rsid w:val="3F626F64"/>
    <w:rsid w:val="3FA915B5"/>
    <w:rsid w:val="3FAF361E"/>
    <w:rsid w:val="3FB53538"/>
    <w:rsid w:val="3FEB5F46"/>
    <w:rsid w:val="400E0E9A"/>
    <w:rsid w:val="407D2605"/>
    <w:rsid w:val="40972C3D"/>
    <w:rsid w:val="40E1035D"/>
    <w:rsid w:val="412D35A2"/>
    <w:rsid w:val="414538EA"/>
    <w:rsid w:val="41601281"/>
    <w:rsid w:val="41A90E7A"/>
    <w:rsid w:val="41CC62BE"/>
    <w:rsid w:val="41FA0111"/>
    <w:rsid w:val="4214206C"/>
    <w:rsid w:val="42293D69"/>
    <w:rsid w:val="42470693"/>
    <w:rsid w:val="42B20202"/>
    <w:rsid w:val="42B5384F"/>
    <w:rsid w:val="4332516D"/>
    <w:rsid w:val="433A0A40"/>
    <w:rsid w:val="4351249E"/>
    <w:rsid w:val="43BF2C9A"/>
    <w:rsid w:val="43EB225E"/>
    <w:rsid w:val="44137209"/>
    <w:rsid w:val="44585C37"/>
    <w:rsid w:val="445F1CC4"/>
    <w:rsid w:val="4491632A"/>
    <w:rsid w:val="44A07888"/>
    <w:rsid w:val="44BA339E"/>
    <w:rsid w:val="44D31252"/>
    <w:rsid w:val="4513380A"/>
    <w:rsid w:val="45433394"/>
    <w:rsid w:val="4544199D"/>
    <w:rsid w:val="455235D7"/>
    <w:rsid w:val="45703A5D"/>
    <w:rsid w:val="45840E46"/>
    <w:rsid w:val="45995BB2"/>
    <w:rsid w:val="45A32084"/>
    <w:rsid w:val="45D30911"/>
    <w:rsid w:val="4616639C"/>
    <w:rsid w:val="461B46D8"/>
    <w:rsid w:val="46207231"/>
    <w:rsid w:val="46244F73"/>
    <w:rsid w:val="466C0C5A"/>
    <w:rsid w:val="467F00E4"/>
    <w:rsid w:val="46B04302"/>
    <w:rsid w:val="46D85D5E"/>
    <w:rsid w:val="47086643"/>
    <w:rsid w:val="471843AC"/>
    <w:rsid w:val="472E3BD0"/>
    <w:rsid w:val="47847C82"/>
    <w:rsid w:val="47BD685E"/>
    <w:rsid w:val="47EA5D49"/>
    <w:rsid w:val="47EC27D2"/>
    <w:rsid w:val="483E6094"/>
    <w:rsid w:val="484F69D2"/>
    <w:rsid w:val="488276CC"/>
    <w:rsid w:val="48D40BBB"/>
    <w:rsid w:val="48FA08C3"/>
    <w:rsid w:val="49003397"/>
    <w:rsid w:val="490E1F0B"/>
    <w:rsid w:val="49105C83"/>
    <w:rsid w:val="494C27E3"/>
    <w:rsid w:val="496D09DF"/>
    <w:rsid w:val="49856524"/>
    <w:rsid w:val="49F66B3A"/>
    <w:rsid w:val="4A0F5F3A"/>
    <w:rsid w:val="4A3D4856"/>
    <w:rsid w:val="4A4946C7"/>
    <w:rsid w:val="4A5C5CE8"/>
    <w:rsid w:val="4A7E09CA"/>
    <w:rsid w:val="4AB61F9C"/>
    <w:rsid w:val="4AC565F9"/>
    <w:rsid w:val="4ADD3943"/>
    <w:rsid w:val="4AE37EC1"/>
    <w:rsid w:val="4B1055F5"/>
    <w:rsid w:val="4B2E18EE"/>
    <w:rsid w:val="4B3F63AB"/>
    <w:rsid w:val="4B692BD6"/>
    <w:rsid w:val="4B7702A6"/>
    <w:rsid w:val="4B847060"/>
    <w:rsid w:val="4BBC79FC"/>
    <w:rsid w:val="4BC82845"/>
    <w:rsid w:val="4BE51056"/>
    <w:rsid w:val="4BF52F0E"/>
    <w:rsid w:val="4BF8453E"/>
    <w:rsid w:val="4C0B5A01"/>
    <w:rsid w:val="4C355EC6"/>
    <w:rsid w:val="4C46376A"/>
    <w:rsid w:val="4C854292"/>
    <w:rsid w:val="4CBF2C08"/>
    <w:rsid w:val="4CCC3C6F"/>
    <w:rsid w:val="4D986247"/>
    <w:rsid w:val="4DA73593"/>
    <w:rsid w:val="4E1C0C26"/>
    <w:rsid w:val="4E2A3343"/>
    <w:rsid w:val="4E345F70"/>
    <w:rsid w:val="4E766015"/>
    <w:rsid w:val="4E7B594C"/>
    <w:rsid w:val="4E8C0706"/>
    <w:rsid w:val="4E921385"/>
    <w:rsid w:val="4F2C6C47"/>
    <w:rsid w:val="4F340BFA"/>
    <w:rsid w:val="4F624D5E"/>
    <w:rsid w:val="4F701229"/>
    <w:rsid w:val="4F806F93"/>
    <w:rsid w:val="4F98252E"/>
    <w:rsid w:val="50812FC2"/>
    <w:rsid w:val="50A0169A"/>
    <w:rsid w:val="50A22699"/>
    <w:rsid w:val="50E05F3B"/>
    <w:rsid w:val="50ED4988"/>
    <w:rsid w:val="51756B3A"/>
    <w:rsid w:val="517F39A6"/>
    <w:rsid w:val="519F2BF4"/>
    <w:rsid w:val="51A52CE0"/>
    <w:rsid w:val="51A96C75"/>
    <w:rsid w:val="51B230E6"/>
    <w:rsid w:val="51D35A9F"/>
    <w:rsid w:val="52495D62"/>
    <w:rsid w:val="529A65BD"/>
    <w:rsid w:val="52CF44B9"/>
    <w:rsid w:val="53057EDB"/>
    <w:rsid w:val="53B11E10"/>
    <w:rsid w:val="545253A1"/>
    <w:rsid w:val="54A656ED"/>
    <w:rsid w:val="54A92112"/>
    <w:rsid w:val="55191A1B"/>
    <w:rsid w:val="55254864"/>
    <w:rsid w:val="55A12394"/>
    <w:rsid w:val="55B87486"/>
    <w:rsid w:val="55C45E2B"/>
    <w:rsid w:val="55D82B5D"/>
    <w:rsid w:val="55FF50B5"/>
    <w:rsid w:val="56644F18"/>
    <w:rsid w:val="567B1F2B"/>
    <w:rsid w:val="567D5FDA"/>
    <w:rsid w:val="56861332"/>
    <w:rsid w:val="56A634F3"/>
    <w:rsid w:val="56BC7FA7"/>
    <w:rsid w:val="56C500AD"/>
    <w:rsid w:val="57076D1A"/>
    <w:rsid w:val="573C5392"/>
    <w:rsid w:val="574D567F"/>
    <w:rsid w:val="57570AA4"/>
    <w:rsid w:val="575C02E5"/>
    <w:rsid w:val="575E22AF"/>
    <w:rsid w:val="5772224C"/>
    <w:rsid w:val="57723665"/>
    <w:rsid w:val="577473DD"/>
    <w:rsid w:val="578D3476"/>
    <w:rsid w:val="57916D63"/>
    <w:rsid w:val="580249E9"/>
    <w:rsid w:val="58093FC9"/>
    <w:rsid w:val="580C5867"/>
    <w:rsid w:val="58216BD0"/>
    <w:rsid w:val="582E3170"/>
    <w:rsid w:val="585316E8"/>
    <w:rsid w:val="587E3EC7"/>
    <w:rsid w:val="58A43E3B"/>
    <w:rsid w:val="58C71978"/>
    <w:rsid w:val="58CB13BE"/>
    <w:rsid w:val="5915699E"/>
    <w:rsid w:val="5986281A"/>
    <w:rsid w:val="59A86BA1"/>
    <w:rsid w:val="5A00215B"/>
    <w:rsid w:val="5A0816FC"/>
    <w:rsid w:val="5A366AB1"/>
    <w:rsid w:val="5A5A6D5E"/>
    <w:rsid w:val="5A67147B"/>
    <w:rsid w:val="5A6B50C6"/>
    <w:rsid w:val="5A6E693B"/>
    <w:rsid w:val="5AE91079"/>
    <w:rsid w:val="5AE91E90"/>
    <w:rsid w:val="5AF56A87"/>
    <w:rsid w:val="5B714C1D"/>
    <w:rsid w:val="5BAB5397"/>
    <w:rsid w:val="5BAE7862"/>
    <w:rsid w:val="5BC1785C"/>
    <w:rsid w:val="5C0366CC"/>
    <w:rsid w:val="5C643EC4"/>
    <w:rsid w:val="5C7155A6"/>
    <w:rsid w:val="5CA32054"/>
    <w:rsid w:val="5CBD35D4"/>
    <w:rsid w:val="5CC8203E"/>
    <w:rsid w:val="5D2738B3"/>
    <w:rsid w:val="5D30024A"/>
    <w:rsid w:val="5D4C0850"/>
    <w:rsid w:val="5D9D5036"/>
    <w:rsid w:val="5DE54B90"/>
    <w:rsid w:val="5E5D6E1D"/>
    <w:rsid w:val="5E7A2CDB"/>
    <w:rsid w:val="5E7E6403"/>
    <w:rsid w:val="5E85118E"/>
    <w:rsid w:val="5E8953EC"/>
    <w:rsid w:val="5EDE3D8C"/>
    <w:rsid w:val="5EE25A4F"/>
    <w:rsid w:val="5EE63704"/>
    <w:rsid w:val="5F1F39A6"/>
    <w:rsid w:val="5F3A0F0C"/>
    <w:rsid w:val="5F3A715E"/>
    <w:rsid w:val="5F7A1C50"/>
    <w:rsid w:val="5FAB1E0A"/>
    <w:rsid w:val="5FCF537D"/>
    <w:rsid w:val="5FD118B2"/>
    <w:rsid w:val="5FD650D9"/>
    <w:rsid w:val="601E044E"/>
    <w:rsid w:val="602776E2"/>
    <w:rsid w:val="604364E6"/>
    <w:rsid w:val="606326E4"/>
    <w:rsid w:val="6065020A"/>
    <w:rsid w:val="606F21AC"/>
    <w:rsid w:val="609946E1"/>
    <w:rsid w:val="60AA0313"/>
    <w:rsid w:val="60BB607C"/>
    <w:rsid w:val="60BD3BA3"/>
    <w:rsid w:val="61113EEE"/>
    <w:rsid w:val="61475B62"/>
    <w:rsid w:val="614B4ACA"/>
    <w:rsid w:val="61502745"/>
    <w:rsid w:val="6151078F"/>
    <w:rsid w:val="61616C24"/>
    <w:rsid w:val="617526CF"/>
    <w:rsid w:val="619939F1"/>
    <w:rsid w:val="61E15FB7"/>
    <w:rsid w:val="620B6B90"/>
    <w:rsid w:val="621B3277"/>
    <w:rsid w:val="624452BB"/>
    <w:rsid w:val="626B6C96"/>
    <w:rsid w:val="62951F87"/>
    <w:rsid w:val="62B334AF"/>
    <w:rsid w:val="633A597E"/>
    <w:rsid w:val="636E73D6"/>
    <w:rsid w:val="63E61662"/>
    <w:rsid w:val="63F0428F"/>
    <w:rsid w:val="63F0603D"/>
    <w:rsid w:val="641B0AB8"/>
    <w:rsid w:val="644840CB"/>
    <w:rsid w:val="644B7717"/>
    <w:rsid w:val="64526CF8"/>
    <w:rsid w:val="64744EC0"/>
    <w:rsid w:val="649015CE"/>
    <w:rsid w:val="650A312E"/>
    <w:rsid w:val="65141AED"/>
    <w:rsid w:val="65442AE4"/>
    <w:rsid w:val="6570237E"/>
    <w:rsid w:val="658B411E"/>
    <w:rsid w:val="658D448B"/>
    <w:rsid w:val="65A76BCF"/>
    <w:rsid w:val="65DA0D53"/>
    <w:rsid w:val="65DB2DEA"/>
    <w:rsid w:val="65EB2F60"/>
    <w:rsid w:val="65F53DDF"/>
    <w:rsid w:val="66166B53"/>
    <w:rsid w:val="66B15F58"/>
    <w:rsid w:val="66BA6CF2"/>
    <w:rsid w:val="671D35ED"/>
    <w:rsid w:val="67845513"/>
    <w:rsid w:val="679D472E"/>
    <w:rsid w:val="67BC2E06"/>
    <w:rsid w:val="67E20393"/>
    <w:rsid w:val="685F7C35"/>
    <w:rsid w:val="68753CFC"/>
    <w:rsid w:val="68E61B56"/>
    <w:rsid w:val="68F71C1C"/>
    <w:rsid w:val="69230C63"/>
    <w:rsid w:val="694D153E"/>
    <w:rsid w:val="69962577"/>
    <w:rsid w:val="69B63885"/>
    <w:rsid w:val="69D07E37"/>
    <w:rsid w:val="69F04628"/>
    <w:rsid w:val="69FA0715"/>
    <w:rsid w:val="6A131573"/>
    <w:rsid w:val="6A324C34"/>
    <w:rsid w:val="6A4E7F61"/>
    <w:rsid w:val="6AB83A62"/>
    <w:rsid w:val="6ACC6F26"/>
    <w:rsid w:val="6AD81268"/>
    <w:rsid w:val="6AFF5E6D"/>
    <w:rsid w:val="6B1C1A9C"/>
    <w:rsid w:val="6B2A452A"/>
    <w:rsid w:val="6B506EB0"/>
    <w:rsid w:val="6B6D2669"/>
    <w:rsid w:val="6BFF59B7"/>
    <w:rsid w:val="6C2B055A"/>
    <w:rsid w:val="6C2B67AC"/>
    <w:rsid w:val="6C6E070F"/>
    <w:rsid w:val="6C861C34"/>
    <w:rsid w:val="6C9348F0"/>
    <w:rsid w:val="6CA12E60"/>
    <w:rsid w:val="6CA36342"/>
    <w:rsid w:val="6CBC5656"/>
    <w:rsid w:val="6CC10EBE"/>
    <w:rsid w:val="6D3F3B91"/>
    <w:rsid w:val="6D45564C"/>
    <w:rsid w:val="6D5720D2"/>
    <w:rsid w:val="6D7F2AB6"/>
    <w:rsid w:val="6DB24CEA"/>
    <w:rsid w:val="6DD469CF"/>
    <w:rsid w:val="6DE704B1"/>
    <w:rsid w:val="6E386F5E"/>
    <w:rsid w:val="6E421B8B"/>
    <w:rsid w:val="6E9F307A"/>
    <w:rsid w:val="6EBE56B6"/>
    <w:rsid w:val="6ECA41F6"/>
    <w:rsid w:val="6EF86442"/>
    <w:rsid w:val="6F1277AF"/>
    <w:rsid w:val="6F6C426D"/>
    <w:rsid w:val="6F854425"/>
    <w:rsid w:val="6FD338E2"/>
    <w:rsid w:val="6FFF3C3A"/>
    <w:rsid w:val="701B2772"/>
    <w:rsid w:val="70335974"/>
    <w:rsid w:val="704A0779"/>
    <w:rsid w:val="705A140E"/>
    <w:rsid w:val="70EE1B56"/>
    <w:rsid w:val="710E21F8"/>
    <w:rsid w:val="712571B0"/>
    <w:rsid w:val="71381023"/>
    <w:rsid w:val="71585F27"/>
    <w:rsid w:val="719C5A56"/>
    <w:rsid w:val="71A2398B"/>
    <w:rsid w:val="71B71E6E"/>
    <w:rsid w:val="71B72E2B"/>
    <w:rsid w:val="71B920AA"/>
    <w:rsid w:val="71C95F2F"/>
    <w:rsid w:val="71CA4371"/>
    <w:rsid w:val="71D451F0"/>
    <w:rsid w:val="71FB452B"/>
    <w:rsid w:val="72D34ED2"/>
    <w:rsid w:val="72DB610A"/>
    <w:rsid w:val="72F60E7D"/>
    <w:rsid w:val="73923BD7"/>
    <w:rsid w:val="73A62711"/>
    <w:rsid w:val="73AF6424"/>
    <w:rsid w:val="73D019E7"/>
    <w:rsid w:val="73D54732"/>
    <w:rsid w:val="740F42BD"/>
    <w:rsid w:val="74324450"/>
    <w:rsid w:val="7433340D"/>
    <w:rsid w:val="74652B99"/>
    <w:rsid w:val="748922C2"/>
    <w:rsid w:val="74926997"/>
    <w:rsid w:val="74C25B79"/>
    <w:rsid w:val="74D01C2F"/>
    <w:rsid w:val="74FD680C"/>
    <w:rsid w:val="75063912"/>
    <w:rsid w:val="750E6C6B"/>
    <w:rsid w:val="751A116C"/>
    <w:rsid w:val="758111EB"/>
    <w:rsid w:val="759F78C3"/>
    <w:rsid w:val="762027B2"/>
    <w:rsid w:val="762B1157"/>
    <w:rsid w:val="76571F4C"/>
    <w:rsid w:val="76805946"/>
    <w:rsid w:val="768F5B89"/>
    <w:rsid w:val="769B62DC"/>
    <w:rsid w:val="76A059B2"/>
    <w:rsid w:val="76AF3B36"/>
    <w:rsid w:val="76CF20EA"/>
    <w:rsid w:val="77291B3A"/>
    <w:rsid w:val="774D5DF1"/>
    <w:rsid w:val="77860D3A"/>
    <w:rsid w:val="779F144D"/>
    <w:rsid w:val="779F1DFC"/>
    <w:rsid w:val="77B63DB5"/>
    <w:rsid w:val="77BA299A"/>
    <w:rsid w:val="77E25042"/>
    <w:rsid w:val="780453FB"/>
    <w:rsid w:val="7826607A"/>
    <w:rsid w:val="7831514A"/>
    <w:rsid w:val="7834795B"/>
    <w:rsid w:val="78564BB1"/>
    <w:rsid w:val="78571E88"/>
    <w:rsid w:val="78767E87"/>
    <w:rsid w:val="78A20843"/>
    <w:rsid w:val="78CD2160"/>
    <w:rsid w:val="78D6184E"/>
    <w:rsid w:val="78F75DA3"/>
    <w:rsid w:val="78FD6DDA"/>
    <w:rsid w:val="79027145"/>
    <w:rsid w:val="791D4E46"/>
    <w:rsid w:val="793149C1"/>
    <w:rsid w:val="79421D81"/>
    <w:rsid w:val="796C5D0E"/>
    <w:rsid w:val="79863CF7"/>
    <w:rsid w:val="79B140BE"/>
    <w:rsid w:val="79C726F9"/>
    <w:rsid w:val="79CE69C9"/>
    <w:rsid w:val="79E306C6"/>
    <w:rsid w:val="7A044CC1"/>
    <w:rsid w:val="7A1A4594"/>
    <w:rsid w:val="7A4F3436"/>
    <w:rsid w:val="7A7D3051"/>
    <w:rsid w:val="7AC22CD2"/>
    <w:rsid w:val="7ADB139D"/>
    <w:rsid w:val="7AE442AC"/>
    <w:rsid w:val="7AEF309B"/>
    <w:rsid w:val="7B4428FF"/>
    <w:rsid w:val="7BCE2CB0"/>
    <w:rsid w:val="7BFA3AA5"/>
    <w:rsid w:val="7C352D2F"/>
    <w:rsid w:val="7C6374A7"/>
    <w:rsid w:val="7C6D6EB5"/>
    <w:rsid w:val="7C6F7FEF"/>
    <w:rsid w:val="7C977546"/>
    <w:rsid w:val="7CA12173"/>
    <w:rsid w:val="7CA81753"/>
    <w:rsid w:val="7CB66027"/>
    <w:rsid w:val="7D6F3144"/>
    <w:rsid w:val="7D844E18"/>
    <w:rsid w:val="7DCE51E9"/>
    <w:rsid w:val="7DF0480D"/>
    <w:rsid w:val="7E1210B5"/>
    <w:rsid w:val="7E266E73"/>
    <w:rsid w:val="7E2E7A36"/>
    <w:rsid w:val="7E5F4093"/>
    <w:rsid w:val="7E906943"/>
    <w:rsid w:val="7EF37B95"/>
    <w:rsid w:val="7F0C5047"/>
    <w:rsid w:val="7F2A46A1"/>
    <w:rsid w:val="7F392B36"/>
    <w:rsid w:val="7F544F27"/>
    <w:rsid w:val="7F6B5B29"/>
    <w:rsid w:val="7F7973D7"/>
    <w:rsid w:val="7FBD5515"/>
    <w:rsid w:val="7FC5261C"/>
    <w:rsid w:val="7FC95C68"/>
    <w:rsid w:val="7FD50CF2"/>
    <w:rsid w:val="7FE86CA9"/>
    <w:rsid w:val="7FF0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0"/>
    <w:pPr>
      <w:keepNext/>
      <w:adjustRightInd w:val="0"/>
      <w:spacing w:before="80" w:after="80" w:line="460" w:lineRule="exact"/>
      <w:textAlignment w:val="baseline"/>
      <w:outlineLvl w:val="1"/>
    </w:pPr>
    <w:rPr>
      <w:b/>
      <w:sz w:val="24"/>
    </w:rPr>
  </w:style>
  <w:style w:type="paragraph" w:styleId="4">
    <w:name w:val="heading 3"/>
    <w:basedOn w:val="3"/>
    <w:next w:val="1"/>
    <w:qFormat/>
    <w:uiPriority w:val="0"/>
    <w:pPr>
      <w:spacing w:line="360" w:lineRule="auto"/>
      <w:jc w:val="left"/>
      <w:outlineLvl w:val="2"/>
    </w:pPr>
  </w:style>
  <w:style w:type="paragraph" w:styleId="5">
    <w:name w:val="heading 4"/>
    <w:basedOn w:val="1"/>
    <w:next w:val="1"/>
    <w:qFormat/>
    <w:uiPriority w:val="0"/>
    <w:pPr>
      <w:keepNext/>
      <w:keepLines/>
      <w:spacing w:before="280" w:after="290" w:line="376" w:lineRule="auto"/>
      <w:outlineLvl w:val="3"/>
    </w:pPr>
    <w:rPr>
      <w:rFonts w:ascii="Calibri Light" w:hAnsi="Calibri Light"/>
      <w:b/>
      <w:bCs/>
      <w:sz w:val="28"/>
      <w:szCs w:val="28"/>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ind w:firstLine="420" w:firstLineChars="200"/>
    </w:pPr>
    <w:rPr>
      <w:rFonts w:ascii="宋体" w:hAnsi="Courier New"/>
      <w:sz w:val="28"/>
    </w:rPr>
  </w:style>
  <w:style w:type="paragraph" w:styleId="7">
    <w:name w:val="annotation text"/>
    <w:basedOn w:val="1"/>
    <w:link w:val="53"/>
    <w:qFormat/>
    <w:uiPriority w:val="0"/>
    <w:pPr>
      <w:jc w:val="left"/>
    </w:pPr>
  </w:style>
  <w:style w:type="paragraph" w:styleId="8">
    <w:name w:val="index 6"/>
    <w:basedOn w:val="1"/>
    <w:next w:val="1"/>
    <w:qFormat/>
    <w:uiPriority w:val="0"/>
    <w:pPr>
      <w:widowControl w:val="0"/>
      <w:ind w:left="2100"/>
      <w:jc w:val="left"/>
    </w:pPr>
    <w:rPr>
      <w:rFonts w:ascii="Times New Roman" w:hAnsi="Times New Roman" w:eastAsia="仿宋_GB2312" w:cs="Times New Roman"/>
      <w:kern w:val="2"/>
      <w:sz w:val="28"/>
      <w:szCs w:val="24"/>
      <w:lang w:val="en-US" w:eastAsia="zh-CN" w:bidi="ar-SA"/>
    </w:rPr>
  </w:style>
  <w:style w:type="paragraph" w:styleId="9">
    <w:name w:val="Body Text"/>
    <w:basedOn w:val="1"/>
    <w:next w:val="10"/>
    <w:qFormat/>
    <w:uiPriority w:val="0"/>
    <w:pPr>
      <w:tabs>
        <w:tab w:val="left" w:pos="284"/>
        <w:tab w:val="right" w:pos="4111"/>
      </w:tabs>
      <w:suppressAutoHyphens/>
      <w:spacing w:before="20" w:after="20"/>
    </w:pPr>
    <w:rPr>
      <w:sz w:val="18"/>
      <w:szCs w:val="18"/>
      <w:u w:val="single"/>
      <w:lang w:val="en-GB"/>
    </w:rPr>
  </w:style>
  <w:style w:type="paragraph" w:styleId="10">
    <w:name w:val="toc 2"/>
    <w:basedOn w:val="1"/>
    <w:next w:val="1"/>
    <w:qFormat/>
    <w:uiPriority w:val="0"/>
    <w:pPr>
      <w:ind w:left="420" w:leftChars="200"/>
    </w:pPr>
  </w:style>
  <w:style w:type="paragraph" w:styleId="11">
    <w:name w:val="toc 5"/>
    <w:basedOn w:val="1"/>
    <w:next w:val="1"/>
    <w:qFormat/>
    <w:uiPriority w:val="0"/>
    <w:pPr>
      <w:ind w:left="1120"/>
      <w:jc w:val="left"/>
    </w:pPr>
    <w:rPr>
      <w:sz w:val="18"/>
      <w:szCs w:val="18"/>
    </w:rPr>
  </w:style>
  <w:style w:type="paragraph" w:styleId="12">
    <w:name w:val="toc 3"/>
    <w:basedOn w:val="1"/>
    <w:next w:val="1"/>
    <w:qFormat/>
    <w:uiPriority w:val="0"/>
    <w:pPr>
      <w:ind w:left="840" w:leftChars="400"/>
    </w:pPr>
  </w:style>
  <w:style w:type="paragraph" w:styleId="13">
    <w:name w:val="Plain Text"/>
    <w:basedOn w:val="1"/>
    <w:next w:val="14"/>
    <w:qFormat/>
    <w:uiPriority w:val="0"/>
    <w:rPr>
      <w:rFonts w:ascii="宋体" w:hAnsi="Courier New"/>
    </w:rPr>
  </w:style>
  <w:style w:type="paragraph" w:customStyle="1" w:styleId="14">
    <w:name w:val="Default"/>
    <w:basedOn w:val="15"/>
    <w:next w:val="1"/>
    <w:qFormat/>
    <w:uiPriority w:val="0"/>
    <w:pPr>
      <w:autoSpaceDE w:val="0"/>
      <w:autoSpaceDN w:val="0"/>
      <w:spacing w:line="240" w:lineRule="atLeast"/>
    </w:pPr>
    <w:rPr>
      <w:rFonts w:ascii="新宋体" w:eastAsia="新宋体" w:cs="新宋体"/>
      <w:color w:val="000000"/>
      <w:sz w:val="24"/>
      <w:szCs w:val="24"/>
    </w:rPr>
  </w:style>
  <w:style w:type="paragraph" w:customStyle="1" w:styleId="15">
    <w:name w:val="表格17"/>
    <w:qFormat/>
    <w:uiPriority w:val="0"/>
    <w:pPr>
      <w:widowControl w:val="0"/>
      <w:adjustRightInd w:val="0"/>
      <w:jc w:val="center"/>
    </w:pPr>
    <w:rPr>
      <w:rFonts w:ascii="Times New Roman" w:hAnsi="Times New Roman" w:eastAsia="宋体" w:cs="Times New Roman"/>
      <w:kern w:val="28"/>
      <w:sz w:val="28"/>
      <w:lang w:val="en-US" w:eastAsia="zh-CN" w:bidi="ar-SA"/>
    </w:rPr>
  </w:style>
  <w:style w:type="paragraph" w:styleId="16">
    <w:name w:val="Balloon Text"/>
    <w:basedOn w:val="1"/>
    <w:semiHidden/>
    <w:qFormat/>
    <w:uiPriority w:val="0"/>
    <w:rPr>
      <w:sz w:val="18"/>
      <w:szCs w:val="18"/>
    </w:rPr>
  </w:style>
  <w:style w:type="paragraph" w:styleId="17">
    <w:name w:val="footer"/>
    <w:basedOn w:val="1"/>
    <w:next w:val="11"/>
    <w:qFormat/>
    <w:uiPriority w:val="0"/>
    <w:pPr>
      <w:tabs>
        <w:tab w:val="center" w:pos="4153"/>
        <w:tab w:val="right" w:pos="8306"/>
      </w:tabs>
      <w:autoSpaceDE w:val="0"/>
      <w:autoSpaceDN w:val="0"/>
      <w:adjustRightInd w:val="0"/>
      <w:jc w:val="left"/>
      <w:textAlignment w:val="baseline"/>
    </w:pPr>
    <w:rPr>
      <w:sz w:val="18"/>
    </w:rPr>
  </w:style>
  <w:style w:type="paragraph" w:styleId="18">
    <w:name w:val="header"/>
    <w:basedOn w:val="1"/>
    <w:qFormat/>
    <w:uiPriority w:val="0"/>
    <w:pPr>
      <w:pBdr>
        <w:bottom w:val="single" w:color="auto" w:sz="6" w:space="1"/>
      </w:pBdr>
      <w:tabs>
        <w:tab w:val="center" w:pos="4153"/>
        <w:tab w:val="right" w:pos="8306"/>
      </w:tabs>
      <w:autoSpaceDE w:val="0"/>
      <w:autoSpaceDN w:val="0"/>
      <w:adjustRightInd w:val="0"/>
      <w:jc w:val="center"/>
      <w:textAlignment w:val="baseline"/>
    </w:pPr>
    <w:rPr>
      <w:sz w:val="18"/>
    </w:rPr>
  </w:style>
  <w:style w:type="paragraph" w:styleId="19">
    <w:name w:val="toc 1"/>
    <w:basedOn w:val="1"/>
    <w:next w:val="1"/>
    <w:qFormat/>
    <w:uiPriority w:val="0"/>
  </w:style>
  <w:style w:type="paragraph" w:styleId="20">
    <w:name w:val="toc 4"/>
    <w:basedOn w:val="1"/>
    <w:next w:val="1"/>
    <w:qFormat/>
    <w:uiPriority w:val="0"/>
    <w:pPr>
      <w:ind w:left="1260" w:leftChars="600"/>
    </w:pPr>
  </w:style>
  <w:style w:type="paragraph" w:styleId="21">
    <w:name w:val="Body Text Indent 3"/>
    <w:basedOn w:val="1"/>
    <w:semiHidden/>
    <w:unhideWhenUsed/>
    <w:qFormat/>
    <w:uiPriority w:val="0"/>
    <w:pPr>
      <w:spacing w:after="120"/>
      <w:ind w:left="420" w:leftChars="200"/>
    </w:pPr>
    <w:rPr>
      <w:sz w:val="16"/>
      <w:szCs w:val="16"/>
    </w:rPr>
  </w:style>
  <w:style w:type="paragraph" w:styleId="22">
    <w:name w:val="Normal (Web)"/>
    <w:basedOn w:val="1"/>
    <w:semiHidden/>
    <w:unhideWhenUsed/>
    <w:qFormat/>
    <w:uiPriority w:val="99"/>
    <w:pPr>
      <w:spacing w:before="100" w:beforeAutospacing="1" w:after="100" w:afterAutospacing="1"/>
      <w:jc w:val="left"/>
    </w:pPr>
    <w:rPr>
      <w:kern w:val="0"/>
      <w:sz w:val="24"/>
    </w:rPr>
  </w:style>
  <w:style w:type="paragraph" w:styleId="23">
    <w:name w:val="Title"/>
    <w:basedOn w:val="1"/>
    <w:qFormat/>
    <w:uiPriority w:val="10"/>
    <w:pPr>
      <w:spacing w:before="240" w:after="60"/>
      <w:jc w:val="center"/>
      <w:outlineLvl w:val="0"/>
    </w:pPr>
    <w:rPr>
      <w:rFonts w:ascii="Cambria" w:hAnsi="Cambria"/>
      <w:b/>
      <w:bCs/>
      <w:szCs w:val="32"/>
    </w:rPr>
  </w:style>
  <w:style w:type="paragraph" w:styleId="24">
    <w:name w:val="annotation subject"/>
    <w:basedOn w:val="7"/>
    <w:next w:val="7"/>
    <w:link w:val="54"/>
    <w:qFormat/>
    <w:uiPriority w:val="0"/>
    <w:rPr>
      <w:b/>
      <w:bCs/>
    </w:rPr>
  </w:style>
  <w:style w:type="paragraph" w:styleId="25">
    <w:name w:val="Body Text First Indent"/>
    <w:basedOn w:val="9"/>
    <w:next w:val="8"/>
    <w:qFormat/>
    <w:uiPriority w:val="0"/>
    <w:pPr>
      <w:ind w:firstLine="420" w:firstLineChars="100"/>
    </w:pPr>
  </w:style>
  <w:style w:type="character" w:styleId="28">
    <w:name w:val="page number"/>
    <w:qFormat/>
    <w:uiPriority w:val="0"/>
  </w:style>
  <w:style w:type="character" w:styleId="29">
    <w:name w:val="annotation reference"/>
    <w:basedOn w:val="27"/>
    <w:qFormat/>
    <w:uiPriority w:val="0"/>
    <w:rPr>
      <w:sz w:val="21"/>
      <w:szCs w:val="21"/>
    </w:rPr>
  </w:style>
  <w:style w:type="paragraph" w:styleId="30">
    <w:name w:val="List Paragraph"/>
    <w:basedOn w:val="1"/>
    <w:next w:val="1"/>
    <w:qFormat/>
    <w:uiPriority w:val="34"/>
    <w:pPr>
      <w:ind w:firstLine="420" w:firstLineChars="200"/>
    </w:pPr>
  </w:style>
  <w:style w:type="character" w:customStyle="1" w:styleId="31">
    <w:name w:val="font61"/>
    <w:basedOn w:val="27"/>
    <w:qFormat/>
    <w:uiPriority w:val="0"/>
    <w:rPr>
      <w:rFonts w:hint="eastAsia" w:ascii="宋体" w:hAnsi="宋体" w:eastAsia="宋体" w:cs="宋体"/>
      <w:color w:val="000000"/>
      <w:sz w:val="18"/>
      <w:szCs w:val="18"/>
      <w:u w:val="none"/>
    </w:rPr>
  </w:style>
  <w:style w:type="character" w:customStyle="1" w:styleId="32">
    <w:name w:val="font71"/>
    <w:basedOn w:val="27"/>
    <w:qFormat/>
    <w:uiPriority w:val="0"/>
    <w:rPr>
      <w:rFonts w:hint="default" w:ascii="Times New Roman" w:hAnsi="Times New Roman" w:cs="Times New Roman"/>
      <w:color w:val="000000"/>
      <w:sz w:val="18"/>
      <w:szCs w:val="18"/>
      <w:u w:val="none"/>
    </w:rPr>
  </w:style>
  <w:style w:type="character" w:customStyle="1" w:styleId="33">
    <w:name w:val="font41"/>
    <w:basedOn w:val="27"/>
    <w:qFormat/>
    <w:uiPriority w:val="0"/>
    <w:rPr>
      <w:rFonts w:hint="eastAsia" w:ascii="楷体_GB2312" w:eastAsia="楷体_GB2312" w:cs="楷体_GB2312"/>
      <w:color w:val="000000"/>
      <w:sz w:val="18"/>
      <w:szCs w:val="18"/>
      <w:u w:val="none"/>
      <w:vertAlign w:val="subscript"/>
    </w:rPr>
  </w:style>
  <w:style w:type="character" w:customStyle="1" w:styleId="34">
    <w:name w:val="font81"/>
    <w:basedOn w:val="27"/>
    <w:qFormat/>
    <w:uiPriority w:val="0"/>
    <w:rPr>
      <w:rFonts w:hint="eastAsia" w:ascii="楷体_GB2312" w:eastAsia="楷体_GB2312" w:cs="楷体_GB2312"/>
      <w:color w:val="000000"/>
      <w:sz w:val="18"/>
      <w:szCs w:val="18"/>
      <w:u w:val="none"/>
    </w:rPr>
  </w:style>
  <w:style w:type="character" w:customStyle="1" w:styleId="35">
    <w:name w:val="font91"/>
    <w:basedOn w:val="27"/>
    <w:qFormat/>
    <w:uiPriority w:val="0"/>
    <w:rPr>
      <w:rFonts w:hint="default" w:ascii="Times New Roman" w:hAnsi="Times New Roman" w:cs="Times New Roman"/>
      <w:color w:val="000000"/>
      <w:sz w:val="18"/>
      <w:szCs w:val="18"/>
      <w:u w:val="none"/>
      <w:vertAlign w:val="subscript"/>
    </w:rPr>
  </w:style>
  <w:style w:type="character" w:customStyle="1" w:styleId="36">
    <w:name w:val="font51"/>
    <w:basedOn w:val="27"/>
    <w:qFormat/>
    <w:uiPriority w:val="0"/>
    <w:rPr>
      <w:rFonts w:hint="eastAsia" w:ascii="宋体" w:hAnsi="宋体" w:eastAsia="宋体" w:cs="宋体"/>
      <w:color w:val="000000"/>
      <w:sz w:val="18"/>
      <w:szCs w:val="18"/>
      <w:u w:val="none"/>
    </w:rPr>
  </w:style>
  <w:style w:type="paragraph" w:customStyle="1" w:styleId="37">
    <w:name w:val="样式3"/>
    <w:basedOn w:val="38"/>
    <w:qFormat/>
    <w:uiPriority w:val="0"/>
    <w:pPr>
      <w:tabs>
        <w:tab w:val="left" w:pos="2160"/>
      </w:tabs>
      <w:adjustRightInd w:val="0"/>
      <w:spacing w:line="312" w:lineRule="exact"/>
      <w:textAlignment w:val="baseline"/>
    </w:pPr>
    <w:rPr>
      <w:rFonts w:ascii="EU-F1" w:eastAsia="黑体"/>
      <w:kern w:val="0"/>
      <w:sz w:val="21"/>
      <w:szCs w:val="21"/>
    </w:rPr>
  </w:style>
  <w:style w:type="paragraph" w:customStyle="1" w:styleId="38">
    <w:name w:val="样式1"/>
    <w:basedOn w:val="1"/>
    <w:qFormat/>
    <w:uiPriority w:val="0"/>
    <w:rPr>
      <w:sz w:val="28"/>
      <w:szCs w:val="24"/>
    </w:rPr>
  </w:style>
  <w:style w:type="paragraph" w:customStyle="1" w:styleId="39">
    <w:name w:val="文档正文"/>
    <w:basedOn w:val="1"/>
    <w:qFormat/>
    <w:uiPriority w:val="0"/>
    <w:pPr>
      <w:adjustRightInd w:val="0"/>
      <w:spacing w:line="312" w:lineRule="atLeast"/>
      <w:ind w:firstLine="567"/>
      <w:textAlignment w:val="baseline"/>
    </w:pPr>
    <w:rPr>
      <w:rFonts w:ascii="长城仿宋" w:hAnsi="Calibri" w:eastAsia="长城仿宋"/>
      <w:kern w:val="0"/>
      <w:sz w:val="28"/>
    </w:rPr>
  </w:style>
  <w:style w:type="paragraph" w:customStyle="1" w:styleId="40">
    <w:name w:val="wang正文"/>
    <w:basedOn w:val="1"/>
    <w:qFormat/>
    <w:uiPriority w:val="0"/>
    <w:pPr>
      <w:tabs>
        <w:tab w:val="left" w:pos="6840"/>
      </w:tabs>
      <w:topLinePunct/>
      <w:ind w:firstLine="420"/>
    </w:pPr>
  </w:style>
  <w:style w:type="character" w:customStyle="1" w:styleId="41">
    <w:name w:val="font11"/>
    <w:basedOn w:val="27"/>
    <w:qFormat/>
    <w:uiPriority w:val="0"/>
    <w:rPr>
      <w:rFonts w:hint="default" w:ascii="Times New Roman" w:hAnsi="Times New Roman" w:cs="Times New Roman"/>
      <w:color w:val="000000"/>
      <w:sz w:val="20"/>
      <w:szCs w:val="20"/>
      <w:u w:val="none"/>
    </w:rPr>
  </w:style>
  <w:style w:type="paragraph" w:customStyle="1" w:styleId="42">
    <w:name w:val="WPSOffice手动目录 1"/>
    <w:qFormat/>
    <w:uiPriority w:val="0"/>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5">
    <w:name w:val="Char Char Char1 Char Char Char Char Char Char Char Char Char Char"/>
    <w:semiHidden/>
    <w:qFormat/>
    <w:uiPriority w:val="0"/>
    <w:pPr>
      <w:widowControl w:val="0"/>
      <w:adjustRightInd w:val="0"/>
      <w:snapToGrid w:val="0"/>
      <w:spacing w:line="360" w:lineRule="auto"/>
      <w:ind w:firstLine="200" w:firstLineChars="200"/>
      <w:jc w:val="both"/>
    </w:pPr>
    <w:rPr>
      <w:rFonts w:ascii="宋体" w:hAnsi="宋体" w:eastAsia="宋体" w:cs="宋体"/>
      <w:kern w:val="2"/>
      <w:sz w:val="24"/>
      <w:szCs w:val="26"/>
      <w:lang w:val="en-US" w:eastAsia="zh-CN" w:bidi="ar-SA"/>
    </w:rPr>
  </w:style>
  <w:style w:type="paragraph" w:customStyle="1" w:styleId="46">
    <w:name w:val="样式 标题8 + 四号 加粗 行距: 多倍行距 1.45 字行"/>
    <w:basedOn w:val="47"/>
    <w:qFormat/>
    <w:uiPriority w:val="0"/>
    <w:pPr>
      <w:spacing w:line="348" w:lineRule="auto"/>
      <w:outlineLvl w:val="1"/>
    </w:pPr>
    <w:rPr>
      <w:rFonts w:cs="宋体"/>
      <w:b/>
      <w:bCs/>
      <w:sz w:val="28"/>
    </w:rPr>
  </w:style>
  <w:style w:type="paragraph" w:customStyle="1" w:styleId="47">
    <w:name w:val="标题8"/>
    <w:basedOn w:val="1"/>
    <w:qFormat/>
    <w:uiPriority w:val="0"/>
  </w:style>
  <w:style w:type="paragraph" w:customStyle="1" w:styleId="48">
    <w:name w:val="标题7"/>
    <w:basedOn w:val="1"/>
    <w:qFormat/>
    <w:uiPriority w:val="0"/>
    <w:pPr>
      <w:spacing w:line="348" w:lineRule="auto"/>
      <w:outlineLvl w:val="0"/>
    </w:pPr>
    <w:rPr>
      <w:b/>
      <w:sz w:val="28"/>
      <w:szCs w:val="28"/>
    </w:rPr>
  </w:style>
  <w:style w:type="paragraph" w:customStyle="1" w:styleId="49">
    <w:name w:val="样式 宋体 小四 黑色 行距: 多倍行距 1.45 字行"/>
    <w:basedOn w:val="1"/>
    <w:qFormat/>
    <w:uiPriority w:val="0"/>
    <w:pPr>
      <w:spacing w:line="348" w:lineRule="auto"/>
      <w:ind w:firstLine="480" w:firstLineChars="200"/>
    </w:pPr>
    <w:rPr>
      <w:rFonts w:ascii="宋体" w:hAnsi="宋体" w:cs="Arial"/>
      <w:sz w:val="24"/>
    </w:rPr>
  </w:style>
  <w:style w:type="paragraph" w:customStyle="1" w:styleId="50">
    <w:name w:val="正文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51">
    <w:name w:val="font01"/>
    <w:basedOn w:val="27"/>
    <w:qFormat/>
    <w:uiPriority w:val="0"/>
    <w:rPr>
      <w:rFonts w:hint="eastAsia" w:ascii="宋体" w:hAnsi="宋体" w:eastAsia="宋体" w:cs="宋体"/>
      <w:color w:val="FF0000"/>
      <w:sz w:val="20"/>
      <w:szCs w:val="20"/>
      <w:u w:val="none"/>
    </w:rPr>
  </w:style>
  <w:style w:type="paragraph" w:customStyle="1" w:styleId="52">
    <w:name w:val="二级条标题"/>
    <w:basedOn w:val="1"/>
    <w:next w:val="1"/>
    <w:qFormat/>
    <w:uiPriority w:val="0"/>
    <w:pPr>
      <w:widowControl/>
      <w:numPr>
        <w:ilvl w:val="3"/>
        <w:numId w:val="1"/>
      </w:numPr>
      <w:outlineLvl w:val="3"/>
    </w:pPr>
    <w:rPr>
      <w:rFonts w:ascii="黑体" w:eastAsia="黑体"/>
      <w:kern w:val="0"/>
    </w:rPr>
  </w:style>
  <w:style w:type="character" w:customStyle="1" w:styleId="53">
    <w:name w:val="批注文字 字符"/>
    <w:basedOn w:val="27"/>
    <w:link w:val="7"/>
    <w:qFormat/>
    <w:uiPriority w:val="0"/>
    <w:rPr>
      <w:kern w:val="2"/>
      <w:sz w:val="21"/>
    </w:rPr>
  </w:style>
  <w:style w:type="character" w:customStyle="1" w:styleId="54">
    <w:name w:val="批注主题 字符"/>
    <w:basedOn w:val="53"/>
    <w:link w:val="24"/>
    <w:qFormat/>
    <w:uiPriority w:val="0"/>
    <w:rPr>
      <w:b/>
      <w:bCs/>
      <w:kern w:val="2"/>
      <w:sz w:val="21"/>
    </w:rPr>
  </w:style>
  <w:style w:type="paragraph" w:customStyle="1" w:styleId="55">
    <w:name w:val="TOC Heading"/>
    <w:basedOn w:val="2"/>
    <w:next w:val="1"/>
    <w:unhideWhenUsed/>
    <w:qFormat/>
    <w:uiPriority w:val="39"/>
    <w:pPr>
      <w:spacing w:before="240" w:line="259" w:lineRule="auto"/>
      <w:jc w:val="left"/>
      <w:outlineLvl w:val="9"/>
    </w:pPr>
    <w:rPr>
      <w:rFonts w:ascii="Cambria" w:hAnsi="Cambria" w:eastAsia="宋体" w:cs="Times New Roman"/>
      <w:color w:val="366091"/>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11911</Words>
  <Characters>13178</Characters>
  <Lines>112</Lines>
  <Paragraphs>31</Paragraphs>
  <TotalTime>15</TotalTime>
  <ScaleCrop>false</ScaleCrop>
  <LinksUpToDate>false</LinksUpToDate>
  <CharactersWithSpaces>13859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2024-04-26T03:09:00Z</dcterms:created>
  <dc:creator>金刚</dc:creator>
  <cp:lastModifiedBy>半缕轻烟</cp:lastModifiedBy>
  <cp:lastPrinted>2024-11-01T00:20:00Z</cp:lastPrinted>
  <dcterms:modified xsi:type="dcterms:W3CDTF">2025-05-29T00:58:53Z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98DB967FA4554620A1473E85AD142F78</vt:lpwstr>
  </property>
  <property fmtid="{D5CDD505-2E9C-101B-9397-08002B2CF9AE}" pid="4" name="KSOTemplateDocerSaveRecord">
    <vt:lpwstr>eyJoZGlkIjoiODA2NWMxYjNlMjUzNzc2ZTU3NzVmNjkxYmU4MGRjZjgiLCJ1c2VySWQiOiIzOTg0MzQzNDkifQ==</vt:lpwstr>
  </property>
</Properties>
</file>