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2" w:rightChars="1"/>
        <w:jc w:val="center"/>
        <w:rPr>
          <w:rFonts w:hint="eastAsia" w:ascii="仿宋" w:hAnsi="仿宋" w:eastAsia="仿宋" w:cs="仿宋"/>
          <w:b/>
          <w:sz w:val="44"/>
          <w:szCs w:val="44"/>
          <w:lang w:eastAsia="zh-CN"/>
        </w:rPr>
      </w:pPr>
      <w:r>
        <w:rPr>
          <w:rFonts w:hint="eastAsia" w:ascii="仿宋" w:hAnsi="仿宋" w:eastAsia="仿宋" w:cs="仿宋"/>
          <w:b/>
          <w:sz w:val="44"/>
          <w:szCs w:val="44"/>
        </w:rPr>
        <w:t>酒钢集团宏兴钢铁股份有限公司</w:t>
      </w:r>
      <w:r>
        <w:rPr>
          <w:rFonts w:hint="eastAsia" w:ascii="仿宋" w:hAnsi="仿宋" w:eastAsia="仿宋" w:cs="仿宋"/>
          <w:b/>
          <w:sz w:val="44"/>
          <w:szCs w:val="44"/>
          <w:lang w:eastAsia="zh-CN"/>
        </w:rPr>
        <w:t>炼铁厂</w:t>
      </w:r>
    </w:p>
    <w:p>
      <w:pPr>
        <w:snapToGrid w:val="0"/>
        <w:spacing w:line="360" w:lineRule="auto"/>
        <w:ind w:right="-447"/>
        <w:jc w:val="center"/>
        <w:rPr>
          <w:rFonts w:hint="default" w:ascii="仿宋" w:hAnsi="仿宋" w:eastAsia="仿宋" w:cs="仿宋"/>
          <w:b/>
          <w:sz w:val="36"/>
          <w:szCs w:val="48"/>
          <w:lang w:val="en-US"/>
        </w:rPr>
      </w:pPr>
      <w:r>
        <w:rPr>
          <w:rFonts w:hint="eastAsia" w:ascii="仿宋" w:hAnsi="仿宋" w:eastAsia="仿宋" w:cs="仿宋"/>
          <w:b/>
          <w:sz w:val="36"/>
          <w:szCs w:val="48"/>
        </w:rPr>
        <w:t>360m2烧结机</w:t>
      </w:r>
      <w:r>
        <w:rPr>
          <w:rFonts w:hint="eastAsia" w:ascii="仿宋" w:hAnsi="仿宋" w:eastAsia="仿宋" w:cs="仿宋"/>
          <w:b/>
          <w:sz w:val="36"/>
          <w:szCs w:val="48"/>
          <w:lang w:val="en-US" w:eastAsia="zh-CN"/>
        </w:rPr>
        <w:t>21-24#风箱</w:t>
      </w:r>
      <w:bookmarkStart w:id="0" w:name="OLE_LINK1"/>
      <w:r>
        <w:rPr>
          <w:rFonts w:hint="eastAsia" w:ascii="仿宋" w:hAnsi="仿宋" w:eastAsia="仿宋" w:cs="仿宋"/>
          <w:b/>
          <w:sz w:val="36"/>
          <w:szCs w:val="48"/>
          <w:lang w:val="en-US" w:eastAsia="zh-CN"/>
        </w:rPr>
        <w:t>、4-20#风箱</w:t>
      </w:r>
      <w:bookmarkEnd w:id="0"/>
      <w:r>
        <w:rPr>
          <w:rFonts w:hint="eastAsia" w:ascii="仿宋" w:hAnsi="仿宋" w:eastAsia="仿宋" w:cs="仿宋"/>
          <w:b/>
          <w:sz w:val="36"/>
          <w:szCs w:val="48"/>
          <w:lang w:val="en-US" w:eastAsia="zh-CN"/>
        </w:rPr>
        <w:t>、1-3#风箱电动控制阀使用</w:t>
      </w:r>
    </w:p>
    <w:p>
      <w:pPr>
        <w:snapToGrid w:val="0"/>
        <w:spacing w:line="360" w:lineRule="auto"/>
        <w:ind w:right="-447"/>
        <w:jc w:val="center"/>
        <w:rPr>
          <w:rFonts w:hint="eastAsia" w:ascii="仿宋" w:hAnsi="仿宋" w:eastAsia="仿宋" w:cs="仿宋"/>
          <w:b/>
          <w:sz w:val="36"/>
          <w:szCs w:val="48"/>
          <w:lang w:eastAsia="zh-CN"/>
        </w:rPr>
      </w:pPr>
      <w:r>
        <w:rPr>
          <w:rFonts w:hint="eastAsia" w:ascii="仿宋" w:hAnsi="仿宋" w:eastAsia="仿宋" w:cs="仿宋"/>
          <w:b/>
          <w:sz w:val="36"/>
          <w:szCs w:val="48"/>
          <w:lang w:eastAsia="zh-CN"/>
        </w:rPr>
        <w:t>（</w:t>
      </w:r>
      <w:r>
        <w:rPr>
          <w:rFonts w:hint="eastAsia" w:ascii="仿宋" w:hAnsi="仿宋" w:eastAsia="仿宋" w:cs="仿宋"/>
          <w:b/>
          <w:sz w:val="36"/>
          <w:szCs w:val="48"/>
          <w:lang w:eastAsia="zh-CN"/>
        </w:rPr>
        <w:fldChar w:fldCharType="begin"/>
      </w:r>
      <w:r>
        <w:rPr>
          <w:rFonts w:hint="eastAsia" w:ascii="仿宋" w:hAnsi="仿宋" w:eastAsia="仿宋" w:cs="仿宋"/>
          <w:b/>
          <w:sz w:val="36"/>
          <w:szCs w:val="48"/>
          <w:lang w:eastAsia="zh-CN"/>
        </w:rPr>
        <w:instrText xml:space="preserve"> HYPERLINK "https://mdm.jiugang.com/materi/wlwl/page/wlwl_list.jsp" \l "this" \o "点击查看详细" </w:instrText>
      </w:r>
      <w:r>
        <w:rPr>
          <w:rFonts w:hint="eastAsia" w:ascii="仿宋" w:hAnsi="仿宋" w:eastAsia="仿宋" w:cs="仿宋"/>
          <w:b/>
          <w:sz w:val="36"/>
          <w:szCs w:val="48"/>
          <w:lang w:eastAsia="zh-CN"/>
        </w:rPr>
        <w:fldChar w:fldCharType="separate"/>
      </w:r>
      <w:r>
        <w:rPr>
          <w:rFonts w:hint="default" w:ascii="仿宋" w:hAnsi="仿宋" w:eastAsia="仿宋" w:cs="仿宋"/>
          <w:b/>
          <w:sz w:val="36"/>
          <w:szCs w:val="48"/>
          <w:lang w:eastAsia="zh-CN"/>
        </w:rPr>
        <w:t>70417817</w:t>
      </w:r>
      <w:r>
        <w:rPr>
          <w:rFonts w:hint="default" w:ascii="仿宋" w:hAnsi="仿宋" w:eastAsia="仿宋" w:cs="仿宋"/>
          <w:b/>
          <w:sz w:val="36"/>
          <w:szCs w:val="48"/>
          <w:lang w:eastAsia="zh-CN"/>
        </w:rPr>
        <w:fldChar w:fldCharType="end"/>
      </w:r>
      <w:r>
        <w:rPr>
          <w:rFonts w:hint="eastAsia" w:ascii="仿宋" w:hAnsi="仿宋" w:eastAsia="仿宋" w:cs="仿宋"/>
          <w:b/>
          <w:sz w:val="36"/>
          <w:szCs w:val="48"/>
          <w:lang w:eastAsia="zh-CN"/>
        </w:rPr>
        <w:t>）</w:t>
      </w:r>
    </w:p>
    <w:p>
      <w:pPr>
        <w:snapToGrid w:val="0"/>
        <w:spacing w:line="360" w:lineRule="auto"/>
        <w:ind w:right="-447"/>
        <w:jc w:val="center"/>
        <w:rPr>
          <w:rFonts w:hint="eastAsia" w:ascii="仿宋" w:hAnsi="仿宋" w:eastAsia="仿宋" w:cs="仿宋"/>
          <w:b/>
          <w:sz w:val="36"/>
          <w:szCs w:val="48"/>
        </w:rPr>
      </w:pPr>
      <w:r>
        <w:rPr>
          <w:rFonts w:hint="eastAsia" w:ascii="仿宋" w:hAnsi="仿宋" w:eastAsia="仿宋" w:cs="仿宋"/>
          <w:b/>
          <w:sz w:val="36"/>
          <w:szCs w:val="48"/>
        </w:rPr>
        <w:t>采购技术</w:t>
      </w:r>
      <w:r>
        <w:rPr>
          <w:rFonts w:hint="eastAsia" w:ascii="仿宋" w:hAnsi="仿宋" w:eastAsia="仿宋" w:cs="仿宋"/>
          <w:b/>
          <w:sz w:val="36"/>
          <w:szCs w:val="48"/>
          <w:lang w:val="en-US" w:eastAsia="zh-CN"/>
        </w:rPr>
        <w:t>规格要求</w:t>
      </w:r>
    </w:p>
    <w:p>
      <w:pPr>
        <w:snapToGrid w:val="0"/>
        <w:spacing w:line="360" w:lineRule="auto"/>
        <w:ind w:right="-447"/>
        <w:jc w:val="center"/>
        <w:rPr>
          <w:rFonts w:hint="eastAsia" w:ascii="仿宋" w:hAnsi="仿宋" w:eastAsia="仿宋" w:cs="仿宋"/>
          <w:b/>
          <w:sz w:val="36"/>
          <w:szCs w:val="48"/>
        </w:rPr>
      </w:pPr>
    </w:p>
    <w:p>
      <w:pPr>
        <w:snapToGrid w:val="0"/>
        <w:spacing w:line="360" w:lineRule="auto"/>
        <w:ind w:right="-447"/>
        <w:jc w:val="center"/>
        <w:rPr>
          <w:rFonts w:hint="eastAsia" w:ascii="仿宋" w:hAnsi="仿宋" w:eastAsia="仿宋" w:cs="仿宋"/>
          <w:b/>
          <w:sz w:val="36"/>
          <w:szCs w:val="48"/>
        </w:rPr>
      </w:pPr>
    </w:p>
    <w:p>
      <w:pPr>
        <w:snapToGrid w:val="0"/>
        <w:spacing w:line="360" w:lineRule="auto"/>
        <w:ind w:right="-447"/>
        <w:jc w:val="center"/>
        <w:rPr>
          <w:rFonts w:hint="eastAsia" w:ascii="仿宋" w:hAnsi="仿宋" w:eastAsia="仿宋" w:cs="仿宋"/>
          <w:b/>
          <w:sz w:val="36"/>
          <w:szCs w:val="48"/>
        </w:rPr>
      </w:pPr>
    </w:p>
    <w:p>
      <w:pPr>
        <w:snapToGrid w:val="0"/>
        <w:spacing w:line="360" w:lineRule="auto"/>
        <w:ind w:right="2" w:rightChars="1" w:firstLine="703" w:firstLineChars="250"/>
        <w:rPr>
          <w:rFonts w:hint="eastAsia" w:ascii="仿宋" w:hAnsi="仿宋" w:eastAsia="仿宋" w:cs="仿宋"/>
          <w:b/>
          <w:sz w:val="28"/>
          <w:szCs w:val="28"/>
          <w:lang w:eastAsia="zh-CN"/>
        </w:rPr>
      </w:pPr>
      <w:r>
        <w:rPr>
          <w:rFonts w:hint="eastAsia" w:ascii="仿宋" w:hAnsi="仿宋" w:eastAsia="仿宋" w:cs="仿宋"/>
          <w:b/>
          <w:sz w:val="28"/>
          <w:szCs w:val="28"/>
        </w:rPr>
        <w:t>甲方：甘肃酒钢集团宏兴钢铁股份有限公司</w:t>
      </w:r>
      <w:r>
        <w:rPr>
          <w:rFonts w:hint="eastAsia" w:ascii="仿宋" w:hAnsi="仿宋" w:eastAsia="仿宋" w:cs="仿宋"/>
          <w:b/>
          <w:sz w:val="28"/>
          <w:szCs w:val="28"/>
          <w:lang w:eastAsia="zh-CN"/>
        </w:rPr>
        <w:t>炼铁厂</w:t>
      </w:r>
    </w:p>
    <w:p>
      <w:pPr>
        <w:spacing w:before="100" w:beforeAutospacing="1" w:after="100" w:afterAutospacing="1" w:line="360" w:lineRule="auto"/>
        <w:ind w:firstLine="722" w:firstLineChars="257"/>
        <w:rPr>
          <w:rFonts w:hint="eastAsia" w:ascii="仿宋" w:hAnsi="仿宋" w:eastAsia="仿宋" w:cs="仿宋"/>
          <w:b/>
          <w:bCs/>
          <w:sz w:val="28"/>
          <w:szCs w:val="28"/>
        </w:rPr>
      </w:pPr>
      <w:r>
        <w:rPr>
          <w:rFonts w:hint="eastAsia" w:ascii="仿宋" w:hAnsi="仿宋" w:eastAsia="仿宋" w:cs="仿宋"/>
          <w:b/>
          <w:bCs/>
          <w:sz w:val="28"/>
          <w:szCs w:val="28"/>
        </w:rPr>
        <w:t>甲方代表（签字）：</w:t>
      </w:r>
    </w:p>
    <w:p>
      <w:pPr>
        <w:spacing w:before="100" w:beforeAutospacing="1" w:after="100" w:afterAutospacing="1" w:line="360" w:lineRule="auto"/>
        <w:ind w:firstLine="722" w:firstLineChars="257"/>
        <w:rPr>
          <w:rFonts w:hint="eastAsia" w:ascii="仿宋" w:hAnsi="仿宋" w:eastAsia="仿宋" w:cs="仿宋"/>
          <w:b/>
          <w:sz w:val="28"/>
          <w:szCs w:val="28"/>
        </w:rPr>
      </w:pPr>
      <w:r>
        <w:rPr>
          <w:rFonts w:hint="eastAsia" w:ascii="仿宋" w:hAnsi="仿宋" w:eastAsia="仿宋" w:cs="仿宋"/>
          <w:b/>
          <w:sz w:val="28"/>
          <w:szCs w:val="28"/>
        </w:rPr>
        <w:t>乙方：</w:t>
      </w:r>
    </w:p>
    <w:p>
      <w:pPr>
        <w:snapToGrid w:val="0"/>
        <w:spacing w:before="100" w:beforeAutospacing="1" w:after="100" w:afterAutospacing="1" w:line="360" w:lineRule="auto"/>
        <w:ind w:right="-447" w:firstLine="722" w:firstLineChars="257"/>
        <w:rPr>
          <w:rFonts w:hint="eastAsia" w:ascii="仿宋" w:hAnsi="仿宋" w:eastAsia="仿宋" w:cs="仿宋"/>
          <w:b/>
          <w:sz w:val="28"/>
          <w:szCs w:val="28"/>
        </w:rPr>
      </w:pPr>
      <w:r>
        <w:rPr>
          <w:rFonts w:hint="eastAsia" w:ascii="仿宋" w:hAnsi="仿宋" w:eastAsia="仿宋" w:cs="仿宋"/>
          <w:b/>
          <w:sz w:val="28"/>
          <w:szCs w:val="28"/>
        </w:rPr>
        <w:t>乙方代表（签字）：</w:t>
      </w:r>
    </w:p>
    <w:p>
      <w:pPr>
        <w:snapToGrid w:val="0"/>
        <w:spacing w:before="100" w:beforeAutospacing="1" w:after="100" w:afterAutospacing="1" w:line="360" w:lineRule="auto"/>
        <w:ind w:right="-447" w:firstLine="1349" w:firstLineChars="420"/>
        <w:rPr>
          <w:rFonts w:hint="eastAsia" w:ascii="仿宋" w:hAnsi="仿宋" w:eastAsia="仿宋" w:cs="仿宋"/>
          <w:b/>
          <w:sz w:val="32"/>
          <w:szCs w:val="32"/>
        </w:rPr>
      </w:pPr>
    </w:p>
    <w:p>
      <w:pPr>
        <w:snapToGrid w:val="0"/>
        <w:spacing w:before="100" w:beforeAutospacing="1" w:after="100" w:afterAutospacing="1" w:line="360" w:lineRule="auto"/>
        <w:ind w:right="-447" w:firstLine="1349" w:firstLineChars="420"/>
        <w:rPr>
          <w:rFonts w:hint="eastAsia" w:ascii="仿宋" w:hAnsi="仿宋" w:eastAsia="仿宋" w:cs="仿宋"/>
          <w:b/>
          <w:sz w:val="32"/>
          <w:szCs w:val="32"/>
        </w:rPr>
      </w:pPr>
    </w:p>
    <w:p>
      <w:pPr>
        <w:snapToGrid w:val="0"/>
        <w:spacing w:before="100" w:beforeAutospacing="1" w:after="100" w:afterAutospacing="1" w:line="360" w:lineRule="auto"/>
        <w:ind w:right="-447" w:firstLine="1349" w:firstLineChars="420"/>
        <w:rPr>
          <w:rFonts w:hint="eastAsia" w:ascii="仿宋" w:hAnsi="仿宋" w:eastAsia="仿宋" w:cs="仿宋"/>
          <w:b/>
          <w:sz w:val="32"/>
          <w:szCs w:val="32"/>
        </w:rPr>
      </w:pPr>
    </w:p>
    <w:p>
      <w:pPr>
        <w:widowControl/>
        <w:spacing w:before="100" w:beforeAutospacing="1" w:after="100" w:afterAutospacing="1" w:line="360" w:lineRule="auto"/>
        <w:ind w:right="72" w:rightChars="30" w:firstLine="5409" w:firstLineChars="1796"/>
        <w:rPr>
          <w:rFonts w:hint="eastAsia" w:ascii="仿宋" w:hAnsi="仿宋" w:eastAsia="仿宋" w:cs="仿宋"/>
          <w:sz w:val="48"/>
          <w:szCs w:val="48"/>
        </w:rPr>
      </w:pPr>
      <w:r>
        <w:rPr>
          <w:rFonts w:hint="eastAsia" w:ascii="仿宋" w:hAnsi="仿宋" w:eastAsia="仿宋" w:cs="仿宋"/>
          <w:b/>
          <w:sz w:val="30"/>
          <w:szCs w:val="30"/>
        </w:rPr>
        <w:t>20</w:t>
      </w:r>
      <w:r>
        <w:rPr>
          <w:rFonts w:hint="eastAsia" w:ascii="仿宋" w:hAnsi="仿宋" w:eastAsia="仿宋" w:cs="仿宋"/>
          <w:b/>
          <w:sz w:val="30"/>
          <w:szCs w:val="30"/>
          <w:lang w:val="en-US" w:eastAsia="zh-CN"/>
        </w:rPr>
        <w:t>25</w:t>
      </w:r>
      <w:r>
        <w:rPr>
          <w:rFonts w:hint="eastAsia" w:ascii="仿宋" w:hAnsi="仿宋" w:eastAsia="仿宋" w:cs="仿宋"/>
          <w:b/>
          <w:sz w:val="30"/>
          <w:szCs w:val="30"/>
        </w:rPr>
        <w:t xml:space="preserve">年 </w:t>
      </w:r>
      <w:r>
        <w:rPr>
          <w:rFonts w:hint="eastAsia" w:ascii="仿宋" w:hAnsi="仿宋" w:eastAsia="仿宋" w:cs="仿宋"/>
          <w:b/>
          <w:sz w:val="30"/>
          <w:szCs w:val="30"/>
          <w:lang w:val="en-US" w:eastAsia="zh-CN"/>
        </w:rPr>
        <w:t>6</w:t>
      </w:r>
      <w:r>
        <w:rPr>
          <w:rFonts w:hint="eastAsia" w:ascii="仿宋" w:hAnsi="仿宋" w:eastAsia="仿宋" w:cs="仿宋"/>
          <w:b/>
          <w:sz w:val="30"/>
          <w:szCs w:val="30"/>
        </w:rPr>
        <w:t>月</w:t>
      </w:r>
      <w:r>
        <w:rPr>
          <w:rFonts w:hint="eastAsia" w:ascii="仿宋" w:hAnsi="仿宋" w:eastAsia="仿宋" w:cs="仿宋"/>
          <w:b/>
          <w:sz w:val="30"/>
          <w:szCs w:val="30"/>
          <w:lang w:val="en-US" w:eastAsia="zh-CN"/>
        </w:rPr>
        <w:t>23</w:t>
      </w:r>
      <w:r>
        <w:rPr>
          <w:rFonts w:hint="eastAsia" w:ascii="仿宋" w:hAnsi="仿宋" w:eastAsia="仿宋" w:cs="仿宋"/>
          <w:b/>
          <w:sz w:val="30"/>
          <w:szCs w:val="30"/>
        </w:rPr>
        <w:t>日</w:t>
      </w:r>
    </w:p>
    <w:p>
      <w:pPr>
        <w:spacing w:line="360" w:lineRule="auto"/>
        <w:jc w:val="center"/>
        <w:rPr>
          <w:rFonts w:hint="eastAsia" w:ascii="仿宋" w:hAnsi="仿宋" w:eastAsia="仿宋" w:cs="仿宋"/>
          <w:b/>
          <w:sz w:val="36"/>
          <w:szCs w:val="44"/>
        </w:rPr>
      </w:pPr>
    </w:p>
    <w:p>
      <w:pPr>
        <w:spacing w:line="360" w:lineRule="auto"/>
        <w:rPr>
          <w:rFonts w:hint="eastAsia" w:ascii="仿宋" w:hAnsi="仿宋" w:eastAsia="仿宋" w:cs="仿宋"/>
          <w:bCs/>
        </w:rPr>
      </w:pPr>
    </w:p>
    <w:p>
      <w:pPr>
        <w:spacing w:line="360" w:lineRule="auto"/>
        <w:rPr>
          <w:rFonts w:hint="eastAsia" w:ascii="仿宋" w:hAnsi="仿宋" w:eastAsia="仿宋" w:cs="仿宋"/>
          <w:bCs/>
        </w:rPr>
      </w:pPr>
    </w:p>
    <w:p>
      <w:pPr>
        <w:spacing w:line="360" w:lineRule="auto"/>
        <w:ind w:firstLine="3791" w:firstLineChars="1049"/>
        <w:rPr>
          <w:rFonts w:hint="eastAsia" w:ascii="仿宋" w:hAnsi="仿宋" w:eastAsia="仿宋" w:cs="仿宋"/>
          <w:b/>
          <w:sz w:val="36"/>
          <w:szCs w:val="36"/>
        </w:rPr>
      </w:pPr>
      <w:r>
        <w:rPr>
          <w:rFonts w:hint="eastAsia" w:ascii="仿宋" w:hAnsi="仿宋" w:eastAsia="仿宋" w:cs="仿宋"/>
          <w:b/>
          <w:sz w:val="36"/>
          <w:szCs w:val="36"/>
        </w:rPr>
        <w:t>目    录</w:t>
      </w:r>
    </w:p>
    <w:p>
      <w:pPr>
        <w:spacing w:line="360" w:lineRule="auto"/>
        <w:ind w:firstLine="3791" w:firstLineChars="1049"/>
        <w:rPr>
          <w:rFonts w:hint="eastAsia" w:ascii="仿宋" w:hAnsi="仿宋" w:eastAsia="仿宋" w:cs="仿宋"/>
          <w:b/>
          <w:sz w:val="36"/>
          <w:szCs w:val="36"/>
        </w:rPr>
      </w:pPr>
    </w:p>
    <w:p>
      <w:pPr>
        <w:spacing w:before="100" w:beforeAutospacing="1" w:after="100" w:afterAutospacing="1" w:line="480" w:lineRule="auto"/>
        <w:ind w:firstLine="2530" w:firstLineChars="900"/>
        <w:rPr>
          <w:rFonts w:hint="eastAsia" w:ascii="仿宋" w:hAnsi="仿宋" w:eastAsia="仿宋" w:cs="仿宋"/>
          <w:b/>
          <w:sz w:val="28"/>
          <w:szCs w:val="28"/>
        </w:rPr>
      </w:pPr>
      <w:r>
        <w:rPr>
          <w:rFonts w:hint="eastAsia" w:ascii="仿宋" w:hAnsi="仿宋" w:eastAsia="仿宋" w:cs="仿宋"/>
          <w:b/>
          <w:sz w:val="28"/>
          <w:szCs w:val="28"/>
        </w:rPr>
        <w:t>附件一    总则</w:t>
      </w:r>
    </w:p>
    <w:p>
      <w:pPr>
        <w:spacing w:before="100" w:beforeAutospacing="1" w:after="100" w:afterAutospacing="1" w:line="480" w:lineRule="auto"/>
        <w:ind w:firstLine="2530" w:firstLineChars="900"/>
        <w:rPr>
          <w:rFonts w:hint="eastAsia" w:ascii="仿宋" w:hAnsi="仿宋" w:eastAsia="仿宋" w:cs="仿宋"/>
          <w:b/>
          <w:sz w:val="28"/>
          <w:szCs w:val="28"/>
        </w:rPr>
      </w:pPr>
      <w:r>
        <w:rPr>
          <w:rFonts w:hint="eastAsia" w:ascii="仿宋" w:hAnsi="仿宋" w:eastAsia="仿宋" w:cs="仿宋"/>
          <w:b/>
          <w:sz w:val="28"/>
          <w:szCs w:val="28"/>
        </w:rPr>
        <w:t>附件二    制造要求</w:t>
      </w:r>
    </w:p>
    <w:p>
      <w:pPr>
        <w:spacing w:before="100" w:beforeAutospacing="1" w:after="100" w:afterAutospacing="1" w:line="480" w:lineRule="auto"/>
        <w:ind w:firstLine="2529" w:firstLineChars="926"/>
        <w:rPr>
          <w:rFonts w:hint="eastAsia" w:ascii="仿宋" w:hAnsi="仿宋" w:eastAsia="仿宋" w:cs="仿宋"/>
          <w:b/>
          <w:spacing w:val="-4"/>
          <w:kern w:val="28"/>
          <w:sz w:val="28"/>
          <w:szCs w:val="28"/>
        </w:rPr>
      </w:pPr>
      <w:r>
        <w:rPr>
          <w:rFonts w:hint="eastAsia" w:ascii="仿宋" w:hAnsi="仿宋" w:eastAsia="仿宋" w:cs="仿宋"/>
          <w:b/>
          <w:spacing w:val="-4"/>
          <w:kern w:val="28"/>
          <w:sz w:val="28"/>
          <w:szCs w:val="28"/>
        </w:rPr>
        <w:t>附件三    系统设施供货范围</w:t>
      </w:r>
    </w:p>
    <w:p>
      <w:pPr>
        <w:tabs>
          <w:tab w:val="left" w:pos="0"/>
          <w:tab w:val="left" w:pos="900"/>
          <w:tab w:val="left" w:pos="1080"/>
        </w:tabs>
        <w:spacing w:before="100" w:beforeAutospacing="1" w:after="100" w:afterAutospacing="1" w:line="480" w:lineRule="auto"/>
        <w:ind w:firstLine="2530" w:firstLineChars="900"/>
        <w:rPr>
          <w:rFonts w:hint="eastAsia" w:ascii="仿宋" w:hAnsi="仿宋" w:eastAsia="仿宋" w:cs="仿宋"/>
          <w:b/>
          <w:sz w:val="28"/>
          <w:szCs w:val="28"/>
        </w:rPr>
      </w:pPr>
      <w:r>
        <w:rPr>
          <w:rFonts w:hint="eastAsia" w:ascii="仿宋" w:hAnsi="仿宋" w:eastAsia="仿宋" w:cs="仿宋"/>
          <w:b/>
          <w:sz w:val="28"/>
          <w:szCs w:val="28"/>
        </w:rPr>
        <w:t>附件四    提供资料</w:t>
      </w:r>
    </w:p>
    <w:p>
      <w:pPr>
        <w:spacing w:before="100" w:beforeAutospacing="1" w:after="100" w:afterAutospacing="1" w:line="480" w:lineRule="auto"/>
        <w:ind w:firstLine="2530" w:firstLineChars="900"/>
        <w:rPr>
          <w:rFonts w:hint="eastAsia" w:ascii="仿宋" w:hAnsi="仿宋" w:eastAsia="仿宋" w:cs="仿宋"/>
          <w:b/>
          <w:sz w:val="28"/>
          <w:szCs w:val="28"/>
        </w:rPr>
      </w:pPr>
      <w:r>
        <w:rPr>
          <w:rFonts w:hint="eastAsia" w:ascii="仿宋" w:hAnsi="仿宋" w:eastAsia="仿宋" w:cs="仿宋"/>
          <w:b/>
          <w:sz w:val="28"/>
          <w:szCs w:val="28"/>
        </w:rPr>
        <w:t>附件五    售后服务</w:t>
      </w:r>
    </w:p>
    <w:p>
      <w:pPr>
        <w:tabs>
          <w:tab w:val="left" w:pos="0"/>
          <w:tab w:val="left" w:pos="720"/>
          <w:tab w:val="left" w:pos="900"/>
          <w:tab w:val="left" w:pos="1080"/>
        </w:tabs>
        <w:spacing w:before="100" w:beforeAutospacing="1" w:after="100" w:afterAutospacing="1" w:line="480" w:lineRule="auto"/>
        <w:ind w:firstLine="2530" w:firstLineChars="900"/>
        <w:rPr>
          <w:rFonts w:hint="eastAsia" w:ascii="仿宋" w:hAnsi="仿宋" w:eastAsia="仿宋" w:cs="仿宋"/>
          <w:b/>
          <w:sz w:val="28"/>
          <w:szCs w:val="28"/>
        </w:rPr>
      </w:pPr>
      <w:r>
        <w:rPr>
          <w:rFonts w:hint="eastAsia" w:ascii="仿宋" w:hAnsi="仿宋" w:eastAsia="仿宋" w:cs="仿宋"/>
          <w:b/>
          <w:sz w:val="28"/>
          <w:szCs w:val="28"/>
        </w:rPr>
        <w:t>附件六    交货时间及地点</w:t>
      </w:r>
    </w:p>
    <w:p>
      <w:pPr>
        <w:tabs>
          <w:tab w:val="left" w:pos="0"/>
          <w:tab w:val="left" w:pos="720"/>
          <w:tab w:val="left" w:pos="900"/>
          <w:tab w:val="left" w:pos="1080"/>
        </w:tabs>
        <w:spacing w:before="100" w:beforeAutospacing="1" w:after="100" w:afterAutospacing="1" w:line="480" w:lineRule="auto"/>
        <w:ind w:firstLine="2530" w:firstLineChars="900"/>
        <w:rPr>
          <w:rFonts w:hint="eastAsia" w:ascii="仿宋" w:hAnsi="仿宋" w:eastAsia="仿宋" w:cs="仿宋"/>
          <w:b/>
          <w:sz w:val="28"/>
          <w:szCs w:val="28"/>
        </w:rPr>
      </w:pPr>
      <w:r>
        <w:rPr>
          <w:rFonts w:hint="eastAsia" w:ascii="仿宋" w:hAnsi="仿宋" w:eastAsia="仿宋" w:cs="仿宋"/>
          <w:b/>
          <w:sz w:val="28"/>
          <w:szCs w:val="28"/>
        </w:rPr>
        <w:t>附件七    其它</w:t>
      </w: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447"/>
        <w:jc w:val="both"/>
        <w:rPr>
          <w:rFonts w:hint="eastAsia" w:ascii="仿宋" w:hAnsi="仿宋" w:eastAsia="仿宋" w:cs="仿宋"/>
          <w:b/>
          <w:sz w:val="28"/>
          <w:szCs w:val="28"/>
        </w:rPr>
      </w:pPr>
    </w:p>
    <w:p>
      <w:pPr>
        <w:snapToGrid w:val="0"/>
        <w:spacing w:line="360" w:lineRule="auto"/>
        <w:ind w:right="-15" w:firstLine="525" w:firstLineChars="250"/>
        <w:rPr>
          <w:rFonts w:hint="eastAsia" w:ascii="仿宋" w:hAnsi="仿宋" w:eastAsia="仿宋" w:cs="仿宋"/>
          <w:b/>
          <w:sz w:val="21"/>
          <w:szCs w:val="21"/>
        </w:rPr>
      </w:pPr>
      <w:r>
        <w:rPr>
          <w:rFonts w:hint="eastAsia" w:ascii="仿宋" w:hAnsi="仿宋" w:eastAsia="仿宋" w:cs="仿宋"/>
          <w:sz w:val="21"/>
          <w:szCs w:val="21"/>
        </w:rPr>
        <w:t xml:space="preserve">  甘肃酒钢集团宏兴钢铁股份有限公司</w:t>
      </w:r>
      <w:r>
        <w:rPr>
          <w:rFonts w:hint="eastAsia" w:ascii="仿宋" w:hAnsi="仿宋" w:eastAsia="仿宋" w:cs="仿宋"/>
          <w:sz w:val="21"/>
          <w:szCs w:val="21"/>
          <w:lang w:eastAsia="zh-CN"/>
        </w:rPr>
        <w:t>炼铁厂</w:t>
      </w:r>
      <w:r>
        <w:rPr>
          <w:rFonts w:hint="eastAsia" w:ascii="仿宋" w:hAnsi="仿宋" w:eastAsia="仿宋" w:cs="仿宋"/>
          <w:sz w:val="21"/>
          <w:szCs w:val="21"/>
        </w:rPr>
        <w:t>（以下称甲方）与</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（以下称乙方）</w:t>
      </w:r>
      <w:r>
        <w:rPr>
          <w:rFonts w:hint="eastAsia" w:ascii="仿宋" w:hAnsi="仿宋" w:eastAsia="仿宋" w:cs="仿宋"/>
          <w:sz w:val="21"/>
          <w:szCs w:val="21"/>
          <w:lang w:val="en-US" w:eastAsia="zh-CN"/>
        </w:rPr>
        <w:t>360</w:t>
      </w:r>
      <w:r>
        <w:rPr>
          <w:rFonts w:hint="eastAsia" w:ascii="仿宋" w:hAnsi="仿宋" w:eastAsia="仿宋" w:cs="仿宋"/>
          <w:sz w:val="21"/>
          <w:szCs w:val="21"/>
        </w:rPr>
        <w:t>m2烧结机</w:t>
      </w:r>
      <w:r>
        <w:rPr>
          <w:rFonts w:hint="eastAsia" w:ascii="仿宋" w:hAnsi="仿宋" w:eastAsia="仿宋" w:cs="仿宋"/>
          <w:sz w:val="21"/>
          <w:szCs w:val="21"/>
          <w:lang w:eastAsia="zh-CN"/>
        </w:rPr>
        <w:t>风箱调节阀</w:t>
      </w:r>
      <w:r>
        <w:rPr>
          <w:rFonts w:hint="eastAsia" w:ascii="仿宋" w:hAnsi="仿宋" w:eastAsia="仿宋" w:cs="仿宋"/>
          <w:sz w:val="21"/>
          <w:szCs w:val="21"/>
        </w:rPr>
        <w:t>采购事宜经双方协商，达成如下技术协议：</w:t>
      </w:r>
    </w:p>
    <w:p>
      <w:pPr>
        <w:spacing w:line="360" w:lineRule="auto"/>
        <w:rPr>
          <w:rFonts w:hint="eastAsia" w:ascii="仿宋" w:hAnsi="仿宋" w:eastAsia="仿宋" w:cs="仿宋"/>
          <w:b/>
          <w:sz w:val="21"/>
          <w:szCs w:val="21"/>
        </w:rPr>
      </w:pPr>
      <w:r>
        <w:rPr>
          <w:rFonts w:hint="eastAsia" w:ascii="仿宋" w:hAnsi="仿宋" w:eastAsia="仿宋" w:cs="仿宋"/>
          <w:b/>
          <w:sz w:val="21"/>
          <w:szCs w:val="21"/>
        </w:rPr>
        <w:t>附件一 总则</w:t>
      </w:r>
    </w:p>
    <w:p>
      <w:pPr>
        <w:tabs>
          <w:tab w:val="left" w:pos="1080"/>
        </w:tabs>
        <w:spacing w:line="36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本技术协议作为甲方设备</w:t>
      </w:r>
      <w:r>
        <w:rPr>
          <w:rFonts w:hint="eastAsia" w:ascii="仿宋" w:hAnsi="仿宋" w:eastAsia="仿宋" w:cs="仿宋"/>
          <w:sz w:val="21"/>
          <w:szCs w:val="21"/>
          <w:lang w:eastAsia="zh-CN"/>
        </w:rPr>
        <w:t>制造</w:t>
      </w:r>
      <w:r>
        <w:rPr>
          <w:rFonts w:hint="eastAsia" w:ascii="仿宋" w:hAnsi="仿宋" w:eastAsia="仿宋" w:cs="仿宋"/>
          <w:sz w:val="21"/>
          <w:szCs w:val="21"/>
        </w:rPr>
        <w:t>协议的附件，与试用协议同时生效，具有同等法律效力。协议执行期间双方再协商形成的补充协议和追加条款也具有同等法律效力。</w:t>
      </w:r>
    </w:p>
    <w:p>
      <w:pPr>
        <w:numPr>
          <w:ilvl w:val="0"/>
          <w:numId w:val="1"/>
        </w:numPr>
        <w:tabs>
          <w:tab w:val="left" w:pos="540"/>
          <w:tab w:val="left" w:pos="720"/>
          <w:tab w:val="left" w:pos="1080"/>
        </w:tabs>
        <w:adjustRightInd/>
        <w:spacing w:line="360" w:lineRule="auto"/>
        <w:ind w:firstLine="525" w:firstLineChars="250"/>
        <w:jc w:val="both"/>
        <w:textAlignment w:val="auto"/>
        <w:rPr>
          <w:rFonts w:hint="eastAsia" w:ascii="仿宋" w:hAnsi="仿宋" w:eastAsia="仿宋" w:cs="仿宋"/>
          <w:sz w:val="21"/>
          <w:szCs w:val="21"/>
        </w:rPr>
      </w:pPr>
      <w:r>
        <w:rPr>
          <w:rFonts w:hint="eastAsia" w:ascii="仿宋" w:hAnsi="仿宋" w:eastAsia="仿宋" w:cs="仿宋"/>
          <w:sz w:val="21"/>
          <w:szCs w:val="21"/>
        </w:rPr>
        <w:t>本技术协议所提出的是最低标准的技术要求，并未对一切技术细节做出规定，也未充分引述有关标准和规范的条文，乙方应保证提供符合有关标准和技术文件的优质产品。</w:t>
      </w:r>
    </w:p>
    <w:p>
      <w:pPr>
        <w:numPr>
          <w:ilvl w:val="0"/>
          <w:numId w:val="1"/>
        </w:numPr>
        <w:tabs>
          <w:tab w:val="left" w:pos="540"/>
          <w:tab w:val="left" w:pos="720"/>
          <w:tab w:val="left" w:pos="1080"/>
        </w:tabs>
        <w:adjustRightInd/>
        <w:spacing w:line="360" w:lineRule="auto"/>
        <w:ind w:firstLine="525" w:firstLineChars="250"/>
        <w:jc w:val="both"/>
        <w:textAlignment w:val="auto"/>
        <w:rPr>
          <w:rFonts w:hint="eastAsia" w:ascii="仿宋" w:hAnsi="仿宋" w:eastAsia="仿宋" w:cs="仿宋"/>
          <w:sz w:val="21"/>
          <w:szCs w:val="21"/>
        </w:rPr>
      </w:pPr>
      <w:r>
        <w:rPr>
          <w:rFonts w:hint="eastAsia" w:ascii="仿宋" w:hAnsi="仿宋" w:eastAsia="仿宋" w:cs="仿宋"/>
          <w:sz w:val="21"/>
          <w:szCs w:val="21"/>
        </w:rPr>
        <w:t>乙方提供的设备必须具有国内同行业近几年内的先进制造水平，采用先进工艺，合格材料，成熟的技术或专利技术。</w:t>
      </w:r>
    </w:p>
    <w:p>
      <w:pPr>
        <w:numPr>
          <w:ilvl w:val="0"/>
          <w:numId w:val="1"/>
        </w:numPr>
        <w:tabs>
          <w:tab w:val="left" w:pos="540"/>
          <w:tab w:val="left" w:pos="720"/>
          <w:tab w:val="left" w:pos="1080"/>
        </w:tabs>
        <w:adjustRightInd/>
        <w:spacing w:line="360" w:lineRule="auto"/>
        <w:ind w:firstLine="525" w:firstLineChars="250"/>
        <w:jc w:val="both"/>
        <w:textAlignment w:val="auto"/>
        <w:rPr>
          <w:rFonts w:hint="eastAsia" w:ascii="仿宋" w:hAnsi="仿宋" w:eastAsia="仿宋" w:cs="仿宋"/>
          <w:sz w:val="21"/>
          <w:szCs w:val="21"/>
        </w:rPr>
      </w:pPr>
      <w:r>
        <w:rPr>
          <w:rFonts w:hint="eastAsia" w:ascii="仿宋" w:hAnsi="仿宋" w:eastAsia="仿宋" w:cs="仿宋"/>
          <w:sz w:val="21"/>
          <w:szCs w:val="21"/>
        </w:rPr>
        <w:t>乙方提供的设备必须是全新、规范、先进的高质量可靠产品，能够确保连续稳定的工作。</w:t>
      </w:r>
    </w:p>
    <w:p>
      <w:pPr>
        <w:numPr>
          <w:ilvl w:val="0"/>
          <w:numId w:val="1"/>
        </w:numPr>
        <w:tabs>
          <w:tab w:val="left" w:pos="540"/>
          <w:tab w:val="left" w:pos="720"/>
          <w:tab w:val="left" w:pos="1080"/>
        </w:tabs>
        <w:adjustRightInd/>
        <w:spacing w:line="360" w:lineRule="auto"/>
        <w:ind w:firstLine="525" w:firstLineChars="250"/>
        <w:jc w:val="both"/>
        <w:textAlignment w:val="auto"/>
        <w:rPr>
          <w:rFonts w:hint="eastAsia" w:ascii="仿宋" w:hAnsi="仿宋" w:eastAsia="仿宋" w:cs="仿宋"/>
          <w:sz w:val="21"/>
          <w:szCs w:val="21"/>
        </w:rPr>
      </w:pPr>
      <w:r>
        <w:rPr>
          <w:rFonts w:hint="eastAsia" w:ascii="仿宋" w:hAnsi="仿宋" w:eastAsia="仿宋" w:cs="仿宋"/>
          <w:sz w:val="21"/>
          <w:szCs w:val="21"/>
        </w:rPr>
        <w:t>乙方提供货物的制造，材料的选择，都应按照国内外通用的现行标准和相应的技术规范执行，而这些标准和技术规范应为协议签字日为止最新公布发行的标准和技术规范。</w:t>
      </w:r>
    </w:p>
    <w:p>
      <w:pPr>
        <w:numPr>
          <w:ilvl w:val="0"/>
          <w:numId w:val="1"/>
        </w:numPr>
        <w:tabs>
          <w:tab w:val="left" w:pos="540"/>
          <w:tab w:val="left" w:pos="720"/>
          <w:tab w:val="left" w:pos="1080"/>
        </w:tabs>
        <w:adjustRightInd/>
        <w:spacing w:line="360" w:lineRule="auto"/>
        <w:ind w:firstLine="525" w:firstLineChars="250"/>
        <w:jc w:val="both"/>
        <w:textAlignment w:val="auto"/>
        <w:rPr>
          <w:rFonts w:hint="eastAsia" w:ascii="仿宋" w:hAnsi="仿宋" w:eastAsia="仿宋" w:cs="仿宋"/>
          <w:sz w:val="21"/>
          <w:szCs w:val="21"/>
        </w:rPr>
      </w:pPr>
      <w:r>
        <w:rPr>
          <w:rFonts w:hint="eastAsia" w:ascii="仿宋" w:hAnsi="仿宋" w:eastAsia="仿宋" w:cs="仿宋"/>
          <w:sz w:val="21"/>
          <w:szCs w:val="21"/>
        </w:rPr>
        <w:t>乙方须对本</w:t>
      </w:r>
      <w:r>
        <w:rPr>
          <w:rFonts w:hint="eastAsia" w:ascii="仿宋" w:hAnsi="仿宋" w:eastAsia="仿宋" w:cs="仿宋"/>
          <w:sz w:val="21"/>
          <w:szCs w:val="21"/>
          <w:lang w:val="en-US" w:eastAsia="zh-CN"/>
        </w:rPr>
        <w:t>360</w:t>
      </w:r>
      <w:r>
        <w:rPr>
          <w:rFonts w:hint="eastAsia" w:ascii="仿宋" w:hAnsi="仿宋" w:eastAsia="仿宋" w:cs="仿宋"/>
          <w:sz w:val="21"/>
          <w:szCs w:val="21"/>
        </w:rPr>
        <w:t>m2烧结机</w:t>
      </w:r>
      <w:r>
        <w:rPr>
          <w:rFonts w:hint="eastAsia" w:ascii="仿宋" w:hAnsi="仿宋" w:eastAsia="仿宋" w:cs="仿宋"/>
          <w:sz w:val="21"/>
          <w:szCs w:val="21"/>
          <w:lang w:eastAsia="zh-CN"/>
        </w:rPr>
        <w:t>风箱调节阀</w:t>
      </w:r>
      <w:r>
        <w:rPr>
          <w:rFonts w:hint="eastAsia" w:ascii="仿宋" w:hAnsi="仿宋" w:eastAsia="仿宋" w:cs="仿宋"/>
          <w:sz w:val="21"/>
          <w:szCs w:val="21"/>
        </w:rPr>
        <w:t>设计的完整性、合理性和设计质量承担全部责任。保证设备设计满足</w:t>
      </w:r>
      <w:r>
        <w:rPr>
          <w:rFonts w:hint="eastAsia" w:ascii="仿宋" w:hAnsi="仿宋" w:eastAsia="仿宋" w:cs="仿宋"/>
          <w:sz w:val="21"/>
          <w:szCs w:val="21"/>
          <w:lang w:val="en-US" w:eastAsia="zh-CN"/>
        </w:rPr>
        <w:t>减速机</w:t>
      </w:r>
      <w:r>
        <w:rPr>
          <w:rFonts w:hint="eastAsia" w:ascii="仿宋" w:hAnsi="仿宋" w:eastAsia="仿宋" w:cs="仿宋"/>
          <w:sz w:val="21"/>
          <w:szCs w:val="21"/>
          <w:lang w:eastAsia="zh-CN"/>
        </w:rPr>
        <w:t>整机</w:t>
      </w:r>
      <w:r>
        <w:rPr>
          <w:rFonts w:hint="eastAsia" w:ascii="仿宋" w:hAnsi="仿宋" w:eastAsia="仿宋" w:cs="仿宋"/>
          <w:sz w:val="21"/>
          <w:szCs w:val="21"/>
        </w:rPr>
        <w:t>工艺要求。</w:t>
      </w:r>
    </w:p>
    <w:p>
      <w:pPr>
        <w:numPr>
          <w:ilvl w:val="0"/>
          <w:numId w:val="1"/>
        </w:numPr>
        <w:tabs>
          <w:tab w:val="left" w:pos="480"/>
          <w:tab w:val="left" w:pos="540"/>
          <w:tab w:val="left" w:pos="720"/>
          <w:tab w:val="clear" w:pos="0"/>
        </w:tabs>
        <w:adjustRightInd/>
        <w:spacing w:line="360" w:lineRule="auto"/>
        <w:ind w:firstLine="525" w:firstLineChars="25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  乙方在协议货物制造中，发生侵犯专利的行为时其侵权责任与甲方无关。</w:t>
      </w:r>
    </w:p>
    <w:p>
      <w:pPr>
        <w:spacing w:line="360" w:lineRule="auto"/>
        <w:ind w:firstLine="211" w:firstLineChars="100"/>
        <w:rPr>
          <w:rFonts w:hint="eastAsia" w:ascii="仿宋" w:hAnsi="仿宋" w:eastAsia="仿宋" w:cs="仿宋"/>
        </w:rPr>
      </w:pPr>
      <w:r>
        <w:rPr>
          <w:rFonts w:hint="eastAsia" w:ascii="仿宋" w:hAnsi="仿宋" w:eastAsia="仿宋" w:cs="仿宋"/>
          <w:b/>
          <w:color w:val="0000FF"/>
          <w:sz w:val="21"/>
          <w:szCs w:val="21"/>
          <w:highlight w:val="yellow"/>
          <w:lang w:val="en-US" w:eastAsia="zh-CN"/>
        </w:rPr>
        <w:t>乙方在投标前，必须与甲方充分技术交流后确认无异议后，方可投标。</w:t>
      </w:r>
    </w:p>
    <w:p>
      <w:pPr>
        <w:spacing w:line="360" w:lineRule="auto"/>
        <w:rPr>
          <w:rFonts w:hint="eastAsia" w:ascii="仿宋" w:hAnsi="仿宋" w:eastAsia="仿宋" w:cs="仿宋"/>
          <w:b/>
          <w:sz w:val="21"/>
          <w:szCs w:val="21"/>
        </w:rPr>
      </w:pPr>
      <w:r>
        <w:rPr>
          <w:rFonts w:hint="eastAsia" w:ascii="仿宋" w:hAnsi="仿宋" w:eastAsia="仿宋" w:cs="仿宋"/>
          <w:b/>
          <w:sz w:val="21"/>
          <w:szCs w:val="21"/>
        </w:rPr>
        <w:t>附件二 制造要求</w:t>
      </w:r>
    </w:p>
    <w:p>
      <w:pPr>
        <w:pStyle w:val="22"/>
        <w:spacing w:line="360" w:lineRule="auto"/>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2.1风箱调节阀360m2烧结机系统中的关键备件，是保障烧结机正常生产的主要备件之一。高温、负载变化频繁、开关频繁是主要工况要求，电动控制阀应耐腐蚀、耐高温、耐磨、不易变形、开关灵活等关键技术要求。</w:t>
      </w:r>
    </w:p>
    <w:p>
      <w:pPr>
        <w:pStyle w:val="22"/>
        <w:spacing w:line="360" w:lineRule="auto"/>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2.2工作温度：高温（</w:t>
      </w:r>
      <w:bookmarkStart w:id="1" w:name="OLE_LINK2"/>
      <w:r>
        <w:rPr>
          <w:rFonts w:hint="eastAsia" w:ascii="仿宋" w:hAnsi="仿宋" w:eastAsia="仿宋" w:cs="仿宋"/>
          <w:kern w:val="0"/>
          <w:sz w:val="21"/>
          <w:szCs w:val="21"/>
          <w:lang w:val="en-US" w:eastAsia="zh-CN" w:bidi="ar-SA"/>
        </w:rPr>
        <w:t>350-400℃</w:t>
      </w:r>
      <w:bookmarkEnd w:id="1"/>
      <w:r>
        <w:rPr>
          <w:rFonts w:hint="eastAsia" w:ascii="仿宋" w:hAnsi="仿宋" w:eastAsia="仿宋" w:cs="仿宋"/>
          <w:kern w:val="0"/>
          <w:sz w:val="21"/>
          <w:szCs w:val="21"/>
          <w:lang w:val="en-US" w:eastAsia="zh-CN" w:bidi="ar-SA"/>
        </w:rPr>
        <w:t xml:space="preserve">） </w:t>
      </w:r>
    </w:p>
    <w:p>
      <w:pPr>
        <w:pStyle w:val="22"/>
        <w:spacing w:line="360" w:lineRule="auto"/>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2.3平均作业率：40-80%</w:t>
      </w:r>
    </w:p>
    <w:p>
      <w:pPr>
        <w:pStyle w:val="22"/>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4</w:t>
      </w:r>
      <w:r>
        <w:rPr>
          <w:rFonts w:hint="eastAsia" w:ascii="仿宋" w:hAnsi="仿宋" w:eastAsia="仿宋" w:cs="仿宋"/>
          <w:kern w:val="0"/>
          <w:sz w:val="21"/>
          <w:szCs w:val="21"/>
          <w:lang w:val="en-US" w:eastAsia="zh-CN" w:bidi="ar-SA"/>
        </w:rPr>
        <w:t>因现场为新建烧结机项目，无</w:t>
      </w:r>
      <w:r>
        <w:rPr>
          <w:rFonts w:hint="eastAsia" w:ascii="仿宋" w:hAnsi="仿宋" w:eastAsia="仿宋" w:cs="仿宋"/>
          <w:sz w:val="21"/>
          <w:szCs w:val="21"/>
        </w:rPr>
        <w:t>外形及安装尺寸</w:t>
      </w:r>
      <w:r>
        <w:rPr>
          <w:rFonts w:hint="eastAsia" w:ascii="仿宋" w:hAnsi="仿宋" w:eastAsia="仿宋" w:cs="仿宋"/>
          <w:sz w:val="21"/>
          <w:szCs w:val="21"/>
          <w:lang w:eastAsia="zh-CN"/>
        </w:rPr>
        <w:t>参考</w:t>
      </w:r>
      <w:r>
        <w:rPr>
          <w:rFonts w:hint="eastAsia" w:ascii="仿宋" w:hAnsi="仿宋" w:eastAsia="仿宋" w:cs="仿宋"/>
          <w:sz w:val="21"/>
          <w:szCs w:val="21"/>
        </w:rPr>
        <w:t>图纸。</w:t>
      </w:r>
      <w:r>
        <w:rPr>
          <w:rFonts w:hint="eastAsia" w:ascii="仿宋" w:hAnsi="仿宋" w:eastAsia="仿宋" w:cs="仿宋"/>
          <w:kern w:val="0"/>
          <w:sz w:val="21"/>
          <w:szCs w:val="21"/>
          <w:lang w:val="en-US" w:eastAsia="zh-CN" w:bidi="ar-SA"/>
        </w:rPr>
        <w:t>乙方中标后，需到现场确认安装尺寸及参数，乙方需确保提供制作的设备与现场设备具备完全互换性要求。</w:t>
      </w:r>
    </w:p>
    <w:p>
      <w:pPr>
        <w:pStyle w:val="11"/>
        <w:keepNext w:val="0"/>
        <w:keepLines w:val="0"/>
        <w:widowControl/>
        <w:suppressLineNumbers w:val="0"/>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 </w:t>
      </w:r>
      <w:r>
        <w:rPr>
          <w:rFonts w:hint="eastAsia" w:ascii="仿宋" w:hAnsi="仿宋" w:eastAsia="仿宋" w:cs="仿宋"/>
          <w:sz w:val="21"/>
          <w:szCs w:val="21"/>
          <w:lang w:eastAsia="zh-CN"/>
        </w:rPr>
        <w:t>电动控制阀</w:t>
      </w:r>
      <w:r>
        <w:t> </w:t>
      </w:r>
      <w:r>
        <w:rPr>
          <w:rFonts w:hint="eastAsia" w:ascii="仿宋" w:hAnsi="仿宋" w:eastAsia="仿宋" w:cs="仿宋"/>
          <w:sz w:val="21"/>
          <w:szCs w:val="21"/>
        </w:rPr>
        <w:t xml:space="preserve">材质：304（不锈钢，耐腐蚀） + 17 - 4PH（沉淀硬化不锈钢，强度高、耐蚀） </w:t>
      </w:r>
      <w:r>
        <w:rPr>
          <w:rFonts w:hint="eastAsia" w:ascii="仿宋" w:hAnsi="仿宋" w:eastAsia="仿宋" w:cs="仿宋"/>
          <w:sz w:val="21"/>
          <w:szCs w:val="21"/>
          <w:lang w:val="en-US" w:eastAsia="zh-CN"/>
        </w:rPr>
        <w:t>并做渗漏实验</w:t>
      </w:r>
      <w:r>
        <w:rPr>
          <w:rFonts w:hint="eastAsia" w:ascii="仿宋" w:hAnsi="仿宋" w:eastAsia="仿宋" w:cs="仿宋"/>
          <w:kern w:val="2"/>
          <w:sz w:val="21"/>
          <w:szCs w:val="21"/>
          <w:lang w:val="en-US" w:eastAsia="zh-CN" w:bidi="ar-SA"/>
        </w:rPr>
        <w:t>。</w:t>
      </w:r>
    </w:p>
    <w:p>
      <w:pPr>
        <w:pStyle w:val="11"/>
        <w:keepNext w:val="0"/>
        <w:keepLines w:val="0"/>
        <w:widowControl/>
        <w:suppressLineNumbers w:val="0"/>
        <w:rPr>
          <w:rFonts w:hint="eastAsia"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2.6 工作温度；</w:t>
      </w:r>
      <w:r>
        <w:rPr>
          <w:rFonts w:hint="eastAsia" w:ascii="仿宋" w:hAnsi="仿宋" w:eastAsia="仿宋" w:cs="仿宋"/>
          <w:kern w:val="0"/>
          <w:sz w:val="21"/>
          <w:szCs w:val="21"/>
          <w:lang w:val="en-US" w:eastAsia="zh-CN" w:bidi="ar-SA"/>
        </w:rPr>
        <w:t>350-400℃。</w:t>
      </w:r>
    </w:p>
    <w:p>
      <w:pPr>
        <w:pStyle w:val="11"/>
        <w:keepNext w:val="0"/>
        <w:keepLines w:val="0"/>
        <w:widowControl/>
        <w:suppressLineNumbers w:val="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2.7动作稳定性与可靠性 </w:t>
      </w:r>
    </w:p>
    <w:p>
      <w:pPr>
        <w:pStyle w:val="11"/>
        <w:keepNext w:val="0"/>
        <w:keepLines w:val="0"/>
        <w:widowControl/>
        <w:suppressLineNumbers w:val="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高温后不发现形变，卡组，执行机构动作应平稳，无卡滞、振动或异常噪音，尤其在频繁启停或调节时，需保证阀门开关速度均匀。 需适应长期连续运行，具备抗环境干扰能力（如防尘、防水、防腐蚀），关键部件（如电机、齿轮、密封件）需耐用，减少故障概率 。</w:t>
      </w:r>
    </w:p>
    <w:p>
      <w:pPr>
        <w:pStyle w:val="11"/>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2.8控制与反馈功能  </w:t>
      </w:r>
    </w:p>
    <w:p>
      <w:pPr>
        <w:pStyle w:val="11"/>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 信号接收与响应：能准确接收控制信号（如电动信号、气动信号），并快速响应，响应时间需符合行业标准（如JB/T 7387）。 </w:t>
      </w:r>
    </w:p>
    <w:p>
      <w:pPr>
        <w:pStyle w:val="11"/>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2.9. 动力输出能力 </w:t>
      </w:r>
    </w:p>
    <w:p>
      <w:pPr>
        <w:pStyle w:val="11"/>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   扭矩/推力匹配：执行机构电机：0.25KW，扭矩：100Nm，转速：18r/min，电压：380v，频率：50Hz，（输入开关量，反馈开关量）  </w:t>
      </w:r>
    </w:p>
    <w:p>
      <w:pPr>
        <w:pStyle w:val="11"/>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输出精度：对于调节型阀门，执行机构的输出位移或转角需与控制信号（如4-20mA电流信号）精确对应，保证调节精度。  </w:t>
      </w:r>
    </w:p>
    <w:p>
      <w:pPr>
        <w:pStyle w:val="11"/>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2.10工作介质:高温废气及烟尘 。</w:t>
      </w:r>
    </w:p>
    <w:p>
      <w:pPr>
        <w:pStyle w:val="11"/>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2.11、电动控制阀安装方式必须与现场原铭牌机器一致，确保提供的电动控制阀能够完全的备用和互换。</w:t>
      </w:r>
    </w:p>
    <w:p>
      <w:pPr>
        <w:pStyle w:val="2"/>
        <w:rPr>
          <w:rFonts w:hint="eastAsia" w:ascii="仿宋" w:hAnsi="仿宋" w:eastAsia="仿宋" w:cs="仿宋"/>
          <w:sz w:val="21"/>
          <w:szCs w:val="21"/>
          <w:lang w:val="en-US" w:eastAsia="zh-CN"/>
        </w:rPr>
      </w:pP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sz w:val="21"/>
          <w:szCs w:val="21"/>
          <w:lang w:val="en-US" w:eastAsia="zh-CN" w:bidi="ar-SA"/>
        </w:rPr>
        <w:t>2.12制造标准和规范要求</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1)产品按照规定程序批准的图样及技术文件进行加工制造。所选用的材料，采购的配套件、标准件应具有检验合格证明，并符合国家及行业现行标准的规定。</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2)制造验收标准(以现行标准为准)</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除图纸及技术要求外，其余的锻造、铸造、焊接及机械加工件的要求均需按国家和行业的通用技术条件及投标厂标进行。</w:t>
      </w:r>
    </w:p>
    <w:p>
      <w:pPr>
        <w:spacing w:line="360" w:lineRule="auto"/>
        <w:rPr>
          <w:rFonts w:hint="eastAsia" w:ascii="仿宋" w:hAnsi="仿宋" w:eastAsia="仿宋" w:cs="仿宋"/>
          <w:b/>
          <w:sz w:val="21"/>
          <w:szCs w:val="21"/>
        </w:rPr>
      </w:pPr>
      <w:r>
        <w:rPr>
          <w:rFonts w:hint="eastAsia" w:ascii="仿宋" w:hAnsi="仿宋" w:eastAsia="仿宋" w:cs="仿宋"/>
          <w:b/>
          <w:sz w:val="21"/>
          <w:szCs w:val="21"/>
        </w:rPr>
        <w:t>附件三 系统设施供货范围</w:t>
      </w:r>
    </w:p>
    <w:p>
      <w:pPr>
        <w:tabs>
          <w:tab w:val="left" w:pos="0"/>
          <w:tab w:val="left" w:pos="720"/>
          <w:tab w:val="left" w:pos="1080"/>
        </w:tabs>
        <w:adjustRightInd/>
        <w:spacing w:line="360" w:lineRule="auto"/>
        <w:ind w:left="1" w:firstLine="547" w:firstLineChars="228"/>
        <w:jc w:val="both"/>
        <w:textAlignment w:val="auto"/>
        <w:rPr>
          <w:rFonts w:hint="eastAsia" w:ascii="仿宋" w:hAnsi="仿宋" w:eastAsia="仿宋" w:cs="仿宋"/>
          <w:sz w:val="21"/>
          <w:szCs w:val="21"/>
          <w:lang w:val="en-US" w:eastAsia="zh-CN"/>
        </w:rPr>
      </w:pPr>
      <w:r>
        <w:t>-</w:t>
      </w:r>
      <w:r>
        <w:rPr>
          <w:rFonts w:hint="eastAsia" w:ascii="仿宋" w:hAnsi="仿宋" w:eastAsia="仿宋" w:cs="仿宋"/>
          <w:sz w:val="21"/>
          <w:szCs w:val="21"/>
          <w:lang w:val="en-US" w:eastAsia="zh-CN"/>
        </w:rPr>
        <w:t xml:space="preserve"> GB/T 42125.19-2022《测量、控制和实验室用电气设备的安全要求 第19部分：电动控制阀》：规定了电动控制阀门执行器的安全要求，包括设计、制造、安装、使用等各个环节，涵盖基本要求、性能要求、试验方法等内容。 </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JB/T 7387-2014《工业过程控制系统用电动控制阀》：规定了工业过程控制系统用电动控制阀的产品分类、基本参数、要求、试验方法、检验规则、标志、包装和贮存。适用于由符合JB/T 8219的电动执行机构与阀组成的各类电动控制阀。 </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JB/T 11485-2013《小口径铜制电动阀》：详细规定了小口径铜制电动阀的设计、制造、检验和验收技术要求，包括定义、设计、结构、材料、制造工艺、试验、电动装置、环境适应性、安全防护以及标识与包装等方面。 </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此外，在一些特定行业中，电动控制阀生产还需遵循相关行业标准，如石油、化工行业的标准等。同时，企业为保证产品质量和管理水平，也常依据ISO 9001等质量管理体系标准建立质量管理体系。 </w:t>
      </w:r>
    </w:p>
    <w:p>
      <w:pPr>
        <w:pStyle w:val="2"/>
        <w:rPr>
          <w:rFonts w:hint="eastAsia"/>
        </w:rPr>
      </w:pPr>
    </w:p>
    <w:tbl>
      <w:tblPr>
        <w:tblStyle w:val="12"/>
        <w:tblW w:w="8869" w:type="dxa"/>
        <w:tblInd w:w="93" w:type="dxa"/>
        <w:tblLayout w:type="fixed"/>
        <w:tblCellMar>
          <w:top w:w="0" w:type="dxa"/>
          <w:left w:w="108" w:type="dxa"/>
          <w:bottom w:w="0" w:type="dxa"/>
          <w:right w:w="108" w:type="dxa"/>
        </w:tblCellMar>
      </w:tblPr>
      <w:tblGrid>
        <w:gridCol w:w="580"/>
        <w:gridCol w:w="1248"/>
        <w:gridCol w:w="2203"/>
        <w:gridCol w:w="891"/>
        <w:gridCol w:w="1689"/>
        <w:gridCol w:w="2258"/>
      </w:tblGrid>
      <w:tr>
        <w:tblPrEx>
          <w:tblCellMar>
            <w:top w:w="0" w:type="dxa"/>
            <w:left w:w="108" w:type="dxa"/>
            <w:bottom w:w="0" w:type="dxa"/>
            <w:right w:w="108" w:type="dxa"/>
          </w:tblCellMar>
        </w:tblPrEx>
        <w:trPr>
          <w:trHeight w:val="841"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序号</w:t>
            </w:r>
          </w:p>
        </w:tc>
        <w:tc>
          <w:tcPr>
            <w:tcW w:w="1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物料编码</w:t>
            </w:r>
          </w:p>
        </w:tc>
        <w:tc>
          <w:tcPr>
            <w:tcW w:w="22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名称</w:t>
            </w:r>
          </w:p>
        </w:tc>
        <w:tc>
          <w:tcPr>
            <w:tcW w:w="8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数量</w:t>
            </w:r>
          </w:p>
        </w:tc>
        <w:tc>
          <w:tcPr>
            <w:tcW w:w="168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铭牌</w:t>
            </w:r>
          </w:p>
        </w:tc>
        <w:tc>
          <w:tcPr>
            <w:tcW w:w="2258" w:type="dxa"/>
            <w:tcBorders>
              <w:top w:val="single" w:color="auto" w:sz="4" w:space="0"/>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Cs w:val="21"/>
              </w:rPr>
              <w:t>备注</w:t>
            </w:r>
          </w:p>
        </w:tc>
      </w:tr>
      <w:tr>
        <w:tblPrEx>
          <w:tblCellMar>
            <w:top w:w="0" w:type="dxa"/>
            <w:left w:w="108" w:type="dxa"/>
            <w:bottom w:w="0" w:type="dxa"/>
            <w:right w:w="108" w:type="dxa"/>
          </w:tblCellMar>
        </w:tblPrEx>
        <w:trPr>
          <w:trHeight w:val="1509"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248" w:type="dxa"/>
            <w:tcBorders>
              <w:top w:val="single" w:color="auto" w:sz="4" w:space="0"/>
              <w:left w:val="nil"/>
              <w:bottom w:val="single" w:color="auto" w:sz="4" w:space="0"/>
              <w:right w:val="single" w:color="auto" w:sz="4" w:space="0"/>
            </w:tcBorders>
            <w:noWrap/>
            <w:vAlign w:val="center"/>
          </w:tcPr>
          <w:p>
            <w:pPr>
              <w:tabs>
                <w:tab w:val="left" w:pos="0"/>
                <w:tab w:val="left" w:pos="720"/>
                <w:tab w:val="left" w:pos="1080"/>
              </w:tabs>
              <w:adjustRightInd/>
              <w:spacing w:line="360" w:lineRule="auto"/>
              <w:jc w:val="both"/>
              <w:textAlignment w:val="auto"/>
              <w:rPr>
                <w:rFonts w:hint="eastAsia" w:ascii="仿宋" w:hAnsi="仿宋" w:eastAsia="仿宋" w:cs="仿宋"/>
                <w:sz w:val="21"/>
                <w:szCs w:val="21"/>
                <w:lang w:val="en-US" w:eastAsia="zh-CN"/>
              </w:rPr>
            </w:pPr>
            <w:bookmarkStart w:id="2" w:name="OLE_LINK3"/>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"https://mdm.jiugang.com/materi/wlwl/page/wlwl_list.jsp" \l "this" \o "点击查看详细" </w:instrText>
            </w:r>
            <w:r>
              <w:rPr>
                <w:rFonts w:hint="eastAsia" w:ascii="仿宋" w:hAnsi="仿宋" w:eastAsia="仿宋" w:cs="仿宋"/>
                <w:sz w:val="21"/>
                <w:szCs w:val="21"/>
                <w:lang w:val="en-US" w:eastAsia="zh-CN"/>
              </w:rPr>
              <w:fldChar w:fldCharType="separate"/>
            </w:r>
            <w:r>
              <w:rPr>
                <w:rFonts w:hint="default" w:ascii="仿宋" w:hAnsi="仿宋" w:eastAsia="仿宋" w:cs="仿宋"/>
                <w:sz w:val="21"/>
                <w:szCs w:val="21"/>
                <w:lang w:val="en-US" w:eastAsia="zh-CN"/>
              </w:rPr>
              <w:t>70417817</w:t>
            </w:r>
            <w:r>
              <w:rPr>
                <w:rFonts w:hint="default" w:ascii="仿宋" w:hAnsi="仿宋" w:eastAsia="仿宋" w:cs="仿宋"/>
                <w:sz w:val="21"/>
                <w:szCs w:val="21"/>
                <w:lang w:val="en-US" w:eastAsia="zh-CN"/>
              </w:rPr>
              <w:fldChar w:fldCharType="end"/>
            </w:r>
            <w:bookmarkEnd w:id="2"/>
          </w:p>
        </w:tc>
        <w:tc>
          <w:tcPr>
            <w:tcW w:w="2203" w:type="dxa"/>
            <w:tcBorders>
              <w:top w:val="single" w:color="auto" w:sz="4" w:space="0"/>
              <w:left w:val="nil"/>
              <w:bottom w:val="single" w:color="auto" w:sz="4" w:space="0"/>
              <w:right w:val="single" w:color="auto" w:sz="4" w:space="0"/>
            </w:tcBorders>
            <w:noWrap/>
            <w:vAlign w:val="center"/>
          </w:tcPr>
          <w:p>
            <w:pPr>
              <w:tabs>
                <w:tab w:val="left" w:pos="0"/>
                <w:tab w:val="left" w:pos="720"/>
                <w:tab w:val="left" w:pos="1080"/>
              </w:tabs>
              <w:adjustRightIn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电动控制阀\PN1.0 DN1100 304+17-4PH ZYD9DAW</w:t>
            </w:r>
          </w:p>
        </w:tc>
        <w:tc>
          <w:tcPr>
            <w:tcW w:w="89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0台</w:t>
            </w:r>
          </w:p>
        </w:tc>
        <w:tc>
          <w:tcPr>
            <w:tcW w:w="1689" w:type="dxa"/>
            <w:tcBorders>
              <w:top w:val="single" w:color="auto" w:sz="4" w:space="0"/>
              <w:left w:val="nil"/>
              <w:bottom w:val="single" w:color="auto" w:sz="4" w:space="0"/>
              <w:right w:val="single" w:color="auto" w:sz="4" w:space="0"/>
            </w:tcBorders>
            <w:noWrap/>
            <w:vAlign w:val="center"/>
          </w:tcPr>
          <w:p>
            <w:pPr>
              <w:widowControl/>
              <w:spacing w:line="360" w:lineRule="auto"/>
              <w:jc w:val="both"/>
              <w:rPr>
                <w:rFonts w:hint="eastAsia" w:ascii="仿宋" w:hAnsi="仿宋" w:eastAsia="仿宋" w:cs="仿宋"/>
                <w:lang w:eastAsia="zh-CN"/>
              </w:rPr>
            </w:pPr>
            <w:r>
              <w:rPr>
                <w:rFonts w:hint="eastAsia" w:ascii="仿宋" w:hAnsi="仿宋" w:eastAsia="仿宋" w:cs="仿宋"/>
                <w:lang w:val="en-US" w:eastAsia="zh-CN"/>
              </w:rPr>
              <w:drawing>
                <wp:inline distT="0" distB="0" distL="114300" distR="114300">
                  <wp:extent cx="925830" cy="913765"/>
                  <wp:effectExtent l="0" t="0" r="7620" b="635"/>
                  <wp:docPr id="6" name="图片 6" descr="lQDPKej7bi3JtmnNA7_NBP-wJi3pXtXu49IIOMqzEr38AA_1279_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QDPKej7bi3JtmnNA7_NBP-wJi3pXtXu49IIOMqzEr38AA_1279_959"/>
                          <pic:cNvPicPr>
                            <a:picLocks noChangeAspect="1"/>
                          </pic:cNvPicPr>
                        </pic:nvPicPr>
                        <pic:blipFill>
                          <a:blip r:embed="rId7"/>
                          <a:stretch>
                            <a:fillRect/>
                          </a:stretch>
                        </pic:blipFill>
                        <pic:spPr>
                          <a:xfrm>
                            <a:off x="0" y="0"/>
                            <a:ext cx="925830" cy="913765"/>
                          </a:xfrm>
                          <a:prstGeom prst="rect">
                            <a:avLst/>
                          </a:prstGeom>
                        </pic:spPr>
                      </pic:pic>
                    </a:graphicData>
                  </a:graphic>
                </wp:inline>
              </w:drawing>
            </w:r>
          </w:p>
        </w:tc>
        <w:tc>
          <w:tcPr>
            <w:tcW w:w="2258"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drawing>
                <wp:inline distT="0" distB="0" distL="114300" distR="114300">
                  <wp:extent cx="1296035" cy="1086485"/>
                  <wp:effectExtent l="0" t="0" r="18415" b="18415"/>
                  <wp:docPr id="1" name="图片 1" descr="lQDPJwF4YPVkUWnNBP_NAtCwheGqoZnAUeIIOMquqNZRAA_720_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DPJwF4YPVkUWnNBP_NAtCwheGqoZnAUeIIOMquqNZRAA_720_1279"/>
                          <pic:cNvPicPr>
                            <a:picLocks noChangeAspect="1"/>
                          </pic:cNvPicPr>
                        </pic:nvPicPr>
                        <pic:blipFill>
                          <a:blip r:embed="rId8"/>
                          <a:stretch>
                            <a:fillRect/>
                          </a:stretch>
                        </pic:blipFill>
                        <pic:spPr>
                          <a:xfrm>
                            <a:off x="0" y="0"/>
                            <a:ext cx="1296035" cy="1086485"/>
                          </a:xfrm>
                          <a:prstGeom prst="rect">
                            <a:avLst/>
                          </a:prstGeom>
                        </pic:spPr>
                      </pic:pic>
                    </a:graphicData>
                  </a:graphic>
                </wp:inline>
              </w:drawing>
            </w:r>
          </w:p>
        </w:tc>
      </w:tr>
      <w:tr>
        <w:tblPrEx>
          <w:tblCellMar>
            <w:top w:w="0" w:type="dxa"/>
            <w:left w:w="108" w:type="dxa"/>
            <w:bottom w:w="0" w:type="dxa"/>
            <w:right w:w="108" w:type="dxa"/>
          </w:tblCellMar>
        </w:tblPrEx>
        <w:trPr>
          <w:trHeight w:val="2031"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248" w:type="dxa"/>
            <w:tcBorders>
              <w:top w:val="single" w:color="auto" w:sz="4" w:space="0"/>
              <w:left w:val="nil"/>
              <w:bottom w:val="single" w:color="auto" w:sz="4" w:space="0"/>
              <w:right w:val="single" w:color="auto" w:sz="4" w:space="0"/>
            </w:tcBorders>
            <w:noWrap/>
            <w:vAlign w:val="center"/>
          </w:tcPr>
          <w:p>
            <w:pPr>
              <w:tabs>
                <w:tab w:val="left" w:pos="0"/>
                <w:tab w:val="left" w:pos="720"/>
                <w:tab w:val="left" w:pos="1080"/>
              </w:tabs>
              <w:adjustRightIn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"https://mdm.jiugang.com/materi/wlwl/page/wlwl_list.jsp" \l "this" \o "点击查看详细"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"https://mdm.jiugang.com/materi/wlwl/page/wlwl_list.jsp" \l "this" \o "点击查看详细" </w:instrText>
            </w:r>
            <w:r>
              <w:rPr>
                <w:rFonts w:hint="eastAsia" w:ascii="仿宋" w:hAnsi="仿宋" w:eastAsia="仿宋" w:cs="仿宋"/>
                <w:sz w:val="21"/>
                <w:szCs w:val="21"/>
                <w:lang w:val="en-US" w:eastAsia="zh-CN"/>
              </w:rPr>
              <w:fldChar w:fldCharType="separate"/>
            </w:r>
            <w:r>
              <w:rPr>
                <w:rFonts w:hint="default" w:ascii="仿宋" w:hAnsi="仿宋" w:eastAsia="仿宋" w:cs="仿宋"/>
                <w:sz w:val="21"/>
                <w:szCs w:val="21"/>
                <w:lang w:val="en-US" w:eastAsia="zh-CN"/>
              </w:rPr>
              <w:t>7041781</w:t>
            </w: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en-US" w:eastAsia="zh-CN"/>
              </w:rPr>
              <w:fldChar w:fldCharType="end"/>
            </w:r>
          </w:p>
        </w:tc>
        <w:tc>
          <w:tcPr>
            <w:tcW w:w="2203" w:type="dxa"/>
            <w:tcBorders>
              <w:top w:val="single" w:color="auto" w:sz="4" w:space="0"/>
              <w:left w:val="nil"/>
              <w:bottom w:val="single" w:color="auto" w:sz="4" w:space="0"/>
              <w:right w:val="single" w:color="auto" w:sz="4" w:space="0"/>
            </w:tcBorders>
            <w:noWrap/>
            <w:vAlign w:val="center"/>
          </w:tcPr>
          <w:p>
            <w:pPr>
              <w:tabs>
                <w:tab w:val="left" w:pos="0"/>
                <w:tab w:val="left" w:pos="720"/>
                <w:tab w:val="left" w:pos="1080"/>
              </w:tabs>
              <w:adjustRightIn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电动控制阀\PN1.0 DN850 304+17-4PH ZYD9DAW</w:t>
            </w:r>
          </w:p>
        </w:tc>
        <w:tc>
          <w:tcPr>
            <w:tcW w:w="89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0台</w:t>
            </w:r>
          </w:p>
        </w:tc>
        <w:tc>
          <w:tcPr>
            <w:tcW w:w="1689" w:type="dxa"/>
            <w:tcBorders>
              <w:top w:val="single" w:color="auto" w:sz="4" w:space="0"/>
              <w:left w:val="nil"/>
              <w:bottom w:val="single" w:color="auto" w:sz="4" w:space="0"/>
              <w:right w:val="single" w:color="auto" w:sz="4" w:space="0"/>
            </w:tcBorders>
            <w:noWrap/>
            <w:vAlign w:val="center"/>
          </w:tcPr>
          <w:p>
            <w:pPr>
              <w:pStyle w:val="2"/>
              <w:spacing w:before="0" w:after="0" w:line="240" w:lineRule="auto"/>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1356360" cy="1017270"/>
                  <wp:effectExtent l="0" t="0" r="15240" b="11430"/>
                  <wp:docPr id="4" name="图片 4" descr="lQDPKej7bi3JtmnNA7_NBP-wJi3pXtXu49IIOMqzEr38AA_1279_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QDPKej7bi3JtmnNA7_NBP-wJi3pXtXu49IIOMqzEr38AA_1279_959"/>
                          <pic:cNvPicPr>
                            <a:picLocks noChangeAspect="1"/>
                          </pic:cNvPicPr>
                        </pic:nvPicPr>
                        <pic:blipFill>
                          <a:blip r:embed="rId7"/>
                          <a:stretch>
                            <a:fillRect/>
                          </a:stretch>
                        </pic:blipFill>
                        <pic:spPr>
                          <a:xfrm>
                            <a:off x="0" y="0"/>
                            <a:ext cx="1356360" cy="1017270"/>
                          </a:xfrm>
                          <a:prstGeom prst="rect">
                            <a:avLst/>
                          </a:prstGeom>
                        </pic:spPr>
                      </pic:pic>
                    </a:graphicData>
                  </a:graphic>
                </wp:inline>
              </w:drawing>
            </w:r>
          </w:p>
        </w:tc>
        <w:tc>
          <w:tcPr>
            <w:tcW w:w="2258"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drawing>
                <wp:inline distT="0" distB="0" distL="114300" distR="114300">
                  <wp:extent cx="1296035" cy="844550"/>
                  <wp:effectExtent l="0" t="0" r="18415" b="12700"/>
                  <wp:docPr id="2" name="图片 2" descr="lQDPJwP170lM42nNBP_NAtCwVomhnsIkarUIOMqxARwnAA_720_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DPJwP170lM42nNBP_NAtCwVomhnsIkarUIOMqxARwnAA_720_1279"/>
                          <pic:cNvPicPr>
                            <a:picLocks noChangeAspect="1"/>
                          </pic:cNvPicPr>
                        </pic:nvPicPr>
                        <pic:blipFill>
                          <a:blip r:embed="rId9"/>
                          <a:stretch>
                            <a:fillRect/>
                          </a:stretch>
                        </pic:blipFill>
                        <pic:spPr>
                          <a:xfrm>
                            <a:off x="0" y="0"/>
                            <a:ext cx="1296035" cy="844550"/>
                          </a:xfrm>
                          <a:prstGeom prst="rect">
                            <a:avLst/>
                          </a:prstGeom>
                        </pic:spPr>
                      </pic:pic>
                    </a:graphicData>
                  </a:graphic>
                </wp:inline>
              </w:drawing>
            </w:r>
          </w:p>
        </w:tc>
      </w:tr>
      <w:tr>
        <w:tblPrEx>
          <w:tblCellMar>
            <w:top w:w="0" w:type="dxa"/>
            <w:left w:w="108" w:type="dxa"/>
            <w:bottom w:w="0" w:type="dxa"/>
            <w:right w:w="108" w:type="dxa"/>
          </w:tblCellMar>
        </w:tblPrEx>
        <w:trPr>
          <w:trHeight w:val="2031"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lang w:val="en-US" w:eastAsia="zh-CN"/>
              </w:rPr>
            </w:pPr>
          </w:p>
        </w:tc>
        <w:tc>
          <w:tcPr>
            <w:tcW w:w="1248" w:type="dxa"/>
            <w:tcBorders>
              <w:top w:val="single" w:color="auto" w:sz="4" w:space="0"/>
              <w:left w:val="nil"/>
              <w:bottom w:val="single" w:color="auto" w:sz="4" w:space="0"/>
              <w:right w:val="single" w:color="auto" w:sz="4" w:space="0"/>
            </w:tcBorders>
            <w:noWrap/>
            <w:vAlign w:val="center"/>
          </w:tcPr>
          <w:p>
            <w:pPr>
              <w:tabs>
                <w:tab w:val="left" w:pos="0"/>
                <w:tab w:val="left" w:pos="720"/>
                <w:tab w:val="left" w:pos="1080"/>
              </w:tabs>
              <w:adjustRightIn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"https://mdm.jiugang.com/materi/wlwl/page/wlwl_list.jsp" \l "this" \o "点击查看详细" </w:instrText>
            </w:r>
            <w:r>
              <w:rPr>
                <w:rFonts w:hint="eastAsia" w:ascii="仿宋" w:hAnsi="仿宋" w:eastAsia="仿宋" w:cs="仿宋"/>
                <w:sz w:val="21"/>
                <w:szCs w:val="21"/>
                <w:lang w:val="en-US" w:eastAsia="zh-CN"/>
              </w:rPr>
              <w:fldChar w:fldCharType="separate"/>
            </w:r>
            <w:r>
              <w:rPr>
                <w:rFonts w:hint="default" w:ascii="仿宋" w:hAnsi="仿宋" w:eastAsia="仿宋" w:cs="仿宋"/>
                <w:sz w:val="21"/>
                <w:szCs w:val="21"/>
                <w:lang w:val="en-US" w:eastAsia="zh-CN"/>
              </w:rPr>
              <w:t>7041781</w:t>
            </w: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fldChar w:fldCharType="end"/>
            </w:r>
          </w:p>
        </w:tc>
        <w:tc>
          <w:tcPr>
            <w:tcW w:w="2203" w:type="dxa"/>
            <w:tcBorders>
              <w:top w:val="single" w:color="auto" w:sz="4" w:space="0"/>
              <w:left w:val="nil"/>
              <w:bottom w:val="single" w:color="auto" w:sz="4" w:space="0"/>
              <w:right w:val="single" w:color="auto" w:sz="4" w:space="0"/>
            </w:tcBorders>
            <w:noWrap/>
            <w:vAlign w:val="center"/>
          </w:tcPr>
          <w:p>
            <w:pPr>
              <w:tabs>
                <w:tab w:val="left" w:pos="0"/>
                <w:tab w:val="left" w:pos="720"/>
                <w:tab w:val="left" w:pos="1080"/>
              </w:tabs>
              <w:adjustRightInd/>
              <w:spacing w:line="36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电动控制阀\PN1.0 DN500 304+17-4PH ZYD9DAW</w:t>
            </w:r>
          </w:p>
        </w:tc>
        <w:tc>
          <w:tcPr>
            <w:tcW w:w="89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2台</w:t>
            </w:r>
          </w:p>
        </w:tc>
        <w:tc>
          <w:tcPr>
            <w:tcW w:w="1689" w:type="dxa"/>
            <w:tcBorders>
              <w:top w:val="single" w:color="auto" w:sz="4" w:space="0"/>
              <w:left w:val="nil"/>
              <w:bottom w:val="single" w:color="auto" w:sz="4" w:space="0"/>
              <w:right w:val="single" w:color="auto" w:sz="4" w:space="0"/>
            </w:tcBorders>
            <w:noWrap/>
            <w:vAlign w:val="center"/>
          </w:tcPr>
          <w:p>
            <w:pPr>
              <w:pStyle w:val="2"/>
              <w:spacing w:before="0" w:after="0" w:line="240" w:lineRule="auto"/>
              <w:rPr>
                <w:rFonts w:hint="eastAsia" w:ascii="仿宋" w:hAnsi="仿宋" w:eastAsia="仿宋" w:cs="仿宋"/>
                <w:sz w:val="21"/>
                <w:szCs w:val="21"/>
                <w:vertAlign w:val="baseline"/>
                <w:lang w:eastAsia="zh-CN"/>
              </w:rPr>
            </w:pPr>
            <w:r>
              <w:rPr>
                <w:rFonts w:hint="eastAsia" w:ascii="仿宋" w:hAnsi="仿宋" w:eastAsia="仿宋" w:cs="仿宋"/>
                <w:lang w:val="en-US" w:eastAsia="zh-CN"/>
              </w:rPr>
              <w:drawing>
                <wp:inline distT="0" distB="0" distL="114300" distR="114300">
                  <wp:extent cx="925830" cy="694055"/>
                  <wp:effectExtent l="0" t="0" r="7620" b="10795"/>
                  <wp:docPr id="5" name="图片 5" descr="lQDPKej7bi3JtmnNA7_NBP-wJi3pXtXu49IIOMqzEr38AA_1279_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QDPKej7bi3JtmnNA7_NBP-wJi3pXtXu49IIOMqzEr38AA_1279_959"/>
                          <pic:cNvPicPr>
                            <a:picLocks noChangeAspect="1"/>
                          </pic:cNvPicPr>
                        </pic:nvPicPr>
                        <pic:blipFill>
                          <a:blip r:embed="rId7"/>
                          <a:stretch>
                            <a:fillRect/>
                          </a:stretch>
                        </pic:blipFill>
                        <pic:spPr>
                          <a:xfrm>
                            <a:off x="0" y="0"/>
                            <a:ext cx="925830" cy="694055"/>
                          </a:xfrm>
                          <a:prstGeom prst="rect">
                            <a:avLst/>
                          </a:prstGeom>
                        </pic:spPr>
                      </pic:pic>
                    </a:graphicData>
                  </a:graphic>
                </wp:inline>
              </w:drawing>
            </w:r>
          </w:p>
        </w:tc>
        <w:tc>
          <w:tcPr>
            <w:tcW w:w="2258"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drawing>
                <wp:inline distT="0" distB="0" distL="114300" distR="114300">
                  <wp:extent cx="1296035" cy="1400810"/>
                  <wp:effectExtent l="0" t="0" r="18415" b="8890"/>
                  <wp:docPr id="8" name="图片 8" descr="lQDPKHvVkIfucmnNBP_NAtCwTxmnpdZUVX4IOMqvZphBAA_720_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QDPKHvVkIfucmnNBP_NAtCwTxmnpdZUVX4IOMqvZphBAA_720_1279"/>
                          <pic:cNvPicPr>
                            <a:picLocks noChangeAspect="1"/>
                          </pic:cNvPicPr>
                        </pic:nvPicPr>
                        <pic:blipFill>
                          <a:blip r:embed="rId10"/>
                          <a:stretch>
                            <a:fillRect/>
                          </a:stretch>
                        </pic:blipFill>
                        <pic:spPr>
                          <a:xfrm>
                            <a:off x="0" y="0"/>
                            <a:ext cx="1296035" cy="1400810"/>
                          </a:xfrm>
                          <a:prstGeom prst="rect">
                            <a:avLst/>
                          </a:prstGeom>
                        </pic:spPr>
                      </pic:pic>
                    </a:graphicData>
                  </a:graphic>
                </wp:inline>
              </w:drawing>
            </w:r>
          </w:p>
        </w:tc>
      </w:tr>
    </w:tbl>
    <w:p>
      <w:pPr>
        <w:tabs>
          <w:tab w:val="left" w:pos="0"/>
          <w:tab w:val="left" w:pos="900"/>
          <w:tab w:val="left" w:pos="1080"/>
        </w:tabs>
        <w:spacing w:line="360" w:lineRule="auto"/>
        <w:rPr>
          <w:rFonts w:hint="eastAsia" w:ascii="仿宋" w:hAnsi="仿宋" w:eastAsia="仿宋" w:cs="仿宋"/>
          <w:b/>
          <w:sz w:val="21"/>
          <w:szCs w:val="21"/>
        </w:rPr>
      </w:pPr>
      <w:r>
        <w:rPr>
          <w:rFonts w:hint="eastAsia" w:ascii="仿宋" w:hAnsi="仿宋" w:eastAsia="仿宋" w:cs="仿宋"/>
          <w:b/>
          <w:sz w:val="21"/>
          <w:szCs w:val="21"/>
        </w:rPr>
        <w:t>附件四 提供资料</w:t>
      </w:r>
    </w:p>
    <w:p>
      <w:pPr>
        <w:tabs>
          <w:tab w:val="left" w:pos="540"/>
          <w:tab w:val="left" w:pos="1080"/>
        </w:tabs>
        <w:spacing w:line="360" w:lineRule="auto"/>
        <w:ind w:left="-23" w:firstLine="142" w:firstLineChars="68"/>
        <w:outlineLvl w:val="0"/>
        <w:rPr>
          <w:rFonts w:hint="eastAsia" w:ascii="仿宋" w:hAnsi="仿宋" w:eastAsia="仿宋" w:cs="仿宋"/>
          <w:sz w:val="21"/>
          <w:szCs w:val="21"/>
        </w:rPr>
      </w:pPr>
      <w:r>
        <w:rPr>
          <w:rFonts w:hint="eastAsia" w:ascii="仿宋" w:hAnsi="仿宋" w:eastAsia="仿宋" w:cs="仿宋"/>
          <w:color w:val="000000"/>
          <w:sz w:val="21"/>
          <w:szCs w:val="21"/>
        </w:rPr>
        <w:t>4.1</w:t>
      </w:r>
      <w:r>
        <w:rPr>
          <w:rFonts w:hint="eastAsia" w:ascii="仿宋" w:hAnsi="仿宋" w:eastAsia="仿宋" w:cs="仿宋"/>
          <w:sz w:val="21"/>
          <w:szCs w:val="21"/>
        </w:rPr>
        <w:t>甲方向乙方提供以下资料：</w:t>
      </w:r>
    </w:p>
    <w:p>
      <w:pPr>
        <w:tabs>
          <w:tab w:val="left" w:pos="540"/>
          <w:tab w:val="left" w:pos="1080"/>
        </w:tabs>
        <w:spacing w:line="360" w:lineRule="auto"/>
        <w:ind w:left="-23" w:firstLine="142" w:firstLineChars="68"/>
        <w:outlineLvl w:val="0"/>
        <w:rPr>
          <w:rFonts w:hint="eastAsia" w:ascii="仿宋" w:hAnsi="仿宋" w:eastAsia="仿宋" w:cs="仿宋"/>
          <w:sz w:val="21"/>
          <w:szCs w:val="21"/>
          <w:lang w:val="en-US" w:eastAsia="zh-CN"/>
        </w:rPr>
      </w:pPr>
      <w:r>
        <w:rPr>
          <w:rFonts w:hint="eastAsia" w:ascii="仿宋" w:hAnsi="仿宋" w:eastAsia="仿宋" w:cs="仿宋"/>
          <w:sz w:val="21"/>
          <w:szCs w:val="21"/>
        </w:rPr>
        <w:t xml:space="preserve"> </w:t>
      </w:r>
      <w:r>
        <w:rPr>
          <w:rFonts w:hint="eastAsia" w:ascii="仿宋" w:hAnsi="仿宋" w:eastAsia="仿宋" w:cs="仿宋"/>
          <w:sz w:val="21"/>
          <w:szCs w:val="21"/>
          <w:lang w:eastAsia="zh-CN"/>
        </w:rPr>
        <w:t>无</w:t>
      </w:r>
    </w:p>
    <w:p>
      <w:pPr>
        <w:spacing w:line="360" w:lineRule="auto"/>
        <w:ind w:firstLine="119" w:firstLineChars="57"/>
        <w:rPr>
          <w:rFonts w:hint="eastAsia" w:ascii="仿宋" w:hAnsi="仿宋" w:eastAsia="仿宋" w:cs="仿宋"/>
          <w:sz w:val="21"/>
          <w:szCs w:val="21"/>
        </w:rPr>
      </w:pPr>
      <w:r>
        <w:rPr>
          <w:rFonts w:hint="eastAsia" w:ascii="仿宋" w:hAnsi="仿宋" w:eastAsia="仿宋" w:cs="仿宋"/>
          <w:color w:val="000000"/>
          <w:sz w:val="21"/>
          <w:szCs w:val="21"/>
        </w:rPr>
        <w:t>4.2乙方向甲方提供以下资料：</w:t>
      </w:r>
    </w:p>
    <w:p>
      <w:pPr>
        <w:numPr>
          <w:ilvl w:val="1"/>
          <w:numId w:val="2"/>
        </w:numPr>
        <w:tabs>
          <w:tab w:val="left" w:pos="0"/>
          <w:tab w:val="left" w:pos="720"/>
          <w:tab w:val="clear" w:pos="840"/>
        </w:tabs>
        <w:adjustRightInd/>
        <w:spacing w:line="360" w:lineRule="auto"/>
        <w:ind w:left="0" w:firstLine="120"/>
        <w:textAlignment w:val="auto"/>
        <w:rPr>
          <w:rFonts w:hint="eastAsia" w:ascii="仿宋" w:hAnsi="仿宋" w:eastAsia="仿宋" w:cs="仿宋"/>
          <w:sz w:val="21"/>
          <w:szCs w:val="21"/>
        </w:rPr>
      </w:pPr>
      <w:r>
        <w:rPr>
          <w:rFonts w:hint="eastAsia" w:ascii="仿宋" w:hAnsi="仿宋" w:eastAsia="仿宋" w:cs="仿宋"/>
          <w:sz w:val="21"/>
          <w:szCs w:val="21"/>
        </w:rPr>
        <w:t xml:space="preserve"> 产品合格证</w:t>
      </w:r>
    </w:p>
    <w:p>
      <w:pPr>
        <w:numPr>
          <w:ilvl w:val="1"/>
          <w:numId w:val="2"/>
        </w:numPr>
        <w:tabs>
          <w:tab w:val="left" w:pos="0"/>
          <w:tab w:val="left" w:pos="720"/>
          <w:tab w:val="clear" w:pos="840"/>
        </w:tabs>
        <w:adjustRightInd/>
        <w:spacing w:line="360" w:lineRule="auto"/>
        <w:ind w:left="0" w:firstLine="120"/>
        <w:textAlignment w:val="auto"/>
        <w:rPr>
          <w:rFonts w:hint="eastAsia" w:ascii="仿宋" w:hAnsi="仿宋" w:eastAsia="仿宋" w:cs="仿宋"/>
          <w:sz w:val="21"/>
          <w:szCs w:val="21"/>
        </w:rPr>
      </w:pPr>
      <w:r>
        <w:rPr>
          <w:rFonts w:hint="eastAsia" w:ascii="仿宋" w:hAnsi="仿宋" w:eastAsia="仿宋" w:cs="仿宋"/>
          <w:sz w:val="21"/>
          <w:szCs w:val="21"/>
        </w:rPr>
        <w:t xml:space="preserve"> 竣工图纸</w:t>
      </w:r>
      <w:r>
        <w:rPr>
          <w:rFonts w:hint="eastAsia" w:ascii="仿宋" w:hAnsi="仿宋" w:eastAsia="仿宋" w:cs="仿宋"/>
          <w:sz w:val="21"/>
          <w:szCs w:val="21"/>
          <w:lang w:val="en-US" w:eastAsia="zh-CN"/>
        </w:rPr>
        <w:t>(含零部件图纸、易损件清单)</w:t>
      </w:r>
    </w:p>
    <w:p>
      <w:pPr>
        <w:numPr>
          <w:ilvl w:val="1"/>
          <w:numId w:val="2"/>
        </w:numPr>
        <w:tabs>
          <w:tab w:val="left" w:pos="0"/>
          <w:tab w:val="left" w:pos="720"/>
          <w:tab w:val="clear" w:pos="840"/>
        </w:tabs>
        <w:adjustRightInd/>
        <w:spacing w:line="360" w:lineRule="auto"/>
        <w:ind w:left="0" w:firstLine="120"/>
        <w:textAlignment w:val="auto"/>
        <w:rPr>
          <w:rFonts w:hint="eastAsia" w:ascii="仿宋" w:hAnsi="仿宋" w:eastAsia="仿宋" w:cs="仿宋"/>
          <w:sz w:val="21"/>
          <w:szCs w:val="21"/>
        </w:rPr>
      </w:pPr>
      <w:r>
        <w:rPr>
          <w:rFonts w:hint="eastAsia" w:ascii="仿宋" w:hAnsi="仿宋" w:eastAsia="仿宋" w:cs="仿宋"/>
          <w:sz w:val="21"/>
          <w:szCs w:val="21"/>
        </w:rPr>
        <w:t xml:space="preserve"> 产品检验报告</w:t>
      </w:r>
    </w:p>
    <w:p>
      <w:pPr>
        <w:numPr>
          <w:ilvl w:val="1"/>
          <w:numId w:val="2"/>
        </w:numPr>
        <w:tabs>
          <w:tab w:val="left" w:pos="0"/>
          <w:tab w:val="left" w:pos="720"/>
          <w:tab w:val="clear" w:pos="840"/>
        </w:tabs>
        <w:adjustRightInd/>
        <w:spacing w:line="360" w:lineRule="auto"/>
        <w:ind w:left="0" w:firstLine="120"/>
        <w:textAlignment w:val="auto"/>
        <w:rPr>
          <w:rFonts w:hint="eastAsia" w:ascii="仿宋" w:hAnsi="仿宋" w:eastAsia="仿宋" w:cs="仿宋"/>
          <w:sz w:val="21"/>
          <w:szCs w:val="21"/>
        </w:rPr>
      </w:pPr>
      <w:r>
        <w:rPr>
          <w:rFonts w:hint="eastAsia" w:ascii="仿宋" w:hAnsi="仿宋" w:eastAsia="仿宋" w:cs="仿宋"/>
          <w:sz w:val="21"/>
          <w:szCs w:val="21"/>
        </w:rPr>
        <w:t xml:space="preserve"> 说明书</w:t>
      </w:r>
    </w:p>
    <w:p>
      <w:pPr>
        <w:spacing w:line="360" w:lineRule="auto"/>
        <w:rPr>
          <w:rFonts w:hint="eastAsia" w:ascii="仿宋" w:hAnsi="仿宋" w:eastAsia="仿宋" w:cs="仿宋"/>
          <w:b/>
          <w:sz w:val="21"/>
          <w:szCs w:val="21"/>
        </w:rPr>
      </w:pPr>
      <w:r>
        <w:rPr>
          <w:rFonts w:hint="eastAsia" w:ascii="仿宋" w:hAnsi="仿宋" w:eastAsia="仿宋" w:cs="仿宋"/>
          <w:b/>
          <w:sz w:val="21"/>
          <w:szCs w:val="21"/>
        </w:rPr>
        <w:t>附件五 售后服务</w:t>
      </w:r>
    </w:p>
    <w:p>
      <w:pPr>
        <w:tabs>
          <w:tab w:val="left" w:pos="0"/>
          <w:tab w:val="left" w:pos="720"/>
          <w:tab w:val="left" w:pos="1080"/>
        </w:tabs>
        <w:adjustRightInd/>
        <w:spacing w:line="360" w:lineRule="auto"/>
        <w:ind w:left="1" w:firstLine="478" w:firstLineChars="228"/>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5.1质量保证项目：电动控制阀</w:t>
      </w:r>
      <w:r>
        <w:rPr>
          <w:rFonts w:hint="eastAsia" w:ascii="仿宋" w:hAnsi="仿宋" w:eastAsia="仿宋" w:cs="仿宋"/>
          <w:sz w:val="21"/>
          <w:szCs w:val="21"/>
          <w:lang w:eastAsia="zh-CN"/>
        </w:rPr>
        <w:t>整机寿命</w:t>
      </w:r>
      <w:r>
        <w:rPr>
          <w:rFonts w:hint="eastAsia" w:ascii="仿宋" w:hAnsi="仿宋" w:eastAsia="仿宋" w:cs="仿宋"/>
          <w:kern w:val="2"/>
          <w:sz w:val="21"/>
          <w:szCs w:val="21"/>
          <w:lang w:val="en-US" w:eastAsia="zh-CN" w:bidi="ar-SA"/>
        </w:rPr>
        <w:t>不低于5年。</w:t>
      </w:r>
    </w:p>
    <w:p>
      <w:pPr>
        <w:pStyle w:val="8"/>
        <w:spacing w:line="360" w:lineRule="auto"/>
        <w:ind w:firstLine="539" w:firstLineChars="257"/>
        <w:rPr>
          <w:rFonts w:hint="eastAsia" w:ascii="仿宋" w:hAnsi="仿宋" w:eastAsia="仿宋" w:cs="仿宋"/>
          <w:szCs w:val="21"/>
        </w:rPr>
      </w:pPr>
      <w:r>
        <w:rPr>
          <w:rFonts w:hint="eastAsia" w:ascii="仿宋" w:hAnsi="仿宋" w:eastAsia="仿宋" w:cs="仿宋"/>
          <w:szCs w:val="21"/>
        </w:rPr>
        <w:t>5.2保质期内，凡是由于设备质量问题引起的损坏，乙方在接到通知24小时内到达现场，无偿负责维修恢复原有的功能，同时无偿提供设备备件1套。</w:t>
      </w:r>
    </w:p>
    <w:p>
      <w:pPr>
        <w:pStyle w:val="8"/>
        <w:spacing w:line="360" w:lineRule="auto"/>
        <w:ind w:firstLine="539" w:firstLineChars="257"/>
        <w:rPr>
          <w:rFonts w:hint="eastAsia" w:ascii="仿宋" w:hAnsi="仿宋" w:eastAsia="仿宋" w:cs="仿宋"/>
          <w:szCs w:val="21"/>
        </w:rPr>
      </w:pPr>
      <w:r>
        <w:rPr>
          <w:rFonts w:hint="eastAsia" w:ascii="仿宋" w:hAnsi="仿宋" w:eastAsia="仿宋" w:cs="仿宋"/>
          <w:szCs w:val="21"/>
        </w:rPr>
        <w:t>5.3设备因甲方人为原因出现损坏，按甲方通知，乙方积极配合甲方维修处理，优先、及时提供备件，费用由甲方承担。</w:t>
      </w:r>
    </w:p>
    <w:p>
      <w:pPr>
        <w:pStyle w:val="8"/>
        <w:spacing w:line="360" w:lineRule="auto"/>
        <w:ind w:firstLine="542" w:firstLineChars="257"/>
        <w:rPr>
          <w:rFonts w:hint="eastAsia" w:ascii="仿宋" w:hAnsi="仿宋" w:eastAsia="仿宋" w:cs="仿宋"/>
          <w:szCs w:val="21"/>
        </w:rPr>
      </w:pPr>
      <w:r>
        <w:rPr>
          <w:rFonts w:hint="eastAsia" w:ascii="宋体" w:hAnsi="宋体" w:cs="宋体"/>
          <w:b/>
          <w:bCs/>
          <w:color w:val="0000FF"/>
          <w:kern w:val="0"/>
          <w:szCs w:val="21"/>
          <w:lang w:val="en-US" w:eastAsia="zh-CN"/>
        </w:rPr>
        <w:t>备件到达现场后，乙方委派厂家技术人员一同到现场和甲方技术人员共同验货确认，确保备件合格。</w:t>
      </w:r>
    </w:p>
    <w:p>
      <w:pPr>
        <w:widowControl w:val="0"/>
        <w:ind w:firstLine="630" w:firstLineChars="300"/>
        <w:jc w:val="both"/>
        <w:rPr>
          <w:rFonts w:hint="eastAsia" w:ascii="仿宋" w:hAnsi="仿宋" w:eastAsia="仿宋" w:cs="仿宋"/>
          <w:sz w:val="21"/>
          <w:szCs w:val="21"/>
          <w:highlight w:val="yellow"/>
        </w:rPr>
      </w:pPr>
      <w:r>
        <w:rPr>
          <w:rFonts w:hint="eastAsia" w:ascii="仿宋" w:hAnsi="仿宋" w:eastAsia="仿宋" w:cs="仿宋"/>
          <w:sz w:val="21"/>
          <w:highlight w:val="yellow"/>
          <w:lang w:val="en-US" w:eastAsia="zh-CN"/>
        </w:rPr>
        <w:t>5.4</w:t>
      </w:r>
      <w:r>
        <w:rPr>
          <w:rFonts w:hint="eastAsia" w:ascii="仿宋" w:hAnsi="仿宋" w:eastAsia="仿宋" w:cs="仿宋"/>
          <w:sz w:val="21"/>
          <w:szCs w:val="21"/>
          <w:highlight w:val="yellow"/>
        </w:rPr>
        <w:t>联系人电子邮箱：</w:t>
      </w:r>
      <w:r>
        <w:rPr>
          <w:rFonts w:hint="eastAsia" w:ascii="仿宋" w:hAnsi="仿宋" w:eastAsia="仿宋" w:cs="仿宋"/>
          <w:sz w:val="21"/>
          <w:szCs w:val="21"/>
          <w:highlight w:val="yellow"/>
        </w:rPr>
        <w:fldChar w:fldCharType="begin"/>
      </w:r>
      <w:r>
        <w:rPr>
          <w:rFonts w:hint="eastAsia" w:ascii="仿宋" w:hAnsi="仿宋" w:eastAsia="仿宋" w:cs="仿宋"/>
          <w:sz w:val="21"/>
          <w:szCs w:val="21"/>
          <w:highlight w:val="yellow"/>
        </w:rPr>
        <w:instrText xml:space="preserve"> HYPERLINK "mailto:panzhongming@jiugang.com" </w:instrText>
      </w:r>
      <w:r>
        <w:rPr>
          <w:rFonts w:hint="eastAsia" w:ascii="仿宋" w:hAnsi="仿宋" w:eastAsia="仿宋" w:cs="仿宋"/>
          <w:sz w:val="21"/>
          <w:szCs w:val="21"/>
          <w:highlight w:val="yellow"/>
        </w:rPr>
        <w:fldChar w:fldCharType="separate"/>
      </w:r>
      <w:r>
        <w:rPr>
          <w:rFonts w:hint="eastAsia" w:ascii="仿宋" w:hAnsi="仿宋" w:eastAsia="仿宋" w:cs="仿宋"/>
          <w:sz w:val="21"/>
          <w:szCs w:val="21"/>
          <w:highlight w:val="yellow"/>
          <w:lang w:val="en-US" w:eastAsia="zh-CN"/>
        </w:rPr>
        <w:t>majin</w:t>
      </w:r>
      <w:r>
        <w:rPr>
          <w:rFonts w:hint="eastAsia" w:ascii="仿宋" w:hAnsi="仿宋" w:eastAsia="仿宋" w:cs="仿宋"/>
          <w:sz w:val="21"/>
          <w:szCs w:val="21"/>
          <w:highlight w:val="yellow"/>
        </w:rPr>
        <w:t>@jiugang.com</w:t>
      </w:r>
      <w:r>
        <w:rPr>
          <w:rFonts w:hint="eastAsia" w:ascii="仿宋" w:hAnsi="仿宋" w:eastAsia="仿宋" w:cs="仿宋"/>
          <w:sz w:val="21"/>
          <w:szCs w:val="21"/>
          <w:highlight w:val="yellow"/>
        </w:rPr>
        <w:fldChar w:fldCharType="end"/>
      </w:r>
      <w:r>
        <w:rPr>
          <w:rFonts w:hint="eastAsia" w:ascii="仿宋" w:hAnsi="仿宋" w:eastAsia="仿宋" w:cs="仿宋"/>
          <w:sz w:val="21"/>
          <w:szCs w:val="21"/>
          <w:highlight w:val="yellow"/>
        </w:rPr>
        <w:t xml:space="preserve"> </w:t>
      </w:r>
      <w:r>
        <w:rPr>
          <w:rFonts w:hint="eastAsia" w:ascii="仿宋" w:hAnsi="仿宋" w:eastAsia="仿宋" w:cs="仿宋"/>
          <w:sz w:val="21"/>
          <w:szCs w:val="21"/>
          <w:highlight w:val="yellow"/>
          <w:lang w:val="en-US" w:eastAsia="zh-CN"/>
        </w:rPr>
        <w:t xml:space="preserve">   </w:t>
      </w:r>
      <w:r>
        <w:rPr>
          <w:rFonts w:hint="eastAsia" w:ascii="仿宋" w:hAnsi="仿宋" w:eastAsia="仿宋" w:cs="仿宋"/>
          <w:sz w:val="21"/>
          <w:szCs w:val="21"/>
          <w:highlight w:val="yellow"/>
        </w:rPr>
        <w:t xml:space="preserve"> </w:t>
      </w:r>
    </w:p>
    <w:p>
      <w:pPr>
        <w:widowControl w:val="0"/>
        <w:ind w:firstLine="1050" w:firstLineChars="500"/>
        <w:jc w:val="both"/>
        <w:rPr>
          <w:rFonts w:hint="default" w:ascii="仿宋" w:hAnsi="仿宋" w:eastAsia="仿宋" w:cs="仿宋"/>
          <w:b/>
          <w:sz w:val="21"/>
          <w:szCs w:val="21"/>
          <w:lang w:val="en-US"/>
        </w:rPr>
      </w:pPr>
      <w:r>
        <w:rPr>
          <w:rFonts w:hint="eastAsia" w:ascii="仿宋" w:hAnsi="仿宋" w:eastAsia="仿宋" w:cs="仿宋"/>
          <w:sz w:val="21"/>
          <w:szCs w:val="21"/>
          <w:highlight w:val="yellow"/>
          <w:lang w:val="en-US" w:eastAsia="zh-CN"/>
        </w:rPr>
        <w:t>甲方</w:t>
      </w:r>
      <w:r>
        <w:rPr>
          <w:rFonts w:hint="eastAsia" w:ascii="仿宋" w:hAnsi="仿宋" w:eastAsia="仿宋" w:cs="仿宋"/>
          <w:sz w:val="21"/>
          <w:szCs w:val="21"/>
          <w:highlight w:val="yellow"/>
          <w:lang w:eastAsia="zh-CN"/>
        </w:rPr>
        <w:t>电话：马晋</w:t>
      </w:r>
      <w:r>
        <w:rPr>
          <w:rFonts w:hint="eastAsia" w:ascii="仿宋" w:hAnsi="仿宋" w:eastAsia="仿宋" w:cs="仿宋"/>
          <w:sz w:val="21"/>
          <w:szCs w:val="21"/>
          <w:highlight w:val="yellow"/>
          <w:lang w:val="en-US" w:eastAsia="zh-CN"/>
        </w:rPr>
        <w:t xml:space="preserve">  15719398685</w:t>
      </w:r>
    </w:p>
    <w:p>
      <w:pPr>
        <w:tabs>
          <w:tab w:val="left" w:pos="0"/>
          <w:tab w:val="left" w:pos="720"/>
          <w:tab w:val="left" w:pos="900"/>
          <w:tab w:val="left" w:pos="1080"/>
        </w:tabs>
        <w:spacing w:line="360" w:lineRule="auto"/>
        <w:rPr>
          <w:rFonts w:hint="eastAsia" w:ascii="仿宋" w:hAnsi="仿宋" w:eastAsia="仿宋" w:cs="仿宋"/>
          <w:b/>
          <w:sz w:val="21"/>
          <w:szCs w:val="21"/>
        </w:rPr>
      </w:pPr>
      <w:r>
        <w:rPr>
          <w:rFonts w:hint="eastAsia" w:ascii="仿宋" w:hAnsi="仿宋" w:eastAsia="仿宋" w:cs="仿宋"/>
          <w:b/>
          <w:sz w:val="21"/>
          <w:szCs w:val="21"/>
        </w:rPr>
        <w:t>附件六  交货时间及地点</w:t>
      </w:r>
    </w:p>
    <w:p>
      <w:pPr>
        <w:numPr>
          <w:ilvl w:val="2"/>
          <w:numId w:val="3"/>
        </w:numPr>
        <w:tabs>
          <w:tab w:val="left" w:pos="-180"/>
          <w:tab w:val="left" w:pos="-120"/>
          <w:tab w:val="left" w:pos="540"/>
          <w:tab w:val="left" w:pos="720"/>
        </w:tabs>
        <w:adjustRightInd/>
        <w:spacing w:line="360" w:lineRule="auto"/>
        <w:ind w:left="0" w:firstLine="120"/>
        <w:jc w:val="both"/>
        <w:textAlignment w:val="auto"/>
        <w:rPr>
          <w:rFonts w:hint="eastAsia" w:ascii="仿宋" w:hAnsi="仿宋" w:eastAsia="仿宋" w:cs="仿宋"/>
          <w:sz w:val="21"/>
          <w:szCs w:val="21"/>
        </w:rPr>
      </w:pPr>
      <w:r>
        <w:rPr>
          <w:rFonts w:hint="eastAsia" w:ascii="仿宋" w:hAnsi="仿宋" w:eastAsia="仿宋" w:cs="仿宋"/>
          <w:sz w:val="21"/>
          <w:szCs w:val="21"/>
        </w:rPr>
        <w:t>交货时间：</w:t>
      </w:r>
      <w:r>
        <w:rPr>
          <w:rFonts w:hint="eastAsia" w:ascii="仿宋" w:hAnsi="仿宋" w:eastAsia="仿宋" w:cs="仿宋"/>
          <w:sz w:val="21"/>
          <w:szCs w:val="21"/>
          <w:lang w:val="en-US" w:eastAsia="zh-CN"/>
        </w:rPr>
        <w:t>以签订的商务</w:t>
      </w:r>
      <w:bookmarkStart w:id="3" w:name="_GoBack"/>
      <w:bookmarkEnd w:id="3"/>
      <w:r>
        <w:rPr>
          <w:rFonts w:hint="eastAsia" w:ascii="仿宋" w:hAnsi="仿宋" w:eastAsia="仿宋" w:cs="仿宋"/>
          <w:sz w:val="21"/>
          <w:szCs w:val="21"/>
          <w:lang w:val="en-US" w:eastAsia="zh-CN"/>
        </w:rPr>
        <w:t>合同为准</w:t>
      </w:r>
    </w:p>
    <w:p>
      <w:pPr>
        <w:numPr>
          <w:ilvl w:val="2"/>
          <w:numId w:val="3"/>
        </w:numPr>
        <w:tabs>
          <w:tab w:val="left" w:pos="-180"/>
          <w:tab w:val="left" w:pos="-120"/>
          <w:tab w:val="left" w:pos="540"/>
          <w:tab w:val="left" w:pos="720"/>
        </w:tabs>
        <w:adjustRightInd/>
        <w:spacing w:line="360" w:lineRule="auto"/>
        <w:ind w:left="0" w:firstLine="120"/>
        <w:jc w:val="both"/>
        <w:textAlignment w:val="auto"/>
        <w:rPr>
          <w:rFonts w:hint="eastAsia" w:ascii="仿宋" w:hAnsi="仿宋" w:eastAsia="仿宋" w:cs="仿宋"/>
          <w:sz w:val="21"/>
          <w:szCs w:val="21"/>
        </w:rPr>
      </w:pPr>
      <w:r>
        <w:rPr>
          <w:rFonts w:hint="eastAsia" w:ascii="仿宋" w:hAnsi="仿宋" w:eastAsia="仿宋" w:cs="仿宋"/>
          <w:sz w:val="21"/>
          <w:szCs w:val="21"/>
        </w:rPr>
        <w:t>交货地点：甘肃省嘉峪关市酒钢储运部工矿备件仓储部</w:t>
      </w:r>
    </w:p>
    <w:p>
      <w:pPr>
        <w:tabs>
          <w:tab w:val="left" w:pos="0"/>
          <w:tab w:val="left" w:pos="720"/>
          <w:tab w:val="left" w:pos="900"/>
          <w:tab w:val="left" w:pos="1080"/>
        </w:tabs>
        <w:spacing w:line="360" w:lineRule="auto"/>
        <w:rPr>
          <w:rFonts w:hint="eastAsia" w:ascii="仿宋" w:hAnsi="仿宋" w:eastAsia="仿宋" w:cs="仿宋"/>
          <w:b/>
          <w:sz w:val="21"/>
          <w:szCs w:val="21"/>
        </w:rPr>
      </w:pPr>
      <w:r>
        <w:rPr>
          <w:rFonts w:hint="eastAsia" w:ascii="仿宋" w:hAnsi="仿宋" w:eastAsia="仿宋" w:cs="仿宋"/>
          <w:b/>
          <w:sz w:val="21"/>
          <w:szCs w:val="21"/>
        </w:rPr>
        <w:t>附件七   其它</w:t>
      </w:r>
    </w:p>
    <w:p>
      <w:pPr>
        <w:tabs>
          <w:tab w:val="left" w:pos="0"/>
          <w:tab w:val="left" w:pos="720"/>
          <w:tab w:val="left" w:pos="900"/>
          <w:tab w:val="left" w:pos="1080"/>
        </w:tabs>
        <w:spacing w:line="360" w:lineRule="auto"/>
        <w:ind w:firstLine="420" w:firstLineChars="200"/>
        <w:rPr>
          <w:rFonts w:hint="eastAsia" w:ascii="仿宋" w:hAnsi="仿宋" w:eastAsia="仿宋" w:cs="仿宋"/>
          <w:sz w:val="21"/>
        </w:rPr>
      </w:pPr>
      <w:r>
        <w:rPr>
          <w:rFonts w:hint="eastAsia" w:ascii="仿宋" w:hAnsi="仿宋" w:eastAsia="仿宋" w:cs="仿宋"/>
          <w:sz w:val="21"/>
          <w:lang w:val="en-US" w:eastAsia="zh-CN"/>
        </w:rPr>
        <w:t xml:space="preserve">7.1本协议内容经由甲乙双方于    年   月   日   时-  时通过   方式商定。 </w:t>
      </w:r>
    </w:p>
    <w:p>
      <w:pPr>
        <w:tabs>
          <w:tab w:val="left" w:pos="0"/>
          <w:tab w:val="left" w:pos="720"/>
          <w:tab w:val="left" w:pos="900"/>
          <w:tab w:val="left" w:pos="1080"/>
        </w:tabs>
        <w:spacing w:line="360" w:lineRule="auto"/>
        <w:ind w:firstLine="420" w:firstLineChars="200"/>
        <w:rPr>
          <w:rFonts w:hint="eastAsia" w:ascii="仿宋" w:hAnsi="仿宋" w:eastAsia="仿宋" w:cs="仿宋"/>
          <w:sz w:val="21"/>
        </w:rPr>
      </w:pPr>
      <w:r>
        <w:rPr>
          <w:rFonts w:hint="eastAsia" w:ascii="仿宋" w:hAnsi="仿宋" w:eastAsia="仿宋" w:cs="仿宋"/>
          <w:sz w:val="21"/>
          <w:lang w:val="en-US" w:eastAsia="zh-CN"/>
        </w:rPr>
        <w:t>7.2甲乙双方应当就签订本协议的相关事宜保密，不得将签订主体、时间、内容等信息透露给其他第三人。</w:t>
      </w:r>
    </w:p>
    <w:p>
      <w:pPr>
        <w:tabs>
          <w:tab w:val="left" w:pos="0"/>
          <w:tab w:val="left" w:pos="720"/>
          <w:tab w:val="left" w:pos="900"/>
          <w:tab w:val="left" w:pos="1080"/>
        </w:tabs>
        <w:spacing w:line="360" w:lineRule="auto"/>
        <w:ind w:firstLine="420" w:firstLineChars="200"/>
        <w:rPr>
          <w:rFonts w:hint="eastAsia" w:ascii="仿宋" w:hAnsi="仿宋" w:eastAsia="仿宋" w:cs="仿宋"/>
          <w:sz w:val="21"/>
          <w:lang w:val="en-US" w:eastAsia="zh-CN"/>
        </w:rPr>
      </w:pPr>
      <w:r>
        <w:rPr>
          <w:rFonts w:hint="eastAsia" w:ascii="仿宋" w:hAnsi="仿宋" w:eastAsia="仿宋" w:cs="仿宋"/>
          <w:sz w:val="21"/>
          <w:lang w:val="en-US" w:eastAsia="zh-CN"/>
        </w:rPr>
        <w:t>7.3若乙方公司不能中标，则本技术协议自动失效，双方不承担任何责任。</w:t>
      </w:r>
    </w:p>
    <w:p>
      <w:pPr>
        <w:ind w:firstLine="420" w:firstLineChars="200"/>
        <w:rPr>
          <w:rFonts w:hint="eastAsia" w:ascii="仿宋" w:hAnsi="仿宋" w:eastAsia="仿宋" w:cs="仿宋"/>
          <w:sz w:val="21"/>
        </w:rPr>
      </w:pPr>
      <w:r>
        <w:rPr>
          <w:rFonts w:hint="eastAsia" w:ascii="仿宋" w:hAnsi="仿宋" w:eastAsia="仿宋" w:cs="仿宋"/>
          <w:sz w:val="21"/>
          <w:lang w:val="en-US" w:eastAsia="zh-CN"/>
        </w:rPr>
        <w:t>7.4</w:t>
      </w:r>
      <w:r>
        <w:rPr>
          <w:rFonts w:hint="eastAsia" w:ascii="仿宋" w:hAnsi="仿宋" w:eastAsia="仿宋" w:cs="仿宋"/>
          <w:sz w:val="21"/>
        </w:rPr>
        <w:t>本协议一式四份，甲方三份，乙方一份。</w:t>
      </w:r>
    </w:p>
    <w:p>
      <w:pPr>
        <w:numPr>
          <w:ilvl w:val="0"/>
          <w:numId w:val="0"/>
        </w:numPr>
        <w:tabs>
          <w:tab w:val="left" w:pos="540"/>
          <w:tab w:val="left" w:pos="840"/>
          <w:tab w:val="left" w:pos="1080"/>
        </w:tabs>
        <w:adjustRightInd/>
        <w:spacing w:line="360" w:lineRule="auto"/>
        <w:ind w:leftChars="171"/>
        <w:jc w:val="both"/>
        <w:textAlignment w:val="auto"/>
        <w:rPr>
          <w:rFonts w:hint="eastAsia" w:ascii="仿宋" w:hAnsi="仿宋" w:eastAsia="仿宋" w:cs="仿宋"/>
          <w:color w:val="FF0000"/>
          <w:sz w:val="21"/>
          <w:szCs w:val="21"/>
        </w:rPr>
      </w:pPr>
    </w:p>
    <w:p>
      <w:pPr>
        <w:pStyle w:val="5"/>
        <w:tabs>
          <w:tab w:val="left" w:pos="5094"/>
        </w:tabs>
        <w:spacing w:line="480" w:lineRule="auto"/>
        <w:ind w:right="1735"/>
        <w:rPr>
          <w:rFonts w:hint="eastAsia" w:ascii="仿宋" w:hAnsi="仿宋" w:eastAsia="仿宋" w:cs="仿宋"/>
          <w:b/>
          <w:bCs/>
          <w:sz w:val="24"/>
          <w:szCs w:val="4"/>
        </w:rPr>
      </w:pPr>
      <w:r>
        <w:rPr>
          <w:rFonts w:hint="eastAsia" w:ascii="仿宋" w:hAnsi="仿宋" w:eastAsia="仿宋" w:cs="仿宋"/>
          <w:b/>
          <w:bCs/>
          <w:sz w:val="24"/>
          <w:szCs w:val="4"/>
        </w:rPr>
        <w:t>甲方：甘肃酒钢集团宏兴钢铁股份有限公司炼铁厂</w:t>
      </w:r>
      <w:r>
        <w:rPr>
          <w:rFonts w:hint="eastAsia" w:ascii="仿宋" w:hAnsi="仿宋" w:eastAsia="仿宋" w:cs="仿宋"/>
          <w:b/>
          <w:bCs/>
          <w:sz w:val="24"/>
          <w:szCs w:val="4"/>
        </w:rPr>
        <w:tab/>
      </w:r>
      <w:r>
        <w:rPr>
          <w:rFonts w:hint="eastAsia" w:ascii="仿宋" w:hAnsi="仿宋" w:eastAsia="仿宋" w:cs="仿宋"/>
          <w:b/>
          <w:bCs/>
          <w:sz w:val="24"/>
          <w:szCs w:val="4"/>
        </w:rPr>
        <w:t>乙方：</w:t>
      </w:r>
    </w:p>
    <w:p>
      <w:pPr>
        <w:pStyle w:val="5"/>
        <w:tabs>
          <w:tab w:val="left" w:pos="5094"/>
        </w:tabs>
        <w:spacing w:line="480" w:lineRule="auto"/>
        <w:rPr>
          <w:rFonts w:hint="eastAsia" w:ascii="仿宋" w:hAnsi="仿宋" w:eastAsia="仿宋" w:cs="仿宋"/>
          <w:b/>
          <w:bCs/>
          <w:sz w:val="2"/>
          <w:szCs w:val="4"/>
        </w:rPr>
      </w:pPr>
      <w:r>
        <w:rPr>
          <w:rFonts w:hint="eastAsia" w:ascii="仿宋" w:hAnsi="仿宋" w:eastAsia="仿宋" w:cs="仿宋"/>
          <w:b/>
          <w:bCs/>
          <w:sz w:val="24"/>
          <w:szCs w:val="4"/>
        </w:rPr>
        <w:t>代表：</w:t>
      </w:r>
      <w:r>
        <w:rPr>
          <w:rFonts w:hint="eastAsia" w:ascii="仿宋" w:hAnsi="仿宋" w:eastAsia="仿宋" w:cs="仿宋"/>
          <w:b/>
          <w:bCs/>
          <w:sz w:val="24"/>
          <w:szCs w:val="4"/>
        </w:rPr>
        <w:tab/>
      </w:r>
      <w:r>
        <w:rPr>
          <w:rFonts w:hint="eastAsia" w:ascii="仿宋" w:hAnsi="仿宋" w:eastAsia="仿宋" w:cs="仿宋"/>
          <w:b/>
          <w:bCs/>
          <w:sz w:val="24"/>
          <w:szCs w:val="4"/>
          <w:lang w:val="en-US" w:eastAsia="zh-CN"/>
        </w:rPr>
        <w:t xml:space="preserve">   </w:t>
      </w:r>
      <w:r>
        <w:rPr>
          <w:rFonts w:hint="eastAsia" w:ascii="仿宋" w:hAnsi="仿宋" w:eastAsia="仿宋" w:cs="仿宋"/>
          <w:b/>
          <w:bCs/>
          <w:w w:val="95"/>
          <w:sz w:val="24"/>
          <w:szCs w:val="4"/>
        </w:rPr>
        <w:t>代表：</w:t>
      </w:r>
    </w:p>
    <w:p>
      <w:pPr>
        <w:pStyle w:val="5"/>
        <w:tabs>
          <w:tab w:val="left" w:pos="1419"/>
          <w:tab w:val="left" w:pos="1945"/>
          <w:tab w:val="left" w:pos="2468"/>
          <w:tab w:val="left" w:pos="5094"/>
          <w:tab w:val="left" w:pos="6354"/>
          <w:tab w:val="left" w:pos="6879"/>
          <w:tab w:val="left" w:pos="7405"/>
        </w:tabs>
        <w:spacing w:line="480" w:lineRule="auto"/>
        <w:rPr>
          <w:rFonts w:hint="eastAsia" w:ascii="仿宋" w:hAnsi="仿宋" w:eastAsia="仿宋" w:cs="仿宋"/>
          <w:b/>
          <w:bCs/>
          <w:sz w:val="24"/>
          <w:szCs w:val="4"/>
        </w:rPr>
      </w:pPr>
      <w:r>
        <w:rPr>
          <w:rFonts w:hint="eastAsia" w:ascii="仿宋" w:hAnsi="仿宋" w:eastAsia="仿宋" w:cs="仿宋"/>
          <w:b/>
          <w:bCs/>
          <w:sz w:val="24"/>
          <w:szCs w:val="4"/>
        </w:rPr>
        <w:t>日期：</w:t>
      </w:r>
      <w:r>
        <w:rPr>
          <w:rFonts w:hint="eastAsia" w:ascii="仿宋" w:hAnsi="仿宋" w:eastAsia="仿宋" w:cs="仿宋"/>
          <w:b/>
          <w:bCs/>
          <w:sz w:val="24"/>
          <w:szCs w:val="4"/>
        </w:rPr>
        <w:tab/>
      </w:r>
      <w:r>
        <w:rPr>
          <w:rFonts w:hint="eastAsia" w:ascii="仿宋" w:hAnsi="仿宋" w:eastAsia="仿宋" w:cs="仿宋"/>
          <w:b/>
          <w:bCs/>
          <w:sz w:val="24"/>
          <w:szCs w:val="4"/>
        </w:rPr>
        <w:t>年</w:t>
      </w:r>
      <w:r>
        <w:rPr>
          <w:rFonts w:hint="eastAsia" w:ascii="仿宋" w:hAnsi="仿宋" w:eastAsia="仿宋" w:cs="仿宋"/>
          <w:b/>
          <w:bCs/>
          <w:sz w:val="24"/>
          <w:szCs w:val="4"/>
        </w:rPr>
        <w:tab/>
      </w:r>
      <w:r>
        <w:rPr>
          <w:rFonts w:hint="eastAsia" w:ascii="仿宋" w:hAnsi="仿宋" w:eastAsia="仿宋" w:cs="仿宋"/>
          <w:b/>
          <w:bCs/>
          <w:sz w:val="24"/>
          <w:szCs w:val="4"/>
        </w:rPr>
        <w:t>月</w:t>
      </w:r>
      <w:r>
        <w:rPr>
          <w:rFonts w:hint="eastAsia" w:ascii="仿宋" w:hAnsi="仿宋" w:eastAsia="仿宋" w:cs="仿宋"/>
          <w:b/>
          <w:bCs/>
          <w:sz w:val="24"/>
          <w:szCs w:val="4"/>
        </w:rPr>
        <w:tab/>
      </w:r>
      <w:r>
        <w:rPr>
          <w:rFonts w:hint="eastAsia" w:ascii="仿宋" w:hAnsi="仿宋" w:eastAsia="仿宋" w:cs="仿宋"/>
          <w:b/>
          <w:bCs/>
          <w:sz w:val="24"/>
          <w:szCs w:val="4"/>
        </w:rPr>
        <w:t>日</w:t>
      </w:r>
      <w:r>
        <w:rPr>
          <w:rFonts w:hint="eastAsia" w:ascii="仿宋" w:hAnsi="仿宋" w:eastAsia="仿宋" w:cs="仿宋"/>
          <w:b/>
          <w:bCs/>
          <w:sz w:val="24"/>
          <w:szCs w:val="4"/>
        </w:rPr>
        <w:tab/>
      </w:r>
      <w:r>
        <w:rPr>
          <w:rFonts w:hint="eastAsia" w:ascii="仿宋" w:hAnsi="仿宋" w:eastAsia="仿宋" w:cs="仿宋"/>
          <w:b/>
          <w:bCs/>
          <w:sz w:val="24"/>
          <w:szCs w:val="4"/>
          <w:lang w:val="en-US" w:eastAsia="zh-CN"/>
        </w:rPr>
        <w:t xml:space="preserve">   </w:t>
      </w:r>
      <w:r>
        <w:rPr>
          <w:rFonts w:hint="eastAsia" w:ascii="仿宋" w:hAnsi="仿宋" w:eastAsia="仿宋" w:cs="仿宋"/>
          <w:b/>
          <w:bCs/>
          <w:sz w:val="24"/>
          <w:szCs w:val="4"/>
        </w:rPr>
        <w:t>日期：</w:t>
      </w:r>
      <w:r>
        <w:rPr>
          <w:rFonts w:hint="eastAsia" w:ascii="仿宋" w:hAnsi="仿宋" w:eastAsia="仿宋" w:cs="仿宋"/>
          <w:b/>
          <w:bCs/>
          <w:sz w:val="24"/>
          <w:szCs w:val="4"/>
        </w:rPr>
        <w:tab/>
      </w:r>
      <w:r>
        <w:rPr>
          <w:rFonts w:hint="eastAsia" w:ascii="仿宋" w:hAnsi="仿宋" w:eastAsia="仿宋" w:cs="仿宋"/>
          <w:b/>
          <w:bCs/>
          <w:sz w:val="24"/>
          <w:szCs w:val="4"/>
        </w:rPr>
        <w:t>年</w:t>
      </w:r>
      <w:r>
        <w:rPr>
          <w:rFonts w:hint="eastAsia" w:ascii="仿宋" w:hAnsi="仿宋" w:eastAsia="仿宋" w:cs="仿宋"/>
          <w:b/>
          <w:bCs/>
          <w:sz w:val="24"/>
          <w:szCs w:val="4"/>
        </w:rPr>
        <w:tab/>
      </w:r>
      <w:r>
        <w:rPr>
          <w:rFonts w:hint="eastAsia" w:ascii="仿宋" w:hAnsi="仿宋" w:eastAsia="仿宋" w:cs="仿宋"/>
          <w:b/>
          <w:bCs/>
          <w:sz w:val="24"/>
          <w:szCs w:val="4"/>
        </w:rPr>
        <w:t>月</w:t>
      </w:r>
      <w:r>
        <w:rPr>
          <w:rFonts w:hint="eastAsia" w:ascii="仿宋" w:hAnsi="仿宋" w:eastAsia="仿宋" w:cs="仿宋"/>
          <w:b/>
          <w:bCs/>
          <w:sz w:val="24"/>
          <w:szCs w:val="4"/>
        </w:rPr>
        <w:tab/>
      </w:r>
      <w:r>
        <w:rPr>
          <w:rFonts w:hint="eastAsia" w:ascii="仿宋" w:hAnsi="仿宋" w:eastAsia="仿宋" w:cs="仿宋"/>
          <w:b/>
          <w:bCs/>
          <w:sz w:val="24"/>
          <w:szCs w:val="4"/>
        </w:rPr>
        <w:t>日</w:t>
      </w:r>
    </w:p>
    <w:p>
      <w:pPr>
        <w:pStyle w:val="2"/>
        <w:rPr>
          <w:rFonts w:hint="eastAsia"/>
        </w:rPr>
      </w:pPr>
    </w:p>
    <w:sectPr>
      <w:footerReference r:id="rId5" w:type="default"/>
      <w:pgSz w:w="11907" w:h="16840"/>
      <w:pgMar w:top="1440" w:right="1797" w:bottom="1440" w:left="1797" w:header="851" w:footer="99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魏碑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w:t>
    </w:r>
    <w:r>
      <w:rPr>
        <w:szCs w:val="21"/>
      </w:rPr>
      <w:fldChar w:fldCharType="end"/>
    </w:r>
    <w:r>
      <w:rPr>
        <w:rFonts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E79D9"/>
    <w:multiLevelType w:val="multilevel"/>
    <w:tmpl w:val="0EEE79D9"/>
    <w:lvl w:ilvl="0" w:tentative="0">
      <w:start w:val="1"/>
      <w:numFmt w:val="decimal"/>
      <w:lvlText w:val="1.%1"/>
      <w:lvlJc w:val="left"/>
      <w:pPr>
        <w:tabs>
          <w:tab w:val="left" w:pos="0"/>
        </w:tabs>
        <w:ind w:left="0" w:firstLine="0"/>
      </w:pPr>
      <w:rPr>
        <w:rFonts w:hint="default"/>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251293"/>
    <w:multiLevelType w:val="multilevel"/>
    <w:tmpl w:val="3C251293"/>
    <w:lvl w:ilvl="0" w:tentative="0">
      <w:start w:val="1"/>
      <w:numFmt w:val="decimal"/>
      <w:lvlText w:val="4.3.%1"/>
      <w:lvlJc w:val="left"/>
      <w:pPr>
        <w:tabs>
          <w:tab w:val="left" w:pos="840"/>
        </w:tabs>
        <w:ind w:left="840" w:hanging="420"/>
      </w:pPr>
      <w:rPr>
        <w:rFonts w:hint="eastAsia"/>
        <w:b w:val="0"/>
      </w:rPr>
    </w:lvl>
    <w:lvl w:ilvl="1" w:tentative="0">
      <w:start w:val="1"/>
      <w:numFmt w:val="decimal"/>
      <w:lvlText w:val="5.%2"/>
      <w:lvlJc w:val="left"/>
      <w:pPr>
        <w:tabs>
          <w:tab w:val="left" w:pos="840"/>
        </w:tabs>
        <w:ind w:left="397" w:firstLine="23"/>
      </w:pPr>
      <w:rPr>
        <w:rFonts w:hint="eastAsia" w:ascii="宋体" w:eastAsia="宋体"/>
        <w:b w:val="0"/>
        <w:i w:val="0"/>
        <w:sz w:val="21"/>
      </w:rPr>
    </w:lvl>
    <w:lvl w:ilvl="2" w:tentative="0">
      <w:start w:val="1"/>
      <w:numFmt w:val="decimal"/>
      <w:lvlText w:val="6.%3"/>
      <w:lvlJc w:val="left"/>
      <w:pPr>
        <w:tabs>
          <w:tab w:val="left" w:pos="1260"/>
        </w:tabs>
        <w:ind w:left="817" w:firstLine="23"/>
      </w:pPr>
      <w:rPr>
        <w:rFonts w:hint="eastAsia" w:ascii="宋体" w:eastAsia="宋体"/>
        <w:b w:val="0"/>
        <w:i w:val="0"/>
        <w:sz w:val="21"/>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83E5635"/>
    <w:multiLevelType w:val="multilevel"/>
    <w:tmpl w:val="683E5635"/>
    <w:lvl w:ilvl="0" w:tentative="0">
      <w:start w:val="1"/>
      <w:numFmt w:val="decimal"/>
      <w:lvlText w:val="6.%1"/>
      <w:lvlJc w:val="left"/>
      <w:pPr>
        <w:tabs>
          <w:tab w:val="left" w:pos="960"/>
        </w:tabs>
        <w:ind w:left="960" w:hanging="420"/>
      </w:pPr>
      <w:rPr>
        <w:rFonts w:hint="eastAsia"/>
        <w:b w:val="0"/>
      </w:rPr>
    </w:lvl>
    <w:lvl w:ilvl="1" w:tentative="0">
      <w:start w:val="1"/>
      <w:numFmt w:val="decimal"/>
      <w:lvlText w:val="4.2.%2"/>
      <w:lvlJc w:val="left"/>
      <w:pPr>
        <w:tabs>
          <w:tab w:val="left" w:pos="840"/>
        </w:tabs>
        <w:ind w:left="840" w:hanging="420"/>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YTQ3NWU4ZjkzODA0ZDgyNTA4Yjk3YzJmMWRmMWUifQ=="/>
    <w:docVar w:name="KSO_WPS_MARK_KEY" w:val="12119802-b04c-452a-be10-b3e55df2e841"/>
  </w:docVars>
  <w:rsids>
    <w:rsidRoot w:val="00A15A5D"/>
    <w:rsid w:val="00015FF6"/>
    <w:rsid w:val="00017AC3"/>
    <w:rsid w:val="00017C0A"/>
    <w:rsid w:val="00023B5E"/>
    <w:rsid w:val="00030031"/>
    <w:rsid w:val="00030854"/>
    <w:rsid w:val="00032435"/>
    <w:rsid w:val="0003647A"/>
    <w:rsid w:val="00041229"/>
    <w:rsid w:val="000433EB"/>
    <w:rsid w:val="00043673"/>
    <w:rsid w:val="00047EC4"/>
    <w:rsid w:val="00051F1D"/>
    <w:rsid w:val="00053097"/>
    <w:rsid w:val="0005339B"/>
    <w:rsid w:val="000647CA"/>
    <w:rsid w:val="00064BD5"/>
    <w:rsid w:val="00065075"/>
    <w:rsid w:val="00073506"/>
    <w:rsid w:val="000751DB"/>
    <w:rsid w:val="0008119C"/>
    <w:rsid w:val="00086835"/>
    <w:rsid w:val="000869DE"/>
    <w:rsid w:val="00087D9C"/>
    <w:rsid w:val="000900A2"/>
    <w:rsid w:val="00090E3C"/>
    <w:rsid w:val="000968B3"/>
    <w:rsid w:val="000A45D1"/>
    <w:rsid w:val="000B03A3"/>
    <w:rsid w:val="000B54BD"/>
    <w:rsid w:val="000B5DA6"/>
    <w:rsid w:val="000C5098"/>
    <w:rsid w:val="000D5487"/>
    <w:rsid w:val="000D7C09"/>
    <w:rsid w:val="000E3496"/>
    <w:rsid w:val="000E4413"/>
    <w:rsid w:val="000F1DE0"/>
    <w:rsid w:val="00111FF6"/>
    <w:rsid w:val="0011221B"/>
    <w:rsid w:val="0011425B"/>
    <w:rsid w:val="00122596"/>
    <w:rsid w:val="00123A02"/>
    <w:rsid w:val="00124B31"/>
    <w:rsid w:val="001255DF"/>
    <w:rsid w:val="00126350"/>
    <w:rsid w:val="0014403F"/>
    <w:rsid w:val="001469F8"/>
    <w:rsid w:val="00151953"/>
    <w:rsid w:val="0015418B"/>
    <w:rsid w:val="00174968"/>
    <w:rsid w:val="001760E3"/>
    <w:rsid w:val="0018114C"/>
    <w:rsid w:val="001827D5"/>
    <w:rsid w:val="001931FF"/>
    <w:rsid w:val="00195E3D"/>
    <w:rsid w:val="00196A46"/>
    <w:rsid w:val="001A601F"/>
    <w:rsid w:val="001B0FBF"/>
    <w:rsid w:val="001B1352"/>
    <w:rsid w:val="001B29C2"/>
    <w:rsid w:val="001C54AD"/>
    <w:rsid w:val="001C645A"/>
    <w:rsid w:val="001D12EB"/>
    <w:rsid w:val="001E3B73"/>
    <w:rsid w:val="001E53E0"/>
    <w:rsid w:val="001E5B6F"/>
    <w:rsid w:val="001F4D31"/>
    <w:rsid w:val="0020195B"/>
    <w:rsid w:val="002058B8"/>
    <w:rsid w:val="002071EA"/>
    <w:rsid w:val="00210956"/>
    <w:rsid w:val="0021156A"/>
    <w:rsid w:val="002253B9"/>
    <w:rsid w:val="0023399D"/>
    <w:rsid w:val="0023728C"/>
    <w:rsid w:val="00246F72"/>
    <w:rsid w:val="00252BC8"/>
    <w:rsid w:val="00254AE5"/>
    <w:rsid w:val="00256350"/>
    <w:rsid w:val="00266186"/>
    <w:rsid w:val="00272FE0"/>
    <w:rsid w:val="00285D2A"/>
    <w:rsid w:val="00285D69"/>
    <w:rsid w:val="00290616"/>
    <w:rsid w:val="00290D73"/>
    <w:rsid w:val="0029146A"/>
    <w:rsid w:val="002A47BD"/>
    <w:rsid w:val="002A6BFF"/>
    <w:rsid w:val="002A78BB"/>
    <w:rsid w:val="002B1287"/>
    <w:rsid w:val="002B1B61"/>
    <w:rsid w:val="002B232D"/>
    <w:rsid w:val="002B4602"/>
    <w:rsid w:val="002B6111"/>
    <w:rsid w:val="002C0E54"/>
    <w:rsid w:val="002D74DE"/>
    <w:rsid w:val="002D7AEC"/>
    <w:rsid w:val="002E3A53"/>
    <w:rsid w:val="002F59D4"/>
    <w:rsid w:val="002F61D2"/>
    <w:rsid w:val="002F659D"/>
    <w:rsid w:val="002F7B18"/>
    <w:rsid w:val="0031145F"/>
    <w:rsid w:val="00312380"/>
    <w:rsid w:val="0032488C"/>
    <w:rsid w:val="00325AE5"/>
    <w:rsid w:val="00333CA9"/>
    <w:rsid w:val="003371B1"/>
    <w:rsid w:val="00337DAB"/>
    <w:rsid w:val="003403E8"/>
    <w:rsid w:val="00344CB8"/>
    <w:rsid w:val="00352E8B"/>
    <w:rsid w:val="003608C5"/>
    <w:rsid w:val="00366F1B"/>
    <w:rsid w:val="0037739F"/>
    <w:rsid w:val="003800F6"/>
    <w:rsid w:val="00383332"/>
    <w:rsid w:val="0038610C"/>
    <w:rsid w:val="0038623D"/>
    <w:rsid w:val="00392B9D"/>
    <w:rsid w:val="003B0E8A"/>
    <w:rsid w:val="003B6FDE"/>
    <w:rsid w:val="003C022C"/>
    <w:rsid w:val="003C19B8"/>
    <w:rsid w:val="003C1C99"/>
    <w:rsid w:val="003C26B2"/>
    <w:rsid w:val="003C28E9"/>
    <w:rsid w:val="003D5137"/>
    <w:rsid w:val="003D6E84"/>
    <w:rsid w:val="003E117F"/>
    <w:rsid w:val="003E339C"/>
    <w:rsid w:val="003F0862"/>
    <w:rsid w:val="003F2531"/>
    <w:rsid w:val="00401DE2"/>
    <w:rsid w:val="00403112"/>
    <w:rsid w:val="00414343"/>
    <w:rsid w:val="004222AD"/>
    <w:rsid w:val="00423BA6"/>
    <w:rsid w:val="00434348"/>
    <w:rsid w:val="00435005"/>
    <w:rsid w:val="00436AE0"/>
    <w:rsid w:val="004373B6"/>
    <w:rsid w:val="00437A34"/>
    <w:rsid w:val="00442516"/>
    <w:rsid w:val="00446878"/>
    <w:rsid w:val="00451D57"/>
    <w:rsid w:val="00467A87"/>
    <w:rsid w:val="00470FF8"/>
    <w:rsid w:val="00471AA4"/>
    <w:rsid w:val="004868E5"/>
    <w:rsid w:val="00495DE9"/>
    <w:rsid w:val="00496916"/>
    <w:rsid w:val="004A4D88"/>
    <w:rsid w:val="004B40B5"/>
    <w:rsid w:val="004B56EB"/>
    <w:rsid w:val="004B5790"/>
    <w:rsid w:val="004C159E"/>
    <w:rsid w:val="004C3ABF"/>
    <w:rsid w:val="004C4AB4"/>
    <w:rsid w:val="004D1A93"/>
    <w:rsid w:val="004F0212"/>
    <w:rsid w:val="004F3378"/>
    <w:rsid w:val="005076E1"/>
    <w:rsid w:val="00510173"/>
    <w:rsid w:val="0052000B"/>
    <w:rsid w:val="005218B9"/>
    <w:rsid w:val="005242C9"/>
    <w:rsid w:val="00525E29"/>
    <w:rsid w:val="00525E2D"/>
    <w:rsid w:val="00541493"/>
    <w:rsid w:val="00556C2B"/>
    <w:rsid w:val="0056674C"/>
    <w:rsid w:val="00585038"/>
    <w:rsid w:val="00586812"/>
    <w:rsid w:val="00592F3B"/>
    <w:rsid w:val="00594867"/>
    <w:rsid w:val="0059663A"/>
    <w:rsid w:val="005968DD"/>
    <w:rsid w:val="00596979"/>
    <w:rsid w:val="005A66F2"/>
    <w:rsid w:val="005B05AD"/>
    <w:rsid w:val="005B2FE4"/>
    <w:rsid w:val="005B48FD"/>
    <w:rsid w:val="005B5E73"/>
    <w:rsid w:val="005C0D4E"/>
    <w:rsid w:val="005C2C7D"/>
    <w:rsid w:val="005C3ECC"/>
    <w:rsid w:val="005C4043"/>
    <w:rsid w:val="005C4F6D"/>
    <w:rsid w:val="005E1322"/>
    <w:rsid w:val="005E4ECE"/>
    <w:rsid w:val="005E4F3F"/>
    <w:rsid w:val="005E4FDD"/>
    <w:rsid w:val="005E662B"/>
    <w:rsid w:val="005F1F17"/>
    <w:rsid w:val="005F5D1E"/>
    <w:rsid w:val="00600C6D"/>
    <w:rsid w:val="006053D3"/>
    <w:rsid w:val="006053FE"/>
    <w:rsid w:val="00605447"/>
    <w:rsid w:val="00606EAA"/>
    <w:rsid w:val="00620C94"/>
    <w:rsid w:val="00620F5D"/>
    <w:rsid w:val="00621C60"/>
    <w:rsid w:val="00622CE4"/>
    <w:rsid w:val="00637C67"/>
    <w:rsid w:val="00640322"/>
    <w:rsid w:val="00642284"/>
    <w:rsid w:val="00660AEC"/>
    <w:rsid w:val="00667ED9"/>
    <w:rsid w:val="00670FBA"/>
    <w:rsid w:val="00671F20"/>
    <w:rsid w:val="00685E51"/>
    <w:rsid w:val="00686023"/>
    <w:rsid w:val="00696E24"/>
    <w:rsid w:val="006C39FA"/>
    <w:rsid w:val="006D3108"/>
    <w:rsid w:val="006D4C33"/>
    <w:rsid w:val="006D502E"/>
    <w:rsid w:val="006F0809"/>
    <w:rsid w:val="006F3FF1"/>
    <w:rsid w:val="006F7C2A"/>
    <w:rsid w:val="0070345A"/>
    <w:rsid w:val="00704739"/>
    <w:rsid w:val="007119E4"/>
    <w:rsid w:val="00735BB1"/>
    <w:rsid w:val="00735FF6"/>
    <w:rsid w:val="00740FCE"/>
    <w:rsid w:val="00741183"/>
    <w:rsid w:val="00745C60"/>
    <w:rsid w:val="00750729"/>
    <w:rsid w:val="00752945"/>
    <w:rsid w:val="00767ACF"/>
    <w:rsid w:val="0077204C"/>
    <w:rsid w:val="00772FB0"/>
    <w:rsid w:val="007801B6"/>
    <w:rsid w:val="0078054E"/>
    <w:rsid w:val="00786B14"/>
    <w:rsid w:val="00794044"/>
    <w:rsid w:val="007A3106"/>
    <w:rsid w:val="007A3934"/>
    <w:rsid w:val="007A3B31"/>
    <w:rsid w:val="007A6C57"/>
    <w:rsid w:val="007A7101"/>
    <w:rsid w:val="007B0625"/>
    <w:rsid w:val="007B6741"/>
    <w:rsid w:val="007E40A4"/>
    <w:rsid w:val="007F1F30"/>
    <w:rsid w:val="00800167"/>
    <w:rsid w:val="00814963"/>
    <w:rsid w:val="0082285E"/>
    <w:rsid w:val="008262D5"/>
    <w:rsid w:val="00827ACE"/>
    <w:rsid w:val="0083089E"/>
    <w:rsid w:val="00842F0A"/>
    <w:rsid w:val="00851E38"/>
    <w:rsid w:val="00857405"/>
    <w:rsid w:val="008704CA"/>
    <w:rsid w:val="00875999"/>
    <w:rsid w:val="008768C9"/>
    <w:rsid w:val="00882B52"/>
    <w:rsid w:val="008B0031"/>
    <w:rsid w:val="008C522D"/>
    <w:rsid w:val="008C7455"/>
    <w:rsid w:val="008D4405"/>
    <w:rsid w:val="008D676B"/>
    <w:rsid w:val="008D6EE1"/>
    <w:rsid w:val="008E6497"/>
    <w:rsid w:val="008E67ED"/>
    <w:rsid w:val="008F6195"/>
    <w:rsid w:val="00900842"/>
    <w:rsid w:val="0090626D"/>
    <w:rsid w:val="00910282"/>
    <w:rsid w:val="00920804"/>
    <w:rsid w:val="009241F6"/>
    <w:rsid w:val="00942E9E"/>
    <w:rsid w:val="0094301F"/>
    <w:rsid w:val="00954D36"/>
    <w:rsid w:val="00961C36"/>
    <w:rsid w:val="00964E7F"/>
    <w:rsid w:val="00965C4C"/>
    <w:rsid w:val="00966604"/>
    <w:rsid w:val="00971D4D"/>
    <w:rsid w:val="00973D19"/>
    <w:rsid w:val="00983D7C"/>
    <w:rsid w:val="00983FE3"/>
    <w:rsid w:val="009922CD"/>
    <w:rsid w:val="0099403E"/>
    <w:rsid w:val="00996351"/>
    <w:rsid w:val="009A2190"/>
    <w:rsid w:val="009B09EA"/>
    <w:rsid w:val="009B50DC"/>
    <w:rsid w:val="009B5D98"/>
    <w:rsid w:val="009C1A4B"/>
    <w:rsid w:val="009C2360"/>
    <w:rsid w:val="009D0F14"/>
    <w:rsid w:val="009D5071"/>
    <w:rsid w:val="009E4215"/>
    <w:rsid w:val="009F387C"/>
    <w:rsid w:val="009F47C3"/>
    <w:rsid w:val="00A0550B"/>
    <w:rsid w:val="00A10B4B"/>
    <w:rsid w:val="00A11A70"/>
    <w:rsid w:val="00A15A5D"/>
    <w:rsid w:val="00A1625F"/>
    <w:rsid w:val="00A17FD7"/>
    <w:rsid w:val="00A26640"/>
    <w:rsid w:val="00A402C3"/>
    <w:rsid w:val="00A42C3F"/>
    <w:rsid w:val="00A45F09"/>
    <w:rsid w:val="00A46368"/>
    <w:rsid w:val="00A47F73"/>
    <w:rsid w:val="00A50B09"/>
    <w:rsid w:val="00A5655C"/>
    <w:rsid w:val="00A625C4"/>
    <w:rsid w:val="00A73DC8"/>
    <w:rsid w:val="00AA7C54"/>
    <w:rsid w:val="00AB2A4D"/>
    <w:rsid w:val="00AB7F89"/>
    <w:rsid w:val="00AC3232"/>
    <w:rsid w:val="00AC7700"/>
    <w:rsid w:val="00AD0861"/>
    <w:rsid w:val="00AD4E20"/>
    <w:rsid w:val="00AD52C4"/>
    <w:rsid w:val="00AD76F0"/>
    <w:rsid w:val="00AE09CA"/>
    <w:rsid w:val="00AE647F"/>
    <w:rsid w:val="00AF20F2"/>
    <w:rsid w:val="00AF5383"/>
    <w:rsid w:val="00B065BB"/>
    <w:rsid w:val="00B074EC"/>
    <w:rsid w:val="00B16084"/>
    <w:rsid w:val="00B235A4"/>
    <w:rsid w:val="00B26E51"/>
    <w:rsid w:val="00B355DC"/>
    <w:rsid w:val="00B37F2C"/>
    <w:rsid w:val="00B41E20"/>
    <w:rsid w:val="00B433EB"/>
    <w:rsid w:val="00B81CE6"/>
    <w:rsid w:val="00BA0FA9"/>
    <w:rsid w:val="00BA6684"/>
    <w:rsid w:val="00BB0FD0"/>
    <w:rsid w:val="00BC2B00"/>
    <w:rsid w:val="00BD25CA"/>
    <w:rsid w:val="00BF057C"/>
    <w:rsid w:val="00BF7F04"/>
    <w:rsid w:val="00C00002"/>
    <w:rsid w:val="00C02867"/>
    <w:rsid w:val="00C137F0"/>
    <w:rsid w:val="00C1552C"/>
    <w:rsid w:val="00C16482"/>
    <w:rsid w:val="00C23B44"/>
    <w:rsid w:val="00C27BD6"/>
    <w:rsid w:val="00C3650E"/>
    <w:rsid w:val="00C41F76"/>
    <w:rsid w:val="00C5552D"/>
    <w:rsid w:val="00C562D9"/>
    <w:rsid w:val="00C56AF7"/>
    <w:rsid w:val="00C76E01"/>
    <w:rsid w:val="00C950DC"/>
    <w:rsid w:val="00C96A1A"/>
    <w:rsid w:val="00CA7147"/>
    <w:rsid w:val="00CB340A"/>
    <w:rsid w:val="00CB5F3F"/>
    <w:rsid w:val="00CC6283"/>
    <w:rsid w:val="00CD4836"/>
    <w:rsid w:val="00CE25D3"/>
    <w:rsid w:val="00CE5565"/>
    <w:rsid w:val="00CE5CFA"/>
    <w:rsid w:val="00CE6354"/>
    <w:rsid w:val="00CF1803"/>
    <w:rsid w:val="00CF651E"/>
    <w:rsid w:val="00CF7263"/>
    <w:rsid w:val="00D026FE"/>
    <w:rsid w:val="00D05B87"/>
    <w:rsid w:val="00D06C59"/>
    <w:rsid w:val="00D07218"/>
    <w:rsid w:val="00D278EE"/>
    <w:rsid w:val="00D3530F"/>
    <w:rsid w:val="00D354B2"/>
    <w:rsid w:val="00D356BB"/>
    <w:rsid w:val="00D44138"/>
    <w:rsid w:val="00D46FCA"/>
    <w:rsid w:val="00D508EE"/>
    <w:rsid w:val="00D55B05"/>
    <w:rsid w:val="00D56439"/>
    <w:rsid w:val="00D57ABB"/>
    <w:rsid w:val="00D668FE"/>
    <w:rsid w:val="00D67108"/>
    <w:rsid w:val="00D722EA"/>
    <w:rsid w:val="00D72B49"/>
    <w:rsid w:val="00D81E40"/>
    <w:rsid w:val="00D8765F"/>
    <w:rsid w:val="00D92F05"/>
    <w:rsid w:val="00D93DE2"/>
    <w:rsid w:val="00D94180"/>
    <w:rsid w:val="00D9516A"/>
    <w:rsid w:val="00DA3F9C"/>
    <w:rsid w:val="00DA5A4E"/>
    <w:rsid w:val="00DA64E0"/>
    <w:rsid w:val="00DB6747"/>
    <w:rsid w:val="00DD6B18"/>
    <w:rsid w:val="00DE1F96"/>
    <w:rsid w:val="00DF10CF"/>
    <w:rsid w:val="00E017BF"/>
    <w:rsid w:val="00E130F2"/>
    <w:rsid w:val="00E224E2"/>
    <w:rsid w:val="00E2737B"/>
    <w:rsid w:val="00E34BF0"/>
    <w:rsid w:val="00E474B3"/>
    <w:rsid w:val="00E5562E"/>
    <w:rsid w:val="00E56B8E"/>
    <w:rsid w:val="00E65FD5"/>
    <w:rsid w:val="00E721BA"/>
    <w:rsid w:val="00E80D15"/>
    <w:rsid w:val="00E81D0F"/>
    <w:rsid w:val="00E861B4"/>
    <w:rsid w:val="00E95F81"/>
    <w:rsid w:val="00EB6283"/>
    <w:rsid w:val="00EB7DFE"/>
    <w:rsid w:val="00ED600A"/>
    <w:rsid w:val="00EF160D"/>
    <w:rsid w:val="00EF6095"/>
    <w:rsid w:val="00F02C86"/>
    <w:rsid w:val="00F15653"/>
    <w:rsid w:val="00F25057"/>
    <w:rsid w:val="00F25C0B"/>
    <w:rsid w:val="00F30557"/>
    <w:rsid w:val="00F30691"/>
    <w:rsid w:val="00F31B00"/>
    <w:rsid w:val="00F367B4"/>
    <w:rsid w:val="00F44CCB"/>
    <w:rsid w:val="00F5487C"/>
    <w:rsid w:val="00F600D3"/>
    <w:rsid w:val="00F62902"/>
    <w:rsid w:val="00F62DAE"/>
    <w:rsid w:val="00F669DC"/>
    <w:rsid w:val="00F74F01"/>
    <w:rsid w:val="00F841C1"/>
    <w:rsid w:val="00F9506B"/>
    <w:rsid w:val="00FA06E0"/>
    <w:rsid w:val="00FB69E8"/>
    <w:rsid w:val="00FC0108"/>
    <w:rsid w:val="00FC1D29"/>
    <w:rsid w:val="00FC249A"/>
    <w:rsid w:val="00FF0D96"/>
    <w:rsid w:val="026E6F9B"/>
    <w:rsid w:val="05C50C80"/>
    <w:rsid w:val="105D4C86"/>
    <w:rsid w:val="125A6BF4"/>
    <w:rsid w:val="12602C12"/>
    <w:rsid w:val="16942C7D"/>
    <w:rsid w:val="192634E2"/>
    <w:rsid w:val="1B837F96"/>
    <w:rsid w:val="1C980BEC"/>
    <w:rsid w:val="1DBA30FC"/>
    <w:rsid w:val="1EE25903"/>
    <w:rsid w:val="21881CE4"/>
    <w:rsid w:val="250D4A1C"/>
    <w:rsid w:val="2570334C"/>
    <w:rsid w:val="28D20D4A"/>
    <w:rsid w:val="2A0D3F53"/>
    <w:rsid w:val="2DB32A1C"/>
    <w:rsid w:val="2EAD061C"/>
    <w:rsid w:val="2FA379D4"/>
    <w:rsid w:val="385A2887"/>
    <w:rsid w:val="39AD0584"/>
    <w:rsid w:val="3C28163E"/>
    <w:rsid w:val="3CB72EA2"/>
    <w:rsid w:val="3D8F1598"/>
    <w:rsid w:val="41BE30A4"/>
    <w:rsid w:val="454D5FC1"/>
    <w:rsid w:val="48FA45FD"/>
    <w:rsid w:val="4BB9615E"/>
    <w:rsid w:val="4D1D0577"/>
    <w:rsid w:val="501A3DA5"/>
    <w:rsid w:val="5AD509BC"/>
    <w:rsid w:val="5CD3584F"/>
    <w:rsid w:val="62F57A66"/>
    <w:rsid w:val="637D2F27"/>
    <w:rsid w:val="734C50E8"/>
    <w:rsid w:val="744D4AD6"/>
    <w:rsid w:val="76183C46"/>
    <w:rsid w:val="790D368B"/>
    <w:rsid w:val="7A036672"/>
    <w:rsid w:val="7A076088"/>
    <w:rsid w:val="7BC6228C"/>
    <w:rsid w:val="7F6A300A"/>
    <w:rsid w:val="7FBF721A"/>
    <w:rsid w:val="7FC670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4"/>
    <w:basedOn w:val="3"/>
    <w:next w:val="1"/>
    <w:qFormat/>
    <w:uiPriority w:val="0"/>
    <w:pPr>
      <w:keepNext/>
      <w:keepLines/>
      <w:adjustRightInd w:val="0"/>
      <w:spacing w:before="280" w:after="290" w:line="376" w:lineRule="auto"/>
      <w:textAlignment w:val="baseline"/>
      <w:outlineLvl w:val="3"/>
    </w:pPr>
    <w:rPr>
      <w:rFonts w:ascii="Arial" w:hAnsi="Arial" w:eastAsia="黑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3">
    <w:name w:val="00 正文"/>
    <w:basedOn w:val="1"/>
    <w:qFormat/>
    <w:uiPriority w:val="0"/>
    <w:pPr>
      <w:adjustRightInd w:val="0"/>
      <w:textAlignment w:val="baseline"/>
    </w:pPr>
    <w:rPr>
      <w:rFonts w:hAnsi="宋体"/>
      <w:bCs/>
      <w:kern w:val="2"/>
      <w:sz w:val="24"/>
    </w:rPr>
  </w:style>
  <w:style w:type="paragraph" w:styleId="4">
    <w:name w:val="Normal Indent"/>
    <w:basedOn w:val="1"/>
    <w:qFormat/>
    <w:uiPriority w:val="0"/>
    <w:pPr>
      <w:ind w:firstLine="420"/>
    </w:pPr>
    <w:rPr>
      <w:sz w:val="28"/>
    </w:rPr>
  </w:style>
  <w:style w:type="paragraph" w:styleId="5">
    <w:name w:val="Body Text"/>
    <w:basedOn w:val="1"/>
    <w:next w:val="6"/>
    <w:qFormat/>
    <w:uiPriority w:val="0"/>
    <w:rPr>
      <w:rFonts w:eastAsia="方正魏碑简体"/>
      <w:sz w:val="72"/>
    </w:rPr>
  </w:style>
  <w:style w:type="paragraph" w:styleId="6">
    <w:name w:val="toc 5"/>
    <w:basedOn w:val="1"/>
    <w:next w:val="1"/>
    <w:qFormat/>
    <w:uiPriority w:val="39"/>
    <w:pPr>
      <w:ind w:left="840"/>
      <w:jc w:val="left"/>
    </w:pPr>
    <w:rPr>
      <w:sz w:val="18"/>
      <w:szCs w:val="18"/>
    </w:rPr>
  </w:style>
  <w:style w:type="paragraph" w:styleId="7">
    <w:name w:val="Block Text"/>
    <w:basedOn w:val="1"/>
    <w:qFormat/>
    <w:uiPriority w:val="0"/>
    <w:pPr>
      <w:snapToGrid w:val="0"/>
      <w:spacing w:line="480" w:lineRule="atLeast"/>
      <w:ind w:left="-240" w:right="-447" w:firstLine="570"/>
      <w:jc w:val="both"/>
    </w:pPr>
    <w:rPr>
      <w:sz w:val="28"/>
    </w:rPr>
  </w:style>
  <w:style w:type="paragraph" w:styleId="8">
    <w:name w:val="Plain Text"/>
    <w:basedOn w:val="1"/>
    <w:qFormat/>
    <w:uiPriority w:val="0"/>
    <w:pPr>
      <w:adjustRightInd/>
      <w:spacing w:line="240" w:lineRule="auto"/>
      <w:jc w:val="both"/>
      <w:textAlignment w:val="auto"/>
    </w:pPr>
    <w:rPr>
      <w:rFonts w:ascii="宋体" w:hAnsi="Courier New"/>
      <w:kern w:val="2"/>
      <w:sz w:val="21"/>
    </w:rPr>
  </w:style>
  <w:style w:type="paragraph" w:styleId="9">
    <w:name w:val="footer"/>
    <w:basedOn w:val="1"/>
    <w:qFormat/>
    <w:uiPriority w:val="0"/>
    <w:pPr>
      <w:tabs>
        <w:tab w:val="center" w:pos="4153"/>
        <w:tab w:val="right" w:pos="8306"/>
      </w:tabs>
      <w:snapToGrid w:val="0"/>
      <w:spacing w:line="240" w:lineRule="atLeas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FollowedHyperlink"/>
    <w:basedOn w:val="13"/>
    <w:qFormat/>
    <w:uiPriority w:val="0"/>
    <w:rPr>
      <w:color w:val="3894C1"/>
      <w:u w:val="none"/>
    </w:rPr>
  </w:style>
  <w:style w:type="character" w:styleId="16">
    <w:name w:val="Hyperlink"/>
    <w:basedOn w:val="13"/>
    <w:qFormat/>
    <w:uiPriority w:val="0"/>
    <w:rPr>
      <w:color w:val="3894C1"/>
      <w:u w:val="none"/>
    </w:rPr>
  </w:style>
  <w:style w:type="paragraph" w:customStyle="1" w:styleId="17">
    <w:name w:val="BodyText"/>
    <w:basedOn w:val="1"/>
    <w:qFormat/>
    <w:uiPriority w:val="0"/>
    <w:pPr>
      <w:spacing w:after="120" w:line="240" w:lineRule="auto"/>
    </w:pPr>
    <w:rPr>
      <w:rFonts w:ascii="Calibri" w:hAnsi="Calibri" w:eastAsia="宋体"/>
      <w:color w:val="auto"/>
      <w:kern w:val="2"/>
      <w:sz w:val="21"/>
      <w:szCs w:val="24"/>
      <w:lang w:val="en-US" w:eastAsia="zh-CN" w:bidi="ar-SA"/>
    </w:rPr>
  </w:style>
  <w:style w:type="paragraph" w:customStyle="1" w:styleId="18">
    <w:name w:val=" Char"/>
    <w:basedOn w:val="1"/>
    <w:qFormat/>
    <w:uiPriority w:val="0"/>
    <w:rPr>
      <w:rFonts w:ascii="Tahoma" w:hAnsi="Tahoma"/>
    </w:rPr>
  </w:style>
  <w:style w:type="paragraph" w:customStyle="1" w:styleId="19">
    <w:name w:val=" Char Char Char1 Char Char Char Char Char Char Char Char Char Char"/>
    <w:basedOn w:val="1"/>
    <w:qFormat/>
    <w:uiPriority w:val="0"/>
    <w:rPr>
      <w:rFonts w:ascii="Tahoma" w:hAnsi="Tahoma"/>
    </w:rPr>
  </w:style>
  <w:style w:type="paragraph" w:customStyle="1" w:styleId="20">
    <w:name w:val=" Char Char Char1 Char Char Char3 Char Char Char Char"/>
    <w:basedOn w:val="1"/>
    <w:qFormat/>
    <w:uiPriority w:val="0"/>
    <w:rPr>
      <w:rFonts w:ascii="Tahoma" w:hAnsi="Tahoma"/>
    </w:rPr>
  </w:style>
  <w:style w:type="paragraph" w:customStyle="1" w:styleId="21">
    <w:name w:val="_Style 8"/>
    <w:basedOn w:val="1"/>
    <w:qFormat/>
    <w:uiPriority w:val="0"/>
    <w:rPr>
      <w:rFonts w:ascii="Tahoma" w:hAnsi="Tahoma"/>
    </w:rPr>
  </w:style>
  <w:style w:type="paragraph" w:customStyle="1" w:styleId="22">
    <w:name w:val="列出段落"/>
    <w:basedOn w:val="1"/>
    <w:qFormat/>
    <w:uiPriority w:val="0"/>
    <w:pPr>
      <w:ind w:firstLine="420" w:firstLineChars="200"/>
    </w:pPr>
    <w:rPr>
      <w:rFonts w:ascii="Calibri" w:hAnsi="Calibri"/>
      <w:szCs w:val="22"/>
    </w:rPr>
  </w:style>
  <w:style w:type="paragraph" w:customStyle="1" w:styleId="23">
    <w:name w:val="样式5"/>
    <w:basedOn w:val="1"/>
    <w:qFormat/>
    <w:uiPriority w:val="0"/>
    <w:pPr>
      <w:jc w:val="left"/>
      <w:outlineLvl w:val="1"/>
    </w:pPr>
    <w:rPr>
      <w:b/>
      <w:bCs/>
      <w:kern w:val="28"/>
      <w:szCs w:val="3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wisdri</Company>
  <Pages>6</Pages>
  <Words>2334</Words>
  <Characters>2666</Characters>
  <Lines>11</Lines>
  <Paragraphs>3</Paragraphs>
  <TotalTime>14</TotalTime>
  <ScaleCrop>false</ScaleCrop>
  <LinksUpToDate>false</LinksUpToDate>
  <CharactersWithSpaces>2836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2011-09-02T01:24:00Z</dcterms:created>
  <dc:creator>1</dc:creator>
  <cp:lastModifiedBy>Lee 先森</cp:lastModifiedBy>
  <cp:lastPrinted>2010-06-13T03:59:00Z</cp:lastPrinted>
  <dcterms:modified xsi:type="dcterms:W3CDTF">2025-07-04T03:53:00Z</dcterms:modified>
  <dc:title>武钢新3号高炉铜冷却壁招标书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DCC8E904BE2846A991DD9F0E97B3207F_13</vt:lpwstr>
  </property>
  <property fmtid="{D5CDD505-2E9C-101B-9397-08002B2CF9AE}" pid="4" name="KSOTemplateDocerSaveRecord">
    <vt:lpwstr>eyJoZGlkIjoiMjJkODIwMzg0OTc3MzIzYWZjYmUxNDU1YzRlZjAxMjQiLCJ1c2VySWQiOiIxNDg5MzAyMTMyIn0=</vt:lpwstr>
  </property>
</Properties>
</file>