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08174">
      <w:pPr>
        <w:pStyle w:val="6"/>
        <w:jc w:val="center"/>
        <w:outlineLvl w:val="9"/>
        <w:rPr>
          <w:rFonts w:hint="eastAsia"/>
          <w:color w:val="auto"/>
          <w:sz w:val="44"/>
          <w:szCs w:val="44"/>
          <w:highlight w:val="none"/>
          <w:lang w:val="en-US" w:eastAsia="zh-CN"/>
        </w:rPr>
      </w:pPr>
      <w:bookmarkStart w:id="0" w:name="_Toc31977"/>
    </w:p>
    <w:p w14:paraId="65C808E6">
      <w:pPr>
        <w:pStyle w:val="6"/>
        <w:jc w:val="center"/>
        <w:outlineLvl w:val="9"/>
        <w:rPr>
          <w:rFonts w:hint="eastAsia"/>
          <w:color w:val="auto"/>
          <w:sz w:val="44"/>
          <w:szCs w:val="44"/>
          <w:highlight w:val="none"/>
          <w:lang w:val="en-US" w:eastAsia="zh-CN"/>
        </w:rPr>
      </w:pPr>
    </w:p>
    <w:p w14:paraId="677982D8">
      <w:pPr>
        <w:jc w:val="center"/>
        <w:outlineLvl w:val="9"/>
        <w:rPr>
          <w:rFonts w:hint="default"/>
          <w:b/>
          <w:bCs/>
          <w:color w:val="auto"/>
          <w:sz w:val="44"/>
          <w:szCs w:val="44"/>
          <w:highlight w:val="none"/>
          <w:lang w:val="en-US" w:eastAsia="zh-CN"/>
        </w:rPr>
      </w:pPr>
      <w:r>
        <w:rPr>
          <w:rFonts w:hint="eastAsia"/>
          <w:b/>
          <w:bCs/>
          <w:color w:val="auto"/>
          <w:sz w:val="44"/>
          <w:szCs w:val="44"/>
          <w:highlight w:val="none"/>
          <w:lang w:val="en-US" w:eastAsia="zh-CN"/>
        </w:rPr>
        <w:t>宏联</w:t>
      </w:r>
      <w:bookmarkStart w:id="77" w:name="_GoBack"/>
      <w:bookmarkEnd w:id="77"/>
      <w:r>
        <w:rPr>
          <w:rFonts w:hint="eastAsia"/>
          <w:b/>
          <w:bCs/>
          <w:color w:val="auto"/>
          <w:sz w:val="44"/>
          <w:szCs w:val="44"/>
          <w:highlight w:val="none"/>
          <w:lang w:val="en-US" w:eastAsia="zh-CN"/>
        </w:rPr>
        <w:t>自控公司</w:t>
      </w:r>
    </w:p>
    <w:p w14:paraId="019A7B72">
      <w:pPr>
        <w:rPr>
          <w:rFonts w:hint="eastAsia"/>
          <w:color w:val="auto"/>
          <w:sz w:val="44"/>
          <w:szCs w:val="44"/>
          <w:highlight w:val="none"/>
          <w:lang w:val="en-US" w:eastAsia="zh-CN"/>
        </w:rPr>
      </w:pPr>
    </w:p>
    <w:p w14:paraId="29501422">
      <w:pPr>
        <w:pStyle w:val="16"/>
        <w:spacing w:before="0" w:after="0" w:line="360" w:lineRule="auto"/>
        <w:ind w:left="0" w:leftChars="0" w:firstLine="0" w:firstLineChars="0"/>
        <w:jc w:val="center"/>
        <w:rPr>
          <w:rFonts w:hint="eastAsia" w:ascii="仿宋_GB2312" w:hAnsi="仿宋_GB2312" w:cs="仿宋_GB2312"/>
          <w:b/>
          <w:bCs/>
          <w:color w:val="auto"/>
          <w:sz w:val="32"/>
          <w:szCs w:val="32"/>
        </w:rPr>
      </w:pPr>
      <w:r>
        <w:rPr>
          <w:rFonts w:hint="eastAsia" w:cs="Times New Roman"/>
          <w:b/>
          <w:bCs/>
          <w:color w:val="auto"/>
          <w:kern w:val="2"/>
          <w:sz w:val="44"/>
          <w:szCs w:val="44"/>
          <w:highlight w:val="none"/>
          <w:lang w:val="en-US" w:eastAsia="zh-CN" w:bidi="ar-SA"/>
        </w:rPr>
        <w:t>闭路磨矿设备</w:t>
      </w:r>
    </w:p>
    <w:p w14:paraId="186827B6">
      <w:pPr>
        <w:pStyle w:val="6"/>
        <w:jc w:val="center"/>
        <w:outlineLvl w:val="9"/>
        <w:rPr>
          <w:rFonts w:hint="eastAsia"/>
          <w:color w:val="auto"/>
          <w:sz w:val="44"/>
          <w:szCs w:val="44"/>
          <w:highlight w:val="none"/>
          <w:lang w:val="en-US" w:eastAsia="zh-CN"/>
        </w:rPr>
      </w:pPr>
    </w:p>
    <w:p w14:paraId="77C1DD55">
      <w:pPr>
        <w:pStyle w:val="6"/>
        <w:jc w:val="center"/>
        <w:outlineLvl w:val="9"/>
        <w:rPr>
          <w:rFonts w:hint="eastAsia"/>
          <w:color w:val="auto"/>
          <w:sz w:val="44"/>
          <w:szCs w:val="44"/>
          <w:highlight w:val="none"/>
          <w:lang w:val="en-US" w:eastAsia="zh-CN"/>
        </w:rPr>
      </w:pPr>
    </w:p>
    <w:p w14:paraId="7EA4C18A">
      <w:pPr>
        <w:pStyle w:val="6"/>
        <w:jc w:val="center"/>
        <w:outlineLvl w:val="9"/>
        <w:rPr>
          <w:rFonts w:hint="eastAsia"/>
          <w:color w:val="auto"/>
          <w:sz w:val="44"/>
          <w:szCs w:val="44"/>
          <w:highlight w:val="none"/>
          <w:lang w:val="en-US" w:eastAsia="zh-CN"/>
        </w:rPr>
      </w:pPr>
    </w:p>
    <w:p w14:paraId="59260B54">
      <w:pPr>
        <w:pStyle w:val="6"/>
        <w:jc w:val="center"/>
        <w:outlineLvl w:val="9"/>
        <w:rPr>
          <w:rFonts w:hint="eastAsia"/>
          <w:color w:val="auto"/>
          <w:sz w:val="44"/>
          <w:szCs w:val="44"/>
          <w:highlight w:val="none"/>
          <w:lang w:val="en-US" w:eastAsia="zh-CN"/>
        </w:rPr>
      </w:pPr>
    </w:p>
    <w:p w14:paraId="1315532B">
      <w:pPr>
        <w:jc w:val="center"/>
        <w:outlineLvl w:val="9"/>
        <w:rPr>
          <w:rFonts w:hint="default"/>
          <w:b/>
          <w:bCs/>
          <w:color w:val="auto"/>
          <w:sz w:val="44"/>
          <w:szCs w:val="44"/>
          <w:highlight w:val="none"/>
          <w:lang w:val="en-US" w:eastAsia="zh-CN"/>
        </w:rPr>
      </w:pPr>
      <w:r>
        <w:rPr>
          <w:rFonts w:hint="eastAsia"/>
          <w:b/>
          <w:bCs/>
          <w:color w:val="auto"/>
          <w:sz w:val="44"/>
          <w:szCs w:val="44"/>
          <w:highlight w:val="none"/>
          <w:lang w:val="en-US" w:eastAsia="zh-CN"/>
        </w:rPr>
        <w:t>技术规格书</w:t>
      </w:r>
    </w:p>
    <w:p w14:paraId="424E619B">
      <w:pPr>
        <w:outlineLvl w:val="9"/>
        <w:rPr>
          <w:rFonts w:hint="eastAsia"/>
          <w:b/>
          <w:bCs/>
          <w:color w:val="auto"/>
          <w:highlight w:val="none"/>
          <w:lang w:val="en-US" w:eastAsia="zh-CN"/>
        </w:rPr>
      </w:pPr>
    </w:p>
    <w:p w14:paraId="6EA9E7C3">
      <w:pPr>
        <w:outlineLvl w:val="9"/>
        <w:rPr>
          <w:rFonts w:hint="eastAsia"/>
          <w:b/>
          <w:bCs/>
          <w:color w:val="auto"/>
          <w:highlight w:val="none"/>
          <w:lang w:val="en-US" w:eastAsia="zh-CN"/>
        </w:rPr>
      </w:pPr>
    </w:p>
    <w:p w14:paraId="50E3B6C5">
      <w:pPr>
        <w:outlineLvl w:val="9"/>
        <w:rPr>
          <w:rFonts w:hint="eastAsia"/>
          <w:b/>
          <w:bCs/>
          <w:color w:val="auto"/>
          <w:highlight w:val="none"/>
          <w:lang w:val="en-US" w:eastAsia="zh-CN"/>
        </w:rPr>
      </w:pPr>
    </w:p>
    <w:p w14:paraId="28457B36">
      <w:pPr>
        <w:pStyle w:val="23"/>
        <w:outlineLvl w:val="9"/>
        <w:rPr>
          <w:rFonts w:hint="eastAsia"/>
          <w:b/>
          <w:bCs/>
          <w:color w:val="auto"/>
          <w:highlight w:val="none"/>
          <w:lang w:val="en-US" w:eastAsia="zh-CN"/>
        </w:rPr>
      </w:pPr>
    </w:p>
    <w:p w14:paraId="4D2873EB">
      <w:pPr>
        <w:outlineLvl w:val="9"/>
        <w:rPr>
          <w:rFonts w:hint="eastAsia"/>
          <w:b/>
          <w:bCs/>
          <w:color w:val="auto"/>
          <w:highlight w:val="none"/>
          <w:lang w:val="en-US" w:eastAsia="zh-CN"/>
        </w:rPr>
      </w:pPr>
    </w:p>
    <w:p w14:paraId="349A1753">
      <w:pPr>
        <w:pStyle w:val="23"/>
        <w:outlineLvl w:val="9"/>
        <w:rPr>
          <w:rFonts w:hint="eastAsia"/>
          <w:b/>
          <w:bCs/>
          <w:color w:val="auto"/>
          <w:highlight w:val="none"/>
          <w:lang w:val="en-US" w:eastAsia="zh-CN"/>
        </w:rPr>
      </w:pPr>
    </w:p>
    <w:p w14:paraId="66A62491">
      <w:pPr>
        <w:outlineLvl w:val="9"/>
        <w:rPr>
          <w:rFonts w:hint="eastAsia"/>
          <w:b/>
          <w:bCs/>
          <w:color w:val="auto"/>
          <w:highlight w:val="none"/>
          <w:lang w:val="en-US" w:eastAsia="zh-CN"/>
        </w:rPr>
      </w:pPr>
    </w:p>
    <w:p w14:paraId="40A9701F">
      <w:pPr>
        <w:pStyle w:val="23"/>
        <w:outlineLvl w:val="9"/>
        <w:rPr>
          <w:rFonts w:hint="eastAsia"/>
          <w:b/>
          <w:bCs/>
          <w:color w:val="auto"/>
          <w:highlight w:val="none"/>
          <w:lang w:val="en-US" w:eastAsia="zh-CN"/>
        </w:rPr>
      </w:pPr>
    </w:p>
    <w:p w14:paraId="05C68657">
      <w:pPr>
        <w:outlineLvl w:val="9"/>
        <w:rPr>
          <w:rFonts w:hint="eastAsia"/>
          <w:b/>
          <w:bCs/>
          <w:color w:val="auto"/>
          <w:highlight w:val="none"/>
          <w:lang w:val="en-US" w:eastAsia="zh-CN"/>
        </w:rPr>
      </w:pPr>
    </w:p>
    <w:p w14:paraId="350064C3">
      <w:pPr>
        <w:pStyle w:val="23"/>
        <w:outlineLvl w:val="9"/>
        <w:rPr>
          <w:rFonts w:hint="eastAsia"/>
          <w:b/>
          <w:bCs/>
          <w:color w:val="auto"/>
          <w:highlight w:val="none"/>
          <w:lang w:val="en-US" w:eastAsia="zh-CN"/>
        </w:rPr>
      </w:pPr>
    </w:p>
    <w:p w14:paraId="74FD72A0">
      <w:pPr>
        <w:pStyle w:val="23"/>
        <w:outlineLvl w:val="9"/>
        <w:rPr>
          <w:rFonts w:hint="eastAsia"/>
          <w:b/>
          <w:bCs/>
          <w:color w:val="auto"/>
          <w:highlight w:val="none"/>
          <w:lang w:val="en-US" w:eastAsia="zh-CN"/>
        </w:rPr>
      </w:pPr>
    </w:p>
    <w:p w14:paraId="2918AAFB">
      <w:pPr>
        <w:keepNext w:val="0"/>
        <w:keepLines w:val="0"/>
        <w:pageBreakBefore w:val="0"/>
        <w:widowControl w:val="0"/>
        <w:kinsoku/>
        <w:wordWrap/>
        <w:overflowPunct/>
        <w:topLinePunct w:val="0"/>
        <w:autoSpaceDE/>
        <w:autoSpaceDN/>
        <w:bidi w:val="0"/>
        <w:adjustRightInd/>
        <w:snapToGrid/>
        <w:spacing w:line="480" w:lineRule="auto"/>
        <w:ind w:firstLine="1506" w:firstLineChars="500"/>
        <w:textAlignment w:val="auto"/>
        <w:outlineLvl w:val="9"/>
        <w:rPr>
          <w:rFonts w:hint="eastAsia"/>
          <w:b/>
          <w:bCs/>
          <w:color w:val="auto"/>
          <w:sz w:val="30"/>
          <w:szCs w:val="30"/>
          <w:highlight w:val="none"/>
          <w:lang w:val="en-US" w:eastAsia="zh-CN"/>
        </w:rPr>
      </w:pPr>
      <w:r>
        <w:rPr>
          <w:rFonts w:hint="eastAsia"/>
          <w:b/>
          <w:bCs/>
          <w:color w:val="auto"/>
          <w:sz w:val="30"/>
          <w:szCs w:val="30"/>
          <w:highlight w:val="none"/>
          <w:lang w:val="en-US" w:eastAsia="zh-CN"/>
        </w:rPr>
        <w:t>甲方：酒钢（集团）宏联自控有限责任公司</w:t>
      </w:r>
    </w:p>
    <w:p w14:paraId="32AF4512">
      <w:pPr>
        <w:pStyle w:val="17"/>
        <w:keepNext w:val="0"/>
        <w:keepLines w:val="0"/>
        <w:pageBreakBefore w:val="0"/>
        <w:widowControl w:val="0"/>
        <w:kinsoku/>
        <w:wordWrap/>
        <w:overflowPunct/>
        <w:topLinePunct w:val="0"/>
        <w:autoSpaceDE/>
        <w:autoSpaceDN/>
        <w:bidi w:val="0"/>
        <w:adjustRightInd/>
        <w:snapToGrid/>
        <w:spacing w:line="480" w:lineRule="auto"/>
        <w:ind w:left="0" w:leftChars="0" w:firstLine="1506" w:firstLineChars="500"/>
        <w:textAlignment w:val="auto"/>
        <w:outlineLvl w:val="9"/>
        <w:rPr>
          <w:rFonts w:hint="eastAsia"/>
          <w:b/>
          <w:bCs/>
          <w:color w:val="auto"/>
          <w:sz w:val="30"/>
          <w:szCs w:val="30"/>
          <w:highlight w:val="none"/>
          <w:lang w:val="en-US" w:eastAsia="zh-CN"/>
        </w:rPr>
      </w:pPr>
      <w:r>
        <w:rPr>
          <w:rFonts w:hint="eastAsia"/>
          <w:b/>
          <w:bCs/>
          <w:color w:val="auto"/>
          <w:sz w:val="30"/>
          <w:szCs w:val="30"/>
          <w:highlight w:val="none"/>
          <w:lang w:val="en-US" w:eastAsia="zh-CN"/>
        </w:rPr>
        <w:t>乙方：</w:t>
      </w:r>
    </w:p>
    <w:p w14:paraId="7B1C7662">
      <w:pPr>
        <w:outlineLvl w:val="9"/>
        <w:rPr>
          <w:rFonts w:hint="default"/>
          <w:b/>
          <w:bCs/>
          <w:color w:val="auto"/>
          <w:lang w:val="en-US" w:eastAsia="zh-CN"/>
        </w:rPr>
      </w:pPr>
    </w:p>
    <w:p w14:paraId="0240C971">
      <w:pPr>
        <w:pStyle w:val="23"/>
        <w:keepNext w:val="0"/>
        <w:keepLines w:val="0"/>
        <w:pageBreakBefore w:val="0"/>
        <w:widowControl w:val="0"/>
        <w:kinsoku/>
        <w:wordWrap/>
        <w:overflowPunct/>
        <w:topLinePunct w:val="0"/>
        <w:bidi w:val="0"/>
        <w:snapToGrid/>
        <w:spacing w:line="480" w:lineRule="auto"/>
        <w:textAlignment w:val="auto"/>
        <w:rPr>
          <w:rFonts w:hint="eastAsia"/>
          <w:color w:val="auto"/>
          <w:sz w:val="28"/>
          <w:szCs w:val="28"/>
          <w:highlight w:val="none"/>
          <w:lang w:val="en-US" w:eastAsia="zh-CN"/>
        </w:rPr>
      </w:pPr>
    </w:p>
    <w:p w14:paraId="0536636B">
      <w:pPr>
        <w:rPr>
          <w:rFonts w:hint="eastAsia"/>
          <w:color w:val="auto"/>
          <w:sz w:val="28"/>
          <w:szCs w:val="28"/>
          <w:highlight w:val="none"/>
          <w:lang w:val="en-US" w:eastAsia="zh-CN"/>
        </w:rPr>
      </w:pPr>
    </w:p>
    <w:p w14:paraId="46FEC27A">
      <w:pPr>
        <w:rPr>
          <w:rFonts w:hint="eastAsia"/>
          <w:color w:val="auto"/>
          <w:sz w:val="28"/>
          <w:szCs w:val="28"/>
          <w:highlight w:val="none"/>
          <w:lang w:val="en-US" w:eastAsia="zh-CN"/>
        </w:rPr>
        <w:sectPr>
          <w:pgSz w:w="11906" w:h="16838"/>
          <w:pgMar w:top="1644" w:right="1531" w:bottom="1644" w:left="1531" w:header="851" w:footer="992" w:gutter="0"/>
          <w:cols w:space="0" w:num="1"/>
          <w:rtlGutter w:val="0"/>
          <w:docGrid w:type="lines" w:linePitch="312" w:charSpace="0"/>
        </w:sectPr>
      </w:pPr>
    </w:p>
    <w:sdt>
      <w:sdtPr>
        <w:rPr>
          <w:rFonts w:ascii="宋体" w:hAnsi="宋体" w:eastAsia="宋体" w:cs="Times New Roman"/>
          <w:color w:val="auto"/>
          <w:kern w:val="2"/>
          <w:sz w:val="21"/>
          <w:lang w:val="en-US" w:eastAsia="zh-CN" w:bidi="ar-SA"/>
        </w:rPr>
        <w:id w:val="147480013"/>
        <w15:color w:val="DBDBDB"/>
        <w:docPartObj>
          <w:docPartGallery w:val="Table of Contents"/>
          <w:docPartUnique/>
        </w:docPartObj>
      </w:sdtPr>
      <w:sdtEndPr>
        <w:rPr>
          <w:rFonts w:hint="eastAsia" w:ascii="仿宋_GB2312" w:hAnsi="仿宋_GB2312" w:eastAsia="仿宋_GB2312" w:cs="仿宋_GB2312"/>
          <w:bCs/>
          <w:color w:val="auto"/>
          <w:kern w:val="2"/>
          <w:sz w:val="21"/>
          <w:szCs w:val="28"/>
          <w:lang w:val="en-US" w:eastAsia="zh-CN" w:bidi="ar-SA"/>
        </w:rPr>
      </w:sdtEndPr>
      <w:sdtContent>
        <w:sdt>
          <w:sdtPr>
            <w:rPr>
              <w:rFonts w:ascii="宋体" w:hAnsi="宋体" w:eastAsia="宋体" w:cs="Times New Roman"/>
              <w:color w:val="auto"/>
              <w:kern w:val="2"/>
              <w:sz w:val="21"/>
              <w:lang w:val="en-US" w:eastAsia="zh-CN" w:bidi="ar-SA"/>
            </w:rPr>
            <w:id w:val="147457035"/>
            <w15:color w:val="DBDBDB"/>
            <w:docPartObj>
              <w:docPartGallery w:val="Table of Contents"/>
              <w:docPartUnique/>
            </w:docPartObj>
          </w:sdtPr>
          <w:sdtEndPr>
            <w:rPr>
              <w:rFonts w:hint="eastAsia" w:ascii="仿宋_GB2312" w:hAnsi="仿宋_GB2312" w:eastAsia="仿宋_GB2312" w:cs="仿宋_GB2312"/>
              <w:bCs/>
              <w:color w:val="auto"/>
              <w:kern w:val="2"/>
              <w:sz w:val="21"/>
              <w:szCs w:val="28"/>
              <w:lang w:val="en-US" w:eastAsia="zh-CN" w:bidi="ar-SA"/>
            </w:rPr>
          </w:sdtEndPr>
          <w:sdtContent>
            <w:p w14:paraId="11065F47">
              <w:pPr>
                <w:keepNext w:val="0"/>
                <w:keepLines w:val="0"/>
                <w:pageBreakBefore w:val="0"/>
                <w:widowControl w:val="0"/>
                <w:kinsoku/>
                <w:wordWrap/>
                <w:overflowPunct/>
                <w:topLinePunct w:val="0"/>
                <w:autoSpaceDE/>
                <w:autoSpaceDN/>
                <w:bidi w:val="0"/>
                <w:spacing w:before="0" w:after="0" w:line="360" w:lineRule="exact"/>
                <w:ind w:left="0" w:leftChars="0" w:right="0" w:rightChars="0" w:firstLine="0" w:firstLineChars="0"/>
                <w:jc w:val="center"/>
                <w:textAlignment w:val="auto"/>
                <w:rPr>
                  <w:rFonts w:hint="eastAsia" w:ascii="仿宋_GB2312" w:hAnsi="仿宋_GB2312" w:eastAsia="仿宋_GB2312" w:cs="仿宋_GB2312"/>
                  <w:color w:val="auto"/>
                  <w:sz w:val="28"/>
                  <w:szCs w:val="28"/>
                </w:rPr>
              </w:pPr>
              <w:r>
                <w:rPr>
                  <w:rFonts w:hint="eastAsia" w:asciiTheme="minorEastAsia" w:hAnsiTheme="minorEastAsia" w:eastAsiaTheme="minorEastAsia" w:cstheme="minorEastAsia"/>
                  <w:color w:val="auto"/>
                  <w:sz w:val="28"/>
                  <w:szCs w:val="28"/>
                </w:rPr>
                <w:t>目录</w:t>
              </w:r>
            </w:p>
            <w:p w14:paraId="615789A8">
              <w:pPr>
                <w:pStyle w:val="14"/>
                <w:tabs>
                  <w:tab w:val="right" w:leader="dot" w:pos="8844"/>
                </w:tabs>
                <w:rPr>
                  <w:color w:val="auto"/>
                </w:rPr>
              </w:pPr>
              <w:r>
                <w:rPr>
                  <w:rFonts w:hint="eastAsia" w:asciiTheme="minorEastAsia" w:hAnsiTheme="minorEastAsia" w:eastAsiaTheme="minorEastAsia" w:cstheme="minorEastAsia"/>
                  <w:b/>
                  <w:bCs/>
                  <w:color w:val="auto"/>
                  <w:sz w:val="28"/>
                  <w:szCs w:val="28"/>
                  <w:lang w:val="en-US" w:eastAsia="zh-CN"/>
                </w:rPr>
                <w:fldChar w:fldCharType="begin"/>
              </w:r>
              <w:r>
                <w:rPr>
                  <w:rFonts w:hint="eastAsia" w:asciiTheme="minorEastAsia" w:hAnsiTheme="minorEastAsia" w:eastAsiaTheme="minorEastAsia" w:cstheme="minorEastAsia"/>
                  <w:b/>
                  <w:bCs/>
                  <w:color w:val="auto"/>
                  <w:sz w:val="28"/>
                  <w:szCs w:val="28"/>
                  <w:lang w:val="en-US" w:eastAsia="zh-CN"/>
                </w:rPr>
                <w:instrText xml:space="preserve">TOC \o "1-3" \h \u </w:instrText>
              </w:r>
              <w:r>
                <w:rPr>
                  <w:rFonts w:hint="eastAsia" w:asciiTheme="minorEastAsia" w:hAnsiTheme="minorEastAsia" w:eastAsiaTheme="minorEastAsia" w:cstheme="minorEastAsia"/>
                  <w:b/>
                  <w:bCs/>
                  <w:color w:val="auto"/>
                  <w:sz w:val="28"/>
                  <w:szCs w:val="28"/>
                  <w:lang w:val="en-US" w:eastAsia="zh-CN"/>
                </w:rPr>
                <w:fldChar w:fldCharType="separate"/>
              </w:r>
              <w:r>
                <w:rPr>
                  <w:rFonts w:hint="eastAsia" w:asciiTheme="minorEastAsia" w:hAnsiTheme="minorEastAsia" w:eastAsiaTheme="minorEastAsia" w:cstheme="minorEastAsia"/>
                  <w:bCs/>
                  <w:color w:val="auto"/>
                  <w:szCs w:val="28"/>
                  <w:lang w:val="en-US" w:eastAsia="zh-CN"/>
                </w:rPr>
                <w:fldChar w:fldCharType="begin"/>
              </w:r>
              <w:r>
                <w:rPr>
                  <w:rFonts w:hint="eastAsia" w:asciiTheme="minorEastAsia" w:hAnsiTheme="minorEastAsia" w:eastAsiaTheme="minorEastAsia" w:cstheme="minorEastAsia"/>
                  <w:bCs/>
                  <w:color w:val="auto"/>
                  <w:szCs w:val="28"/>
                  <w:lang w:val="en-US" w:eastAsia="zh-CN"/>
                </w:rPr>
                <w:instrText xml:space="preserve"> HYPERLINK \l _Toc10615 </w:instrText>
              </w:r>
              <w:r>
                <w:rPr>
                  <w:rFonts w:hint="eastAsia" w:asciiTheme="minorEastAsia" w:hAnsiTheme="minorEastAsia" w:eastAsiaTheme="minorEastAsia" w:cstheme="minorEastAsia"/>
                  <w:bCs/>
                  <w:color w:val="auto"/>
                  <w:szCs w:val="28"/>
                  <w:lang w:val="en-US" w:eastAsia="zh-CN"/>
                </w:rPr>
                <w:fldChar w:fldCharType="separate"/>
              </w:r>
              <w:r>
                <w:rPr>
                  <w:rFonts w:hint="eastAsia" w:ascii="黑体" w:hAnsi="黑体" w:eastAsia="黑体" w:cs="黑体"/>
                  <w:bCs w:val="0"/>
                  <w:color w:val="auto"/>
                  <w:kern w:val="2"/>
                  <w:szCs w:val="28"/>
                  <w:lang w:val="en-US" w:eastAsia="zh-CN" w:bidi="ar-SA"/>
                </w:rPr>
                <w:t>一、总则</w:t>
              </w:r>
              <w:r>
                <w:rPr>
                  <w:color w:val="auto"/>
                </w:rPr>
                <w:tab/>
              </w:r>
              <w:r>
                <w:rPr>
                  <w:color w:val="auto"/>
                </w:rPr>
                <w:fldChar w:fldCharType="begin"/>
              </w:r>
              <w:r>
                <w:rPr>
                  <w:color w:val="auto"/>
                </w:rPr>
                <w:instrText xml:space="preserve"> PAGEREF _Toc10615 \h </w:instrText>
              </w:r>
              <w:r>
                <w:rPr>
                  <w:color w:val="auto"/>
                </w:rPr>
                <w:fldChar w:fldCharType="separate"/>
              </w:r>
              <w:r>
                <w:rPr>
                  <w:color w:val="auto"/>
                </w:rPr>
                <w:t>3</w:t>
              </w:r>
              <w:r>
                <w:rPr>
                  <w:color w:val="auto"/>
                </w:rPr>
                <w:fldChar w:fldCharType="end"/>
              </w:r>
              <w:r>
                <w:rPr>
                  <w:rFonts w:hint="eastAsia" w:asciiTheme="minorEastAsia" w:hAnsiTheme="minorEastAsia" w:eastAsiaTheme="minorEastAsia" w:cstheme="minorEastAsia"/>
                  <w:bCs/>
                  <w:color w:val="auto"/>
                  <w:szCs w:val="28"/>
                  <w:lang w:val="en-US" w:eastAsia="zh-CN"/>
                </w:rPr>
                <w:fldChar w:fldCharType="end"/>
              </w:r>
            </w:p>
            <w:p w14:paraId="41AA94A6">
              <w:pPr>
                <w:pStyle w:val="14"/>
                <w:tabs>
                  <w:tab w:val="right" w:leader="dot" w:pos="8844"/>
                </w:tabs>
                <w:rPr>
                  <w:color w:val="auto"/>
                </w:rPr>
              </w:pPr>
              <w:r>
                <w:rPr>
                  <w:rFonts w:hint="eastAsia" w:asciiTheme="minorEastAsia" w:hAnsiTheme="minorEastAsia" w:eastAsiaTheme="minorEastAsia" w:cstheme="minorEastAsia"/>
                  <w:bCs/>
                  <w:color w:val="auto"/>
                  <w:szCs w:val="28"/>
                  <w:lang w:val="en-US" w:eastAsia="zh-CN"/>
                </w:rPr>
                <w:fldChar w:fldCharType="begin"/>
              </w:r>
              <w:r>
                <w:rPr>
                  <w:rFonts w:hint="eastAsia" w:asciiTheme="minorEastAsia" w:hAnsiTheme="minorEastAsia" w:eastAsiaTheme="minorEastAsia" w:cstheme="minorEastAsia"/>
                  <w:bCs/>
                  <w:color w:val="auto"/>
                  <w:szCs w:val="28"/>
                  <w:lang w:val="en-US" w:eastAsia="zh-CN"/>
                </w:rPr>
                <w:instrText xml:space="preserve"> HYPERLINK \l _Toc4296 </w:instrText>
              </w:r>
              <w:r>
                <w:rPr>
                  <w:rFonts w:hint="eastAsia" w:asciiTheme="minorEastAsia" w:hAnsiTheme="minorEastAsia" w:eastAsiaTheme="minorEastAsia" w:cstheme="minorEastAsia"/>
                  <w:bCs/>
                  <w:color w:val="auto"/>
                  <w:szCs w:val="28"/>
                  <w:lang w:val="en-US" w:eastAsia="zh-CN"/>
                </w:rPr>
                <w:fldChar w:fldCharType="separate"/>
              </w:r>
              <w:r>
                <w:rPr>
                  <w:rFonts w:hint="eastAsia" w:ascii="黑体" w:hAnsi="黑体" w:eastAsia="黑体" w:cs="黑体"/>
                  <w:bCs w:val="0"/>
                  <w:color w:val="auto"/>
                  <w:kern w:val="2"/>
                  <w:szCs w:val="28"/>
                  <w:lang w:val="en-US" w:eastAsia="zh-CN" w:bidi="ar-SA"/>
                </w:rPr>
                <w:t>二、</w:t>
              </w:r>
              <w:r>
                <w:rPr>
                  <w:rFonts w:hint="eastAsia" w:ascii="黑体" w:hAnsi="黑体" w:eastAsia="黑体" w:cs="黑体"/>
                  <w:bCs w:val="0"/>
                  <w:color w:val="auto"/>
                  <w:szCs w:val="28"/>
                  <w:lang w:val="en-US" w:eastAsia="zh-CN"/>
                </w:rPr>
                <w:t>使用环境及引用标准</w:t>
              </w:r>
              <w:r>
                <w:rPr>
                  <w:color w:val="auto"/>
                </w:rPr>
                <w:tab/>
              </w:r>
              <w:r>
                <w:rPr>
                  <w:color w:val="auto"/>
                </w:rPr>
                <w:fldChar w:fldCharType="begin"/>
              </w:r>
              <w:r>
                <w:rPr>
                  <w:color w:val="auto"/>
                </w:rPr>
                <w:instrText xml:space="preserve"> PAGEREF _Toc4296 \h </w:instrText>
              </w:r>
              <w:r>
                <w:rPr>
                  <w:color w:val="auto"/>
                </w:rPr>
                <w:fldChar w:fldCharType="separate"/>
              </w:r>
              <w:r>
                <w:rPr>
                  <w:color w:val="auto"/>
                </w:rPr>
                <w:t>5</w:t>
              </w:r>
              <w:r>
                <w:rPr>
                  <w:color w:val="auto"/>
                </w:rPr>
                <w:fldChar w:fldCharType="end"/>
              </w:r>
              <w:r>
                <w:rPr>
                  <w:rFonts w:hint="eastAsia" w:asciiTheme="minorEastAsia" w:hAnsiTheme="minorEastAsia" w:eastAsiaTheme="minorEastAsia" w:cstheme="minorEastAsia"/>
                  <w:bCs/>
                  <w:color w:val="auto"/>
                  <w:szCs w:val="28"/>
                  <w:lang w:val="en-US" w:eastAsia="zh-CN"/>
                </w:rPr>
                <w:fldChar w:fldCharType="end"/>
              </w:r>
            </w:p>
            <w:p w14:paraId="11CBB097">
              <w:pPr>
                <w:pStyle w:val="14"/>
                <w:tabs>
                  <w:tab w:val="right" w:leader="dot" w:pos="8844"/>
                </w:tabs>
                <w:rPr>
                  <w:color w:val="auto"/>
                </w:rPr>
              </w:pPr>
              <w:r>
                <w:rPr>
                  <w:rFonts w:hint="eastAsia" w:asciiTheme="minorEastAsia" w:hAnsiTheme="minorEastAsia" w:eastAsiaTheme="minorEastAsia" w:cstheme="minorEastAsia"/>
                  <w:bCs/>
                  <w:color w:val="auto"/>
                  <w:szCs w:val="28"/>
                  <w:lang w:val="en-US" w:eastAsia="zh-CN"/>
                </w:rPr>
                <w:fldChar w:fldCharType="begin"/>
              </w:r>
              <w:r>
                <w:rPr>
                  <w:rFonts w:hint="eastAsia" w:asciiTheme="minorEastAsia" w:hAnsiTheme="minorEastAsia" w:eastAsiaTheme="minorEastAsia" w:cstheme="minorEastAsia"/>
                  <w:bCs/>
                  <w:color w:val="auto"/>
                  <w:szCs w:val="28"/>
                  <w:lang w:val="en-US" w:eastAsia="zh-CN"/>
                </w:rPr>
                <w:instrText xml:space="preserve"> HYPERLINK \l _Toc16106 </w:instrText>
              </w:r>
              <w:r>
                <w:rPr>
                  <w:rFonts w:hint="eastAsia" w:asciiTheme="minorEastAsia" w:hAnsiTheme="minorEastAsia" w:eastAsiaTheme="minorEastAsia" w:cstheme="minorEastAsia"/>
                  <w:bCs/>
                  <w:color w:val="auto"/>
                  <w:szCs w:val="28"/>
                  <w:lang w:val="en-US" w:eastAsia="zh-CN"/>
                </w:rPr>
                <w:fldChar w:fldCharType="separate"/>
              </w:r>
              <w:r>
                <w:rPr>
                  <w:rFonts w:hint="eastAsia" w:ascii="黑体" w:hAnsi="黑体" w:eastAsia="黑体" w:cs="黑体"/>
                  <w:bCs w:val="0"/>
                  <w:color w:val="auto"/>
                  <w:kern w:val="2"/>
                  <w:szCs w:val="28"/>
                  <w:lang w:val="en-US" w:eastAsia="zh-CN" w:bidi="ar-SA"/>
                </w:rPr>
                <w:t>三、</w:t>
              </w:r>
              <w:r>
                <w:rPr>
                  <w:rFonts w:hint="eastAsia" w:ascii="黑体" w:hAnsi="黑体" w:eastAsia="黑体" w:cs="黑体"/>
                  <w:bCs w:val="0"/>
                  <w:color w:val="auto"/>
                  <w:szCs w:val="28"/>
                  <w:highlight w:val="none"/>
                  <w:lang w:val="en-US" w:eastAsia="zh-CN"/>
                </w:rPr>
                <w:t>供货范围</w:t>
              </w:r>
              <w:r>
                <w:rPr>
                  <w:color w:val="auto"/>
                </w:rPr>
                <w:tab/>
              </w:r>
              <w:r>
                <w:rPr>
                  <w:color w:val="auto"/>
                </w:rPr>
                <w:fldChar w:fldCharType="begin"/>
              </w:r>
              <w:r>
                <w:rPr>
                  <w:color w:val="auto"/>
                </w:rPr>
                <w:instrText xml:space="preserve"> PAGEREF _Toc16106 \h </w:instrText>
              </w:r>
              <w:r>
                <w:rPr>
                  <w:color w:val="auto"/>
                </w:rPr>
                <w:fldChar w:fldCharType="separate"/>
              </w:r>
              <w:r>
                <w:rPr>
                  <w:color w:val="auto"/>
                </w:rPr>
                <w:t>6</w:t>
              </w:r>
              <w:r>
                <w:rPr>
                  <w:color w:val="auto"/>
                </w:rPr>
                <w:fldChar w:fldCharType="end"/>
              </w:r>
              <w:r>
                <w:rPr>
                  <w:rFonts w:hint="eastAsia" w:asciiTheme="minorEastAsia" w:hAnsiTheme="minorEastAsia" w:eastAsiaTheme="minorEastAsia" w:cstheme="minorEastAsia"/>
                  <w:bCs/>
                  <w:color w:val="auto"/>
                  <w:szCs w:val="28"/>
                  <w:lang w:val="en-US" w:eastAsia="zh-CN"/>
                </w:rPr>
                <w:fldChar w:fldCharType="end"/>
              </w:r>
            </w:p>
            <w:p w14:paraId="4412E842">
              <w:pPr>
                <w:pStyle w:val="14"/>
                <w:tabs>
                  <w:tab w:val="right" w:leader="dot" w:pos="8844"/>
                </w:tabs>
                <w:rPr>
                  <w:color w:val="auto"/>
                </w:rPr>
              </w:pPr>
              <w:r>
                <w:rPr>
                  <w:rFonts w:hint="eastAsia" w:asciiTheme="minorEastAsia" w:hAnsiTheme="minorEastAsia" w:eastAsiaTheme="minorEastAsia" w:cstheme="minorEastAsia"/>
                  <w:bCs/>
                  <w:color w:val="auto"/>
                  <w:szCs w:val="28"/>
                  <w:lang w:val="en-US" w:eastAsia="zh-CN"/>
                </w:rPr>
                <w:fldChar w:fldCharType="begin"/>
              </w:r>
              <w:r>
                <w:rPr>
                  <w:rFonts w:hint="eastAsia" w:asciiTheme="minorEastAsia" w:hAnsiTheme="minorEastAsia" w:eastAsiaTheme="minorEastAsia" w:cstheme="minorEastAsia"/>
                  <w:bCs/>
                  <w:color w:val="auto"/>
                  <w:szCs w:val="28"/>
                  <w:lang w:val="en-US" w:eastAsia="zh-CN"/>
                </w:rPr>
                <w:instrText xml:space="preserve"> HYPERLINK \l _Toc3571 </w:instrText>
              </w:r>
              <w:r>
                <w:rPr>
                  <w:rFonts w:hint="eastAsia" w:asciiTheme="minorEastAsia" w:hAnsiTheme="minorEastAsia" w:eastAsiaTheme="minorEastAsia" w:cstheme="minorEastAsia"/>
                  <w:bCs/>
                  <w:color w:val="auto"/>
                  <w:szCs w:val="28"/>
                  <w:lang w:val="en-US" w:eastAsia="zh-CN"/>
                </w:rPr>
                <w:fldChar w:fldCharType="separate"/>
              </w:r>
              <w:r>
                <w:rPr>
                  <w:rFonts w:hint="eastAsia" w:ascii="黑体" w:hAnsi="黑体" w:eastAsia="黑体" w:cs="黑体"/>
                  <w:bCs w:val="0"/>
                  <w:color w:val="auto"/>
                  <w:kern w:val="2"/>
                  <w:szCs w:val="28"/>
                  <w:lang w:val="en-US" w:eastAsia="zh-CN" w:bidi="ar-SA"/>
                </w:rPr>
                <w:t>四、</w:t>
              </w:r>
              <w:r>
                <w:rPr>
                  <w:rFonts w:hint="eastAsia" w:ascii="黑体" w:hAnsi="黑体" w:eastAsia="黑体" w:cs="黑体"/>
                  <w:bCs w:val="0"/>
                  <w:color w:val="auto"/>
                  <w:szCs w:val="28"/>
                  <w:lang w:val="en-US" w:eastAsia="zh-CN"/>
                </w:rPr>
                <w:t>技术要求及参数</w:t>
              </w:r>
              <w:r>
                <w:rPr>
                  <w:color w:val="auto"/>
                </w:rPr>
                <w:tab/>
              </w:r>
              <w:r>
                <w:rPr>
                  <w:color w:val="auto"/>
                </w:rPr>
                <w:fldChar w:fldCharType="begin"/>
              </w:r>
              <w:r>
                <w:rPr>
                  <w:color w:val="auto"/>
                </w:rPr>
                <w:instrText xml:space="preserve"> PAGEREF _Toc3571 \h </w:instrText>
              </w:r>
              <w:r>
                <w:rPr>
                  <w:color w:val="auto"/>
                </w:rPr>
                <w:fldChar w:fldCharType="separate"/>
              </w:r>
              <w:r>
                <w:rPr>
                  <w:color w:val="auto"/>
                </w:rPr>
                <w:t>7</w:t>
              </w:r>
              <w:r>
                <w:rPr>
                  <w:color w:val="auto"/>
                </w:rPr>
                <w:fldChar w:fldCharType="end"/>
              </w:r>
              <w:r>
                <w:rPr>
                  <w:rFonts w:hint="eastAsia" w:asciiTheme="minorEastAsia" w:hAnsiTheme="minorEastAsia" w:eastAsiaTheme="minorEastAsia" w:cstheme="minorEastAsia"/>
                  <w:bCs/>
                  <w:color w:val="auto"/>
                  <w:szCs w:val="28"/>
                  <w:lang w:val="en-US" w:eastAsia="zh-CN"/>
                </w:rPr>
                <w:fldChar w:fldCharType="end"/>
              </w:r>
            </w:p>
            <w:p w14:paraId="17288352">
              <w:pPr>
                <w:pStyle w:val="14"/>
                <w:tabs>
                  <w:tab w:val="right" w:leader="dot" w:pos="8844"/>
                </w:tabs>
                <w:rPr>
                  <w:color w:val="auto"/>
                </w:rPr>
              </w:pPr>
              <w:r>
                <w:rPr>
                  <w:rFonts w:hint="eastAsia" w:asciiTheme="minorEastAsia" w:hAnsiTheme="minorEastAsia" w:eastAsiaTheme="minorEastAsia" w:cstheme="minorEastAsia"/>
                  <w:bCs/>
                  <w:color w:val="auto"/>
                  <w:szCs w:val="28"/>
                  <w:lang w:val="en-US" w:eastAsia="zh-CN"/>
                </w:rPr>
                <w:fldChar w:fldCharType="begin"/>
              </w:r>
              <w:r>
                <w:rPr>
                  <w:rFonts w:hint="eastAsia" w:asciiTheme="minorEastAsia" w:hAnsiTheme="minorEastAsia" w:eastAsiaTheme="minorEastAsia" w:cstheme="minorEastAsia"/>
                  <w:bCs/>
                  <w:color w:val="auto"/>
                  <w:szCs w:val="28"/>
                  <w:lang w:val="en-US" w:eastAsia="zh-CN"/>
                </w:rPr>
                <w:instrText xml:space="preserve"> HYPERLINK \l _Toc9040 </w:instrText>
              </w:r>
              <w:r>
                <w:rPr>
                  <w:rFonts w:hint="eastAsia" w:asciiTheme="minorEastAsia" w:hAnsiTheme="minorEastAsia" w:eastAsiaTheme="minorEastAsia" w:cstheme="minorEastAsia"/>
                  <w:bCs/>
                  <w:color w:val="auto"/>
                  <w:szCs w:val="28"/>
                  <w:lang w:val="en-US" w:eastAsia="zh-CN"/>
                </w:rPr>
                <w:fldChar w:fldCharType="separate"/>
              </w:r>
              <w:r>
                <w:rPr>
                  <w:rFonts w:hint="eastAsia" w:ascii="黑体" w:hAnsi="黑体" w:eastAsia="黑体" w:cs="黑体"/>
                  <w:bCs w:val="0"/>
                  <w:color w:val="auto"/>
                  <w:kern w:val="2"/>
                  <w:szCs w:val="28"/>
                  <w:highlight w:val="none"/>
                  <w:lang w:val="en-US" w:eastAsia="zh-CN" w:bidi="ar-SA"/>
                </w:rPr>
                <w:t>五、</w:t>
              </w:r>
              <w:r>
                <w:rPr>
                  <w:rFonts w:hint="eastAsia" w:ascii="黑体" w:hAnsi="黑体" w:eastAsia="黑体" w:cs="黑体"/>
                  <w:bCs w:val="0"/>
                  <w:color w:val="auto"/>
                  <w:szCs w:val="28"/>
                  <w:highlight w:val="none"/>
                  <w:lang w:val="en-US" w:eastAsia="zh-CN"/>
                </w:rPr>
                <w:t>售后服务</w:t>
              </w:r>
              <w:r>
                <w:rPr>
                  <w:color w:val="auto"/>
                </w:rPr>
                <w:tab/>
              </w:r>
              <w:r>
                <w:rPr>
                  <w:color w:val="auto"/>
                </w:rPr>
                <w:fldChar w:fldCharType="begin"/>
              </w:r>
              <w:r>
                <w:rPr>
                  <w:color w:val="auto"/>
                </w:rPr>
                <w:instrText xml:space="preserve"> PAGEREF _Toc9040 \h </w:instrText>
              </w:r>
              <w:r>
                <w:rPr>
                  <w:color w:val="auto"/>
                </w:rPr>
                <w:fldChar w:fldCharType="separate"/>
              </w:r>
              <w:r>
                <w:rPr>
                  <w:color w:val="auto"/>
                </w:rPr>
                <w:t>14</w:t>
              </w:r>
              <w:r>
                <w:rPr>
                  <w:color w:val="auto"/>
                </w:rPr>
                <w:fldChar w:fldCharType="end"/>
              </w:r>
              <w:r>
                <w:rPr>
                  <w:rFonts w:hint="eastAsia" w:asciiTheme="minorEastAsia" w:hAnsiTheme="minorEastAsia" w:eastAsiaTheme="minorEastAsia" w:cstheme="minorEastAsia"/>
                  <w:bCs/>
                  <w:color w:val="auto"/>
                  <w:szCs w:val="28"/>
                  <w:lang w:val="en-US" w:eastAsia="zh-CN"/>
                </w:rPr>
                <w:fldChar w:fldCharType="end"/>
              </w:r>
            </w:p>
            <w:p w14:paraId="6A1C2B68">
              <w:pPr>
                <w:pStyle w:val="14"/>
                <w:tabs>
                  <w:tab w:val="right" w:leader="dot" w:pos="8844"/>
                </w:tabs>
                <w:rPr>
                  <w:color w:val="auto"/>
                </w:rPr>
              </w:pPr>
              <w:r>
                <w:rPr>
                  <w:rFonts w:hint="eastAsia" w:asciiTheme="minorEastAsia" w:hAnsiTheme="minorEastAsia" w:eastAsiaTheme="minorEastAsia" w:cstheme="minorEastAsia"/>
                  <w:bCs/>
                  <w:color w:val="auto"/>
                  <w:szCs w:val="28"/>
                  <w:lang w:val="en-US" w:eastAsia="zh-CN"/>
                </w:rPr>
                <w:fldChar w:fldCharType="begin"/>
              </w:r>
              <w:r>
                <w:rPr>
                  <w:rFonts w:hint="eastAsia" w:asciiTheme="minorEastAsia" w:hAnsiTheme="minorEastAsia" w:eastAsiaTheme="minorEastAsia" w:cstheme="minorEastAsia"/>
                  <w:bCs/>
                  <w:color w:val="auto"/>
                  <w:szCs w:val="28"/>
                  <w:lang w:val="en-US" w:eastAsia="zh-CN"/>
                </w:rPr>
                <w:instrText xml:space="preserve"> HYPERLINK \l _Toc26869 </w:instrText>
              </w:r>
              <w:r>
                <w:rPr>
                  <w:rFonts w:hint="eastAsia" w:asciiTheme="minorEastAsia" w:hAnsiTheme="minorEastAsia" w:eastAsiaTheme="minorEastAsia" w:cstheme="minorEastAsia"/>
                  <w:bCs/>
                  <w:color w:val="auto"/>
                  <w:szCs w:val="28"/>
                  <w:lang w:val="en-US" w:eastAsia="zh-CN"/>
                </w:rPr>
                <w:fldChar w:fldCharType="separate"/>
              </w:r>
              <w:r>
                <w:rPr>
                  <w:rFonts w:hint="eastAsia" w:ascii="黑体" w:hAnsi="黑体" w:eastAsia="黑体" w:cs="黑体"/>
                  <w:bCs w:val="0"/>
                  <w:color w:val="auto"/>
                  <w:kern w:val="2"/>
                  <w:szCs w:val="28"/>
                  <w:lang w:val="en-US" w:eastAsia="zh-CN" w:bidi="ar-SA"/>
                </w:rPr>
                <w:t>六、交货时间及地点</w:t>
              </w:r>
              <w:r>
                <w:rPr>
                  <w:color w:val="auto"/>
                </w:rPr>
                <w:tab/>
              </w:r>
              <w:r>
                <w:rPr>
                  <w:color w:val="auto"/>
                </w:rPr>
                <w:fldChar w:fldCharType="begin"/>
              </w:r>
              <w:r>
                <w:rPr>
                  <w:color w:val="auto"/>
                </w:rPr>
                <w:instrText xml:space="preserve"> PAGEREF _Toc26869 \h </w:instrText>
              </w:r>
              <w:r>
                <w:rPr>
                  <w:color w:val="auto"/>
                </w:rPr>
                <w:fldChar w:fldCharType="separate"/>
              </w:r>
              <w:r>
                <w:rPr>
                  <w:color w:val="auto"/>
                </w:rPr>
                <w:t>16</w:t>
              </w:r>
              <w:r>
                <w:rPr>
                  <w:color w:val="auto"/>
                </w:rPr>
                <w:fldChar w:fldCharType="end"/>
              </w:r>
              <w:r>
                <w:rPr>
                  <w:rFonts w:hint="eastAsia" w:asciiTheme="minorEastAsia" w:hAnsiTheme="minorEastAsia" w:eastAsiaTheme="minorEastAsia" w:cstheme="minorEastAsia"/>
                  <w:bCs/>
                  <w:color w:val="auto"/>
                  <w:szCs w:val="28"/>
                  <w:lang w:val="en-US" w:eastAsia="zh-CN"/>
                </w:rPr>
                <w:fldChar w:fldCharType="end"/>
              </w:r>
            </w:p>
            <w:p w14:paraId="7348186C">
              <w:pPr>
                <w:pStyle w:val="14"/>
                <w:tabs>
                  <w:tab w:val="right" w:leader="dot" w:pos="8844"/>
                </w:tabs>
                <w:rPr>
                  <w:color w:val="auto"/>
                </w:rPr>
              </w:pPr>
              <w:r>
                <w:rPr>
                  <w:rFonts w:hint="eastAsia" w:asciiTheme="minorEastAsia" w:hAnsiTheme="minorEastAsia" w:eastAsiaTheme="minorEastAsia" w:cstheme="minorEastAsia"/>
                  <w:bCs/>
                  <w:color w:val="auto"/>
                  <w:szCs w:val="28"/>
                  <w:lang w:val="en-US" w:eastAsia="zh-CN"/>
                </w:rPr>
                <w:fldChar w:fldCharType="begin"/>
              </w:r>
              <w:r>
                <w:rPr>
                  <w:rFonts w:hint="eastAsia" w:asciiTheme="minorEastAsia" w:hAnsiTheme="minorEastAsia" w:eastAsiaTheme="minorEastAsia" w:cstheme="minorEastAsia"/>
                  <w:bCs/>
                  <w:color w:val="auto"/>
                  <w:szCs w:val="28"/>
                  <w:lang w:val="en-US" w:eastAsia="zh-CN"/>
                </w:rPr>
                <w:instrText xml:space="preserve"> HYPERLINK \l _Toc11422 </w:instrText>
              </w:r>
              <w:r>
                <w:rPr>
                  <w:rFonts w:hint="eastAsia" w:asciiTheme="minorEastAsia" w:hAnsiTheme="minorEastAsia" w:eastAsiaTheme="minorEastAsia" w:cstheme="minorEastAsia"/>
                  <w:bCs/>
                  <w:color w:val="auto"/>
                  <w:szCs w:val="28"/>
                  <w:lang w:val="en-US" w:eastAsia="zh-CN"/>
                </w:rPr>
                <w:fldChar w:fldCharType="separate"/>
              </w:r>
              <w:r>
                <w:rPr>
                  <w:rFonts w:hint="eastAsia" w:ascii="黑体" w:hAnsi="黑体" w:eastAsia="黑体" w:cs="黑体"/>
                  <w:bCs w:val="0"/>
                  <w:color w:val="auto"/>
                  <w:kern w:val="2"/>
                  <w:szCs w:val="28"/>
                  <w:lang w:val="en-US" w:eastAsia="zh-CN" w:bidi="ar-SA"/>
                </w:rPr>
                <w:t>七、技术资料</w:t>
              </w:r>
              <w:r>
                <w:rPr>
                  <w:color w:val="auto"/>
                </w:rPr>
                <w:tab/>
              </w:r>
              <w:r>
                <w:rPr>
                  <w:color w:val="auto"/>
                </w:rPr>
                <w:fldChar w:fldCharType="begin"/>
              </w:r>
              <w:r>
                <w:rPr>
                  <w:color w:val="auto"/>
                </w:rPr>
                <w:instrText xml:space="preserve"> PAGEREF _Toc11422 \h </w:instrText>
              </w:r>
              <w:r>
                <w:rPr>
                  <w:color w:val="auto"/>
                </w:rPr>
                <w:fldChar w:fldCharType="separate"/>
              </w:r>
              <w:r>
                <w:rPr>
                  <w:color w:val="auto"/>
                </w:rPr>
                <w:t>16</w:t>
              </w:r>
              <w:r>
                <w:rPr>
                  <w:color w:val="auto"/>
                </w:rPr>
                <w:fldChar w:fldCharType="end"/>
              </w:r>
              <w:r>
                <w:rPr>
                  <w:rFonts w:hint="eastAsia" w:asciiTheme="minorEastAsia" w:hAnsiTheme="minorEastAsia" w:eastAsiaTheme="minorEastAsia" w:cstheme="minorEastAsia"/>
                  <w:bCs/>
                  <w:color w:val="auto"/>
                  <w:szCs w:val="28"/>
                  <w:lang w:val="en-US" w:eastAsia="zh-CN"/>
                </w:rPr>
                <w:fldChar w:fldCharType="end"/>
              </w:r>
            </w:p>
            <w:p w14:paraId="2D274129">
              <w:pPr>
                <w:pStyle w:val="14"/>
                <w:tabs>
                  <w:tab w:val="right" w:leader="dot" w:pos="8844"/>
                </w:tabs>
                <w:rPr>
                  <w:color w:val="auto"/>
                </w:rPr>
              </w:pPr>
              <w:r>
                <w:rPr>
                  <w:rFonts w:hint="eastAsia" w:asciiTheme="minorEastAsia" w:hAnsiTheme="minorEastAsia" w:eastAsiaTheme="minorEastAsia" w:cstheme="minorEastAsia"/>
                  <w:bCs/>
                  <w:color w:val="auto"/>
                  <w:szCs w:val="28"/>
                  <w:lang w:val="en-US" w:eastAsia="zh-CN"/>
                </w:rPr>
                <w:fldChar w:fldCharType="begin"/>
              </w:r>
              <w:r>
                <w:rPr>
                  <w:rFonts w:hint="eastAsia" w:asciiTheme="minorEastAsia" w:hAnsiTheme="minorEastAsia" w:eastAsiaTheme="minorEastAsia" w:cstheme="minorEastAsia"/>
                  <w:bCs/>
                  <w:color w:val="auto"/>
                  <w:szCs w:val="28"/>
                  <w:lang w:val="en-US" w:eastAsia="zh-CN"/>
                </w:rPr>
                <w:instrText xml:space="preserve"> HYPERLINK \l _Toc23040 </w:instrText>
              </w:r>
              <w:r>
                <w:rPr>
                  <w:rFonts w:hint="eastAsia" w:asciiTheme="minorEastAsia" w:hAnsiTheme="minorEastAsia" w:eastAsiaTheme="minorEastAsia" w:cstheme="minorEastAsia"/>
                  <w:bCs/>
                  <w:color w:val="auto"/>
                  <w:szCs w:val="28"/>
                  <w:lang w:val="en-US" w:eastAsia="zh-CN"/>
                </w:rPr>
                <w:fldChar w:fldCharType="separate"/>
              </w:r>
              <w:r>
                <w:rPr>
                  <w:rFonts w:hint="eastAsia" w:ascii="黑体" w:hAnsi="黑体" w:eastAsia="黑体" w:cs="黑体"/>
                  <w:bCs w:val="0"/>
                  <w:color w:val="auto"/>
                  <w:kern w:val="2"/>
                  <w:szCs w:val="28"/>
                  <w:lang w:val="en-US" w:eastAsia="zh-CN" w:bidi="ar-SA"/>
                </w:rPr>
                <w:t>八、服务和联络</w:t>
              </w:r>
              <w:r>
                <w:rPr>
                  <w:color w:val="auto"/>
                </w:rPr>
                <w:tab/>
              </w:r>
              <w:r>
                <w:rPr>
                  <w:color w:val="auto"/>
                </w:rPr>
                <w:fldChar w:fldCharType="begin"/>
              </w:r>
              <w:r>
                <w:rPr>
                  <w:color w:val="auto"/>
                </w:rPr>
                <w:instrText xml:space="preserve"> PAGEREF _Toc23040 \h </w:instrText>
              </w:r>
              <w:r>
                <w:rPr>
                  <w:color w:val="auto"/>
                </w:rPr>
                <w:fldChar w:fldCharType="separate"/>
              </w:r>
              <w:r>
                <w:rPr>
                  <w:color w:val="auto"/>
                </w:rPr>
                <w:t>19</w:t>
              </w:r>
              <w:r>
                <w:rPr>
                  <w:color w:val="auto"/>
                </w:rPr>
                <w:fldChar w:fldCharType="end"/>
              </w:r>
              <w:r>
                <w:rPr>
                  <w:rFonts w:hint="eastAsia" w:asciiTheme="minorEastAsia" w:hAnsiTheme="minorEastAsia" w:eastAsiaTheme="minorEastAsia" w:cstheme="minorEastAsia"/>
                  <w:bCs/>
                  <w:color w:val="auto"/>
                  <w:szCs w:val="28"/>
                  <w:lang w:val="en-US" w:eastAsia="zh-CN"/>
                </w:rPr>
                <w:fldChar w:fldCharType="end"/>
              </w:r>
            </w:p>
            <w:p w14:paraId="5F25BC98">
              <w:pPr>
                <w:pStyle w:val="14"/>
                <w:tabs>
                  <w:tab w:val="right" w:leader="dot" w:pos="8844"/>
                </w:tabs>
                <w:rPr>
                  <w:color w:val="auto"/>
                </w:rPr>
              </w:pPr>
              <w:r>
                <w:rPr>
                  <w:rFonts w:hint="eastAsia" w:asciiTheme="minorEastAsia" w:hAnsiTheme="minorEastAsia" w:eastAsiaTheme="minorEastAsia" w:cstheme="minorEastAsia"/>
                  <w:bCs/>
                  <w:color w:val="auto"/>
                  <w:szCs w:val="28"/>
                  <w:lang w:val="en-US" w:eastAsia="zh-CN"/>
                </w:rPr>
                <w:fldChar w:fldCharType="begin"/>
              </w:r>
              <w:r>
                <w:rPr>
                  <w:rFonts w:hint="eastAsia" w:asciiTheme="minorEastAsia" w:hAnsiTheme="minorEastAsia" w:eastAsiaTheme="minorEastAsia" w:cstheme="minorEastAsia"/>
                  <w:bCs/>
                  <w:color w:val="auto"/>
                  <w:szCs w:val="28"/>
                  <w:lang w:val="en-US" w:eastAsia="zh-CN"/>
                </w:rPr>
                <w:instrText xml:space="preserve"> HYPERLINK \l _Toc21514 </w:instrText>
              </w:r>
              <w:r>
                <w:rPr>
                  <w:rFonts w:hint="eastAsia" w:asciiTheme="minorEastAsia" w:hAnsiTheme="minorEastAsia" w:eastAsiaTheme="minorEastAsia" w:cstheme="minorEastAsia"/>
                  <w:bCs/>
                  <w:color w:val="auto"/>
                  <w:szCs w:val="28"/>
                  <w:lang w:val="en-US" w:eastAsia="zh-CN"/>
                </w:rPr>
                <w:fldChar w:fldCharType="separate"/>
              </w:r>
              <w:r>
                <w:rPr>
                  <w:rFonts w:hint="eastAsia" w:ascii="黑体" w:hAnsi="黑体" w:eastAsia="黑体" w:cs="黑体"/>
                  <w:bCs w:val="0"/>
                  <w:color w:val="auto"/>
                  <w:kern w:val="2"/>
                  <w:szCs w:val="28"/>
                  <w:lang w:val="en-US" w:eastAsia="zh-CN" w:bidi="ar-SA"/>
                </w:rPr>
                <w:t>九、其它</w:t>
              </w:r>
              <w:r>
                <w:rPr>
                  <w:color w:val="auto"/>
                </w:rPr>
                <w:tab/>
              </w:r>
              <w:r>
                <w:rPr>
                  <w:color w:val="auto"/>
                </w:rPr>
                <w:fldChar w:fldCharType="begin"/>
              </w:r>
              <w:r>
                <w:rPr>
                  <w:color w:val="auto"/>
                </w:rPr>
                <w:instrText xml:space="preserve"> PAGEREF _Toc21514 \h </w:instrText>
              </w:r>
              <w:r>
                <w:rPr>
                  <w:color w:val="auto"/>
                </w:rPr>
                <w:fldChar w:fldCharType="separate"/>
              </w:r>
              <w:r>
                <w:rPr>
                  <w:color w:val="auto"/>
                </w:rPr>
                <w:t>20</w:t>
              </w:r>
              <w:r>
                <w:rPr>
                  <w:color w:val="auto"/>
                </w:rPr>
                <w:fldChar w:fldCharType="end"/>
              </w:r>
              <w:r>
                <w:rPr>
                  <w:rFonts w:hint="eastAsia" w:asciiTheme="minorEastAsia" w:hAnsiTheme="minorEastAsia" w:eastAsiaTheme="minorEastAsia" w:cstheme="minorEastAsia"/>
                  <w:bCs/>
                  <w:color w:val="auto"/>
                  <w:szCs w:val="28"/>
                  <w:lang w:val="en-US" w:eastAsia="zh-CN"/>
                </w:rPr>
                <w:fldChar w:fldCharType="end"/>
              </w:r>
            </w:p>
            <w:p w14:paraId="3F720B77">
              <w:pPr>
                <w:keepNext w:val="0"/>
                <w:keepLines w:val="0"/>
                <w:pageBreakBefore w:val="0"/>
                <w:widowControl w:val="0"/>
                <w:numPr>
                  <w:ilvl w:val="0"/>
                  <w:numId w:val="0"/>
                </w:numPr>
                <w:tabs>
                  <w:tab w:val="left" w:pos="0"/>
                  <w:tab w:val="left" w:pos="540"/>
                  <w:tab w:val="left" w:pos="720"/>
                </w:tabs>
                <w:kinsoku/>
                <w:wordWrap/>
                <w:overflowPunct/>
                <w:topLinePunct w:val="0"/>
                <w:autoSpaceDE/>
                <w:autoSpaceDN/>
                <w:bidi w:val="0"/>
                <w:adjustRightInd w:val="0"/>
                <w:snapToGrid w:val="0"/>
                <w:spacing w:line="360" w:lineRule="exact"/>
                <w:jc w:val="both"/>
                <w:textAlignment w:val="auto"/>
                <w:outlineLvl w:val="9"/>
                <w:rPr>
                  <w:color w:val="auto"/>
                </w:rPr>
              </w:pPr>
              <w:r>
                <w:rPr>
                  <w:rFonts w:hint="eastAsia" w:asciiTheme="minorEastAsia" w:hAnsiTheme="minorEastAsia" w:eastAsiaTheme="minorEastAsia" w:cstheme="minorEastAsia"/>
                  <w:bCs/>
                  <w:color w:val="auto"/>
                  <w:szCs w:val="28"/>
                  <w:lang w:val="en-US" w:eastAsia="zh-CN"/>
                </w:rPr>
                <w:fldChar w:fldCharType="end"/>
              </w:r>
            </w:p>
          </w:sdtContent>
        </w:sdt>
      </w:sdtContent>
    </w:sdt>
    <w:p w14:paraId="49463B6A">
      <w:pPr>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br w:type="page"/>
      </w:r>
    </w:p>
    <w:p w14:paraId="44A70E5C">
      <w:pPr>
        <w:keepNext w:val="0"/>
        <w:keepLines w:val="0"/>
        <w:pageBreakBefore w:val="0"/>
        <w:numPr>
          <w:ilvl w:val="0"/>
          <w:numId w:val="0"/>
        </w:numPr>
        <w:tabs>
          <w:tab w:val="left" w:pos="0"/>
          <w:tab w:val="left" w:pos="540"/>
          <w:tab w:val="left" w:pos="720"/>
        </w:tabs>
        <w:kinsoku/>
        <w:wordWrap/>
        <w:overflowPunct/>
        <w:topLinePunct w:val="0"/>
        <w:bidi w:val="0"/>
        <w:adjustRightInd w:val="0"/>
        <w:snapToGrid w:val="0"/>
        <w:spacing w:line="500" w:lineRule="exact"/>
        <w:ind w:firstLine="480" w:firstLineChars="200"/>
        <w:textAlignment w:val="auto"/>
        <w:outlineLvl w:val="0"/>
        <w:rPr>
          <w:rFonts w:hint="eastAsia" w:ascii="黑体" w:hAnsi="黑体" w:eastAsia="黑体" w:cs="黑体"/>
          <w:b w:val="0"/>
          <w:bCs w:val="0"/>
          <w:color w:val="auto"/>
          <w:kern w:val="2"/>
          <w:sz w:val="24"/>
          <w:szCs w:val="24"/>
          <w:lang w:val="en-US" w:eastAsia="zh-CN" w:bidi="ar-SA"/>
        </w:rPr>
      </w:pPr>
      <w:bookmarkStart w:id="1" w:name="_Toc10615"/>
      <w:bookmarkStart w:id="2" w:name="_Toc246866078"/>
      <w:bookmarkStart w:id="3" w:name="_Toc25965"/>
      <w:bookmarkStart w:id="4" w:name="_Toc248338975"/>
      <w:bookmarkStart w:id="5" w:name="_Toc248054545"/>
      <w:bookmarkStart w:id="6" w:name="_Toc22249"/>
      <w:r>
        <w:rPr>
          <w:rFonts w:hint="eastAsia" w:ascii="黑体" w:hAnsi="黑体" w:eastAsia="黑体" w:cs="黑体"/>
          <w:b w:val="0"/>
          <w:bCs w:val="0"/>
          <w:color w:val="auto"/>
          <w:kern w:val="2"/>
          <w:sz w:val="24"/>
          <w:szCs w:val="24"/>
          <w:lang w:val="en-US" w:eastAsia="zh-CN" w:bidi="ar-SA"/>
        </w:rPr>
        <w:t>一、总则</w:t>
      </w:r>
      <w:bookmarkEnd w:id="1"/>
    </w:p>
    <w:p w14:paraId="1D2472E4">
      <w:pPr>
        <w:pStyle w:val="30"/>
        <w:keepNext w:val="0"/>
        <w:keepLines w:val="0"/>
        <w:pageBreakBefore w:val="0"/>
        <w:widowControl/>
        <w:kinsoku/>
        <w:wordWrap/>
        <w:overflowPunct/>
        <w:topLinePunct/>
        <w:autoSpaceDE/>
        <w:autoSpaceDN/>
        <w:bidi w:val="0"/>
        <w:adjustRightInd/>
        <w:snapToGrid/>
        <w:spacing w:line="500" w:lineRule="exact"/>
        <w:ind w:firstLine="480" w:firstLineChars="200"/>
        <w:textAlignment w:val="auto"/>
        <w:outlineLvl w:val="1"/>
        <w:rPr>
          <w:rFonts w:hint="eastAsia" w:ascii="仿宋_GB2312" w:hAnsi="仿宋_GB2312" w:eastAsia="仿宋_GB2312" w:cs="仿宋_GB2312"/>
          <w:color w:val="auto"/>
          <w:kern w:val="21"/>
          <w:sz w:val="24"/>
          <w:szCs w:val="24"/>
        </w:rPr>
      </w:pPr>
      <w:bookmarkStart w:id="7" w:name="_Toc3073"/>
      <w:r>
        <w:rPr>
          <w:rFonts w:hint="eastAsia" w:ascii="仿宋_GB2312" w:hAnsi="仿宋_GB2312" w:eastAsia="仿宋_GB2312" w:cs="仿宋_GB2312"/>
          <w:color w:val="auto"/>
          <w:kern w:val="21"/>
          <w:sz w:val="24"/>
          <w:szCs w:val="24"/>
          <w:lang w:val="en-US" w:eastAsia="zh-CN"/>
        </w:rPr>
        <w:t>1.1</w:t>
      </w:r>
      <w:r>
        <w:rPr>
          <w:rFonts w:hint="eastAsia" w:ascii="仿宋_GB2312" w:hAnsi="仿宋_GB2312" w:eastAsia="仿宋_GB2312" w:cs="仿宋_GB2312"/>
          <w:color w:val="auto"/>
          <w:kern w:val="21"/>
          <w:sz w:val="24"/>
          <w:szCs w:val="24"/>
        </w:rPr>
        <w:t>一般规定</w:t>
      </w:r>
      <w:bookmarkEnd w:id="2"/>
      <w:bookmarkEnd w:id="3"/>
      <w:bookmarkEnd w:id="4"/>
      <w:bookmarkEnd w:id="5"/>
      <w:bookmarkEnd w:id="6"/>
      <w:bookmarkEnd w:id="7"/>
    </w:p>
    <w:p w14:paraId="2B6BF58A">
      <w:pPr>
        <w:pStyle w:val="24"/>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hint="eastAsia" w:ascii="仿宋_GB2312" w:hAnsi="仿宋_GB2312" w:eastAsia="仿宋_GB2312" w:cs="仿宋_GB2312"/>
          <w:color w:val="auto"/>
          <w:kern w:val="21"/>
          <w:sz w:val="24"/>
          <w:szCs w:val="24"/>
          <w:lang w:eastAsia="zh-CN"/>
        </w:rPr>
      </w:pPr>
      <w:r>
        <w:rPr>
          <w:rFonts w:hint="eastAsia" w:ascii="仿宋_GB2312" w:hAnsi="仿宋_GB2312" w:eastAsia="仿宋_GB2312" w:cs="仿宋_GB2312"/>
          <w:color w:val="auto"/>
          <w:kern w:val="21"/>
          <w:sz w:val="24"/>
          <w:szCs w:val="24"/>
          <w:lang w:val="en-US" w:eastAsia="zh-CN"/>
        </w:rPr>
        <w:t>1.1.1</w:t>
      </w:r>
      <w:r>
        <w:rPr>
          <w:rFonts w:hint="eastAsia" w:ascii="仿宋_GB2312" w:hAnsi="仿宋_GB2312" w:eastAsia="仿宋_GB2312" w:cs="仿宋_GB2312"/>
          <w:color w:val="auto"/>
          <w:kern w:val="21"/>
          <w:sz w:val="24"/>
          <w:szCs w:val="24"/>
          <w:lang w:eastAsia="zh-CN"/>
        </w:rPr>
        <w:t>本技术规格书属于本项目，文件提出了对</w:t>
      </w:r>
      <w:bookmarkStart w:id="8" w:name="OLE_LINK8"/>
      <w:r>
        <w:rPr>
          <w:rFonts w:hint="eastAsia" w:ascii="仿宋_GB2312" w:hAnsi="仿宋_GB2312" w:eastAsia="仿宋_GB2312" w:cs="仿宋_GB2312"/>
          <w:color w:val="auto"/>
          <w:kern w:val="21"/>
          <w:sz w:val="24"/>
          <w:szCs w:val="24"/>
          <w:lang w:val="en-US" w:eastAsia="zh-CN"/>
        </w:rPr>
        <w:t>选矿</w:t>
      </w:r>
      <w:r>
        <w:rPr>
          <w:rFonts w:hint="default" w:ascii="仿宋_GB2312" w:hAnsi="仿宋_GB2312" w:eastAsia="仿宋_GB2312" w:cs="仿宋_GB2312"/>
          <w:color w:val="auto"/>
          <w:kern w:val="21"/>
          <w:sz w:val="24"/>
          <w:szCs w:val="24"/>
          <w:lang w:val="en-US" w:eastAsia="zh-CN"/>
        </w:rPr>
        <w:t>扩大试验</w:t>
      </w:r>
      <w:r>
        <w:rPr>
          <w:rFonts w:hint="eastAsia" w:ascii="仿宋_GB2312" w:hAnsi="仿宋_GB2312" w:eastAsia="仿宋_GB2312" w:cs="仿宋_GB2312"/>
          <w:color w:val="auto"/>
          <w:kern w:val="21"/>
          <w:sz w:val="24"/>
          <w:szCs w:val="24"/>
          <w:lang w:val="en-US" w:eastAsia="zh-CN"/>
        </w:rPr>
        <w:t>球磨分级给矿成套设备</w:t>
      </w:r>
      <w:bookmarkEnd w:id="8"/>
      <w:r>
        <w:rPr>
          <w:rFonts w:hint="eastAsia" w:ascii="仿宋_GB2312" w:hAnsi="仿宋_GB2312" w:eastAsia="仿宋_GB2312" w:cs="仿宋_GB2312"/>
          <w:color w:val="auto"/>
          <w:kern w:val="21"/>
          <w:sz w:val="24"/>
          <w:szCs w:val="24"/>
          <w:lang w:val="en-US" w:eastAsia="zh-CN"/>
        </w:rPr>
        <w:t>及钢球</w:t>
      </w:r>
      <w:r>
        <w:rPr>
          <w:rFonts w:hint="eastAsia" w:ascii="仿宋_GB2312" w:hAnsi="仿宋_GB2312" w:eastAsia="仿宋_GB2312" w:cs="仿宋_GB2312"/>
          <w:color w:val="auto"/>
          <w:kern w:val="21"/>
          <w:sz w:val="24"/>
          <w:szCs w:val="24"/>
          <w:lang w:eastAsia="zh-CN"/>
        </w:rPr>
        <w:t>功能设计、结构、性能、安装等方面的技术要求。</w:t>
      </w:r>
    </w:p>
    <w:p w14:paraId="363E5A36">
      <w:pPr>
        <w:pStyle w:val="24"/>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hint="eastAsia" w:ascii="仿宋_GB2312" w:hAnsi="仿宋_GB2312" w:eastAsia="仿宋_GB2312" w:cs="仿宋_GB2312"/>
          <w:color w:val="auto"/>
          <w:kern w:val="21"/>
          <w:sz w:val="24"/>
          <w:szCs w:val="24"/>
          <w:lang w:eastAsia="zh-CN"/>
        </w:rPr>
      </w:pPr>
      <w:r>
        <w:rPr>
          <w:rFonts w:hint="eastAsia" w:ascii="仿宋_GB2312" w:hAnsi="仿宋_GB2312" w:eastAsia="仿宋_GB2312" w:cs="仿宋_GB2312"/>
          <w:color w:val="auto"/>
          <w:kern w:val="21"/>
          <w:sz w:val="24"/>
          <w:szCs w:val="24"/>
          <w:lang w:val="en-US" w:eastAsia="zh-CN"/>
        </w:rPr>
        <w:t>1.1.</w:t>
      </w:r>
      <w:r>
        <w:rPr>
          <w:rFonts w:hint="eastAsia" w:ascii="仿宋_GB2312" w:hAnsi="仿宋_GB2312" w:eastAsia="仿宋_GB2312" w:cs="仿宋_GB2312"/>
          <w:color w:val="auto"/>
          <w:kern w:val="21"/>
          <w:sz w:val="24"/>
          <w:szCs w:val="24"/>
          <w:lang w:eastAsia="zh-CN"/>
        </w:rPr>
        <w:t>2 本技术规格书提出的是最低限度的要求，并未对一切技术细节作出规定，也未充分引述有关标准和规范的条文，乙方应提供符合本规范和工业标准的优质产品。</w:t>
      </w:r>
    </w:p>
    <w:p w14:paraId="34845F52">
      <w:pPr>
        <w:pStyle w:val="24"/>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hint="eastAsia" w:ascii="仿宋_GB2312" w:hAnsi="仿宋_GB2312" w:eastAsia="仿宋_GB2312" w:cs="仿宋_GB2312"/>
          <w:bCs/>
          <w:color w:val="auto"/>
          <w:kern w:val="21"/>
          <w:sz w:val="24"/>
          <w:szCs w:val="24"/>
          <w:lang w:val="en-US" w:eastAsia="zh-CN"/>
        </w:rPr>
      </w:pPr>
      <w:r>
        <w:rPr>
          <w:rFonts w:hint="eastAsia" w:ascii="仿宋_GB2312" w:hAnsi="仿宋_GB2312" w:eastAsia="仿宋_GB2312" w:cs="仿宋_GB2312"/>
          <w:color w:val="auto"/>
          <w:kern w:val="21"/>
          <w:sz w:val="24"/>
          <w:szCs w:val="24"/>
          <w:lang w:val="en-US" w:eastAsia="zh-CN"/>
        </w:rPr>
        <w:t>1.1.3</w:t>
      </w:r>
      <w:bookmarkStart w:id="9" w:name="OLE_LINK2"/>
      <w:r>
        <w:rPr>
          <w:rFonts w:hint="eastAsia" w:ascii="仿宋_GB2312" w:hAnsi="仿宋_GB2312" w:eastAsia="仿宋_GB2312" w:cs="仿宋_GB2312"/>
          <w:color w:val="auto"/>
          <w:kern w:val="21"/>
          <w:sz w:val="24"/>
          <w:szCs w:val="24"/>
          <w:lang w:val="en-US" w:eastAsia="zh-CN"/>
        </w:rPr>
        <w:t>湿式溢流型</w:t>
      </w:r>
      <w:bookmarkEnd w:id="9"/>
      <w:bookmarkStart w:id="10" w:name="OLE_LINK1"/>
      <w:r>
        <w:rPr>
          <w:rFonts w:hint="eastAsia" w:ascii="仿宋_GB2312" w:hAnsi="仿宋_GB2312" w:eastAsia="仿宋_GB2312" w:cs="仿宋_GB2312"/>
          <w:color w:val="auto"/>
          <w:kern w:val="21"/>
          <w:sz w:val="24"/>
          <w:szCs w:val="24"/>
          <w:lang w:val="en-US" w:eastAsia="zh-CN"/>
        </w:rPr>
        <w:t>Φ600mm×1200mm球磨机</w:t>
      </w:r>
      <w:bookmarkEnd w:id="10"/>
      <w:r>
        <w:rPr>
          <w:rFonts w:hint="eastAsia" w:ascii="仿宋_GB2312" w:hAnsi="仿宋_GB2312" w:eastAsia="仿宋_GB2312" w:cs="仿宋_GB2312"/>
          <w:color w:val="auto"/>
          <w:kern w:val="21"/>
          <w:sz w:val="24"/>
          <w:szCs w:val="24"/>
          <w:lang w:val="en-US" w:eastAsia="zh-CN"/>
        </w:rPr>
        <w:t>（</w:t>
      </w:r>
      <w:bookmarkStart w:id="11" w:name="OLE_LINK5"/>
      <w:r>
        <w:rPr>
          <w:rFonts w:hint="eastAsia" w:ascii="仿宋_GB2312" w:hAnsi="仿宋_GB2312" w:eastAsia="仿宋_GB2312" w:cs="仿宋_GB2312"/>
          <w:color w:val="auto"/>
          <w:kern w:val="21"/>
          <w:sz w:val="24"/>
          <w:szCs w:val="24"/>
          <w:lang w:val="en-US" w:eastAsia="zh-CN"/>
        </w:rPr>
        <w:t>带初装球</w:t>
      </w:r>
      <w:bookmarkEnd w:id="11"/>
      <w:r>
        <w:rPr>
          <w:rFonts w:hint="eastAsia" w:ascii="仿宋_GB2312" w:hAnsi="仿宋_GB2312" w:eastAsia="仿宋_GB2312" w:cs="仿宋_GB2312"/>
          <w:color w:val="auto"/>
          <w:kern w:val="21"/>
          <w:sz w:val="24"/>
          <w:szCs w:val="24"/>
          <w:lang w:val="en-US" w:eastAsia="zh-CN"/>
        </w:rPr>
        <w:t>）</w:t>
      </w:r>
      <w:bookmarkStart w:id="12" w:name="OLE_LINK4"/>
      <w:r>
        <w:rPr>
          <w:rFonts w:hint="eastAsia" w:ascii="仿宋_GB2312" w:hAnsi="仿宋_GB2312" w:eastAsia="仿宋_GB2312" w:cs="仿宋_GB2312"/>
          <w:color w:val="auto"/>
          <w:kern w:val="21"/>
          <w:sz w:val="24"/>
          <w:szCs w:val="24"/>
          <w:lang w:val="en-US" w:eastAsia="zh-CN"/>
        </w:rPr>
        <w:t>+螺旋分级机+摆式给矿机</w:t>
      </w:r>
      <w:bookmarkStart w:id="13" w:name="OLE_LINK3"/>
      <w:r>
        <w:rPr>
          <w:rFonts w:hint="eastAsia" w:ascii="仿宋_GB2312" w:hAnsi="仿宋_GB2312" w:eastAsia="仿宋_GB2312" w:cs="仿宋_GB2312"/>
          <w:color w:val="auto"/>
          <w:kern w:val="21"/>
          <w:sz w:val="24"/>
          <w:szCs w:val="24"/>
          <w:lang w:val="en-US" w:eastAsia="zh-CN"/>
        </w:rPr>
        <w:t>成套设备</w:t>
      </w:r>
      <w:bookmarkEnd w:id="12"/>
      <w:bookmarkEnd w:id="13"/>
      <w:r>
        <w:rPr>
          <w:rFonts w:hint="eastAsia" w:ascii="仿宋_GB2312" w:hAnsi="仿宋_GB2312" w:eastAsia="仿宋_GB2312" w:cs="仿宋_GB2312"/>
          <w:bCs/>
          <w:color w:val="auto"/>
          <w:kern w:val="21"/>
          <w:sz w:val="24"/>
          <w:szCs w:val="24"/>
          <w:lang w:val="en-US" w:eastAsia="zh-CN"/>
        </w:rPr>
        <w:t>要求投标产品必须是设计成熟、同类产品在国内外投运三年以上经过市场考验的产品，</w:t>
      </w:r>
      <w:r>
        <w:rPr>
          <w:rFonts w:hint="eastAsia" w:ascii="仿宋_GB2312" w:hAnsi="仿宋_GB2312" w:eastAsia="仿宋_GB2312" w:cs="仿宋_GB2312"/>
          <w:color w:val="auto"/>
          <w:kern w:val="21"/>
          <w:sz w:val="24"/>
          <w:szCs w:val="24"/>
          <w:lang w:val="en-US" w:eastAsia="zh-CN"/>
        </w:rPr>
        <w:t>乙方提供的设备必须具有国内同行业近几年内的先进制造水平，采用先进工艺，合格材料，成熟的技术或专利技术。</w:t>
      </w:r>
    </w:p>
    <w:p w14:paraId="23DEA477">
      <w:pPr>
        <w:keepNext w:val="0"/>
        <w:keepLines w:val="0"/>
        <w:pageBreakBefore w:val="0"/>
        <w:widowControl w:val="0"/>
        <w:kinsoku/>
        <w:wordWrap/>
        <w:overflowPunct/>
        <w:topLinePunct/>
        <w:autoSpaceDE/>
        <w:autoSpaceDN/>
        <w:bidi w:val="0"/>
        <w:adjustRightInd/>
        <w:snapToGrid/>
        <w:spacing w:line="500" w:lineRule="exact"/>
        <w:ind w:right="0" w:firstLine="480" w:firstLineChars="200"/>
        <w:jc w:val="left"/>
        <w:textAlignment w:val="auto"/>
        <w:rPr>
          <w:rFonts w:hint="eastAsia" w:ascii="仿宋_GB2312" w:hAnsi="仿宋_GB2312" w:eastAsia="仿宋_GB2312" w:cs="仿宋_GB2312"/>
          <w:bCs/>
          <w:color w:val="auto"/>
          <w:kern w:val="21"/>
          <w:sz w:val="24"/>
          <w:szCs w:val="24"/>
          <w:lang w:val="en-US" w:eastAsia="zh-CN" w:bidi="ar-SA"/>
        </w:rPr>
      </w:pPr>
      <w:r>
        <w:rPr>
          <w:rFonts w:hint="eastAsia" w:ascii="仿宋_GB2312" w:hAnsi="仿宋_GB2312" w:eastAsia="仿宋_GB2312" w:cs="仿宋_GB2312"/>
          <w:color w:val="auto"/>
          <w:kern w:val="21"/>
          <w:sz w:val="24"/>
          <w:szCs w:val="24"/>
          <w:lang w:val="en-US" w:eastAsia="zh-CN"/>
        </w:rPr>
        <w:t>1.1.4湿式溢流型Φ600mm×1200mm球磨机及成套设备的</w:t>
      </w:r>
      <w:r>
        <w:rPr>
          <w:rFonts w:hint="eastAsia" w:ascii="仿宋_GB2312" w:hAnsi="仿宋_GB2312" w:eastAsia="仿宋_GB2312" w:cs="仿宋_GB2312"/>
          <w:bCs/>
          <w:color w:val="auto"/>
          <w:kern w:val="21"/>
          <w:sz w:val="24"/>
          <w:szCs w:val="24"/>
          <w:lang w:val="en-US" w:eastAsia="zh-CN" w:bidi="ar-SA"/>
        </w:rPr>
        <w:t>应采用高原型产品，满足高海拔地区使用要求。投标人提供的设备均应符合投标时已颁布的中华人民共和国国家标准；投标人提供的设备材料应满足设计图纸和招标文件要求。</w:t>
      </w:r>
    </w:p>
    <w:p w14:paraId="5FF291D0">
      <w:pPr>
        <w:pStyle w:val="24"/>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hint="eastAsia" w:ascii="仿宋_GB2312" w:hAnsi="仿宋_GB2312" w:eastAsia="仿宋_GB2312" w:cs="仿宋_GB2312"/>
          <w:color w:val="auto"/>
          <w:kern w:val="21"/>
          <w:sz w:val="24"/>
          <w:szCs w:val="24"/>
        </w:rPr>
      </w:pPr>
      <w:r>
        <w:rPr>
          <w:rFonts w:hint="eastAsia" w:ascii="仿宋_GB2312" w:hAnsi="仿宋_GB2312" w:eastAsia="仿宋_GB2312" w:cs="仿宋_GB2312"/>
          <w:color w:val="auto"/>
          <w:kern w:val="21"/>
          <w:sz w:val="24"/>
          <w:szCs w:val="24"/>
          <w:lang w:val="en-US" w:eastAsia="zh-CN"/>
        </w:rPr>
        <w:t>1.1.5</w:t>
      </w:r>
      <w:r>
        <w:rPr>
          <w:rFonts w:hint="eastAsia" w:ascii="仿宋_GB2312" w:hAnsi="仿宋_GB2312" w:eastAsia="仿宋_GB2312" w:cs="仿宋_GB2312"/>
          <w:color w:val="auto"/>
          <w:kern w:val="21"/>
          <w:sz w:val="24"/>
          <w:szCs w:val="24"/>
        </w:rPr>
        <w:t>本</w:t>
      </w:r>
      <w:r>
        <w:rPr>
          <w:rFonts w:hint="eastAsia" w:ascii="仿宋_GB2312" w:hAnsi="仿宋_GB2312" w:eastAsia="仿宋_GB2312" w:cs="仿宋_GB2312"/>
          <w:color w:val="auto"/>
          <w:kern w:val="21"/>
          <w:sz w:val="24"/>
          <w:szCs w:val="24"/>
          <w:lang w:eastAsia="zh-CN"/>
        </w:rPr>
        <w:t>技术规格书</w:t>
      </w:r>
      <w:r>
        <w:rPr>
          <w:rFonts w:hint="eastAsia" w:ascii="仿宋_GB2312" w:hAnsi="仿宋_GB2312" w:eastAsia="仿宋_GB2312" w:cs="仿宋_GB2312"/>
          <w:color w:val="auto"/>
          <w:kern w:val="21"/>
          <w:sz w:val="24"/>
          <w:szCs w:val="24"/>
        </w:rPr>
        <w:t>提出的是最低限度的技术要求，并未对一切技术细节做出规定，也未充分引述有关标准和规范的条文，投标人应提供符合本</w:t>
      </w:r>
      <w:r>
        <w:rPr>
          <w:rFonts w:hint="eastAsia" w:ascii="仿宋_GB2312" w:hAnsi="仿宋_GB2312" w:eastAsia="仿宋_GB2312" w:cs="仿宋_GB2312"/>
          <w:color w:val="auto"/>
          <w:kern w:val="21"/>
          <w:sz w:val="24"/>
          <w:szCs w:val="24"/>
          <w:lang w:eastAsia="zh-CN"/>
        </w:rPr>
        <w:t>技术规格书</w:t>
      </w:r>
      <w:r>
        <w:rPr>
          <w:rFonts w:hint="eastAsia" w:ascii="仿宋_GB2312" w:hAnsi="仿宋_GB2312" w:eastAsia="仿宋_GB2312" w:cs="仿宋_GB2312"/>
          <w:color w:val="auto"/>
          <w:kern w:val="21"/>
          <w:sz w:val="24"/>
          <w:szCs w:val="24"/>
        </w:rPr>
        <w:t>引用标准的最新版本标准和本</w:t>
      </w:r>
      <w:r>
        <w:rPr>
          <w:rFonts w:hint="eastAsia" w:ascii="仿宋_GB2312" w:hAnsi="仿宋_GB2312" w:eastAsia="仿宋_GB2312" w:cs="仿宋_GB2312"/>
          <w:color w:val="auto"/>
          <w:kern w:val="21"/>
          <w:sz w:val="24"/>
          <w:szCs w:val="24"/>
          <w:lang w:eastAsia="zh-CN"/>
        </w:rPr>
        <w:t>技术规格书</w:t>
      </w:r>
      <w:r>
        <w:rPr>
          <w:rFonts w:hint="eastAsia" w:ascii="仿宋_GB2312" w:hAnsi="仿宋_GB2312" w:eastAsia="仿宋_GB2312" w:cs="仿宋_GB2312"/>
          <w:color w:val="auto"/>
          <w:kern w:val="21"/>
          <w:sz w:val="24"/>
          <w:szCs w:val="24"/>
        </w:rPr>
        <w:t>技术要求的全新产品，如果所引用的标准之间不一致或本</w:t>
      </w:r>
      <w:r>
        <w:rPr>
          <w:rFonts w:hint="eastAsia" w:ascii="仿宋_GB2312" w:hAnsi="仿宋_GB2312" w:eastAsia="仿宋_GB2312" w:cs="仿宋_GB2312"/>
          <w:color w:val="auto"/>
          <w:kern w:val="21"/>
          <w:sz w:val="24"/>
          <w:szCs w:val="24"/>
          <w:lang w:eastAsia="zh-CN"/>
        </w:rPr>
        <w:t>技术规格书</w:t>
      </w:r>
      <w:r>
        <w:rPr>
          <w:rFonts w:hint="eastAsia" w:ascii="仿宋_GB2312" w:hAnsi="仿宋_GB2312" w:eastAsia="仿宋_GB2312" w:cs="仿宋_GB2312"/>
          <w:color w:val="auto"/>
          <w:kern w:val="21"/>
          <w:sz w:val="24"/>
          <w:szCs w:val="24"/>
        </w:rPr>
        <w:t>所使用的标准如与投标人所执行的标准不一致时，按要求较高的标准执行。</w:t>
      </w:r>
    </w:p>
    <w:p w14:paraId="424506D0">
      <w:pPr>
        <w:pStyle w:val="24"/>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hint="eastAsia" w:ascii="仿宋_GB2312" w:hAnsi="仿宋_GB2312" w:eastAsia="仿宋_GB2312" w:cs="仿宋_GB2312"/>
          <w:color w:val="auto"/>
          <w:kern w:val="21"/>
          <w:sz w:val="24"/>
          <w:szCs w:val="24"/>
          <w:lang w:val="en-US" w:eastAsia="zh-CN"/>
        </w:rPr>
      </w:pPr>
      <w:r>
        <w:rPr>
          <w:rFonts w:hint="eastAsia" w:ascii="仿宋_GB2312" w:hAnsi="仿宋_GB2312" w:eastAsia="仿宋_GB2312" w:cs="仿宋_GB2312"/>
          <w:color w:val="auto"/>
          <w:kern w:val="21"/>
          <w:sz w:val="24"/>
          <w:szCs w:val="24"/>
          <w:lang w:val="en-US" w:eastAsia="zh-CN"/>
        </w:rPr>
        <w:t>1.1.6乙方须对选矿</w:t>
      </w:r>
      <w:r>
        <w:rPr>
          <w:rFonts w:hint="default" w:ascii="仿宋_GB2312" w:hAnsi="仿宋_GB2312" w:eastAsia="仿宋_GB2312" w:cs="仿宋_GB2312"/>
          <w:color w:val="auto"/>
          <w:kern w:val="21"/>
          <w:sz w:val="24"/>
          <w:szCs w:val="24"/>
          <w:lang w:val="en-US" w:eastAsia="zh-CN"/>
        </w:rPr>
        <w:t>扩大试验</w:t>
      </w:r>
      <w:r>
        <w:rPr>
          <w:rFonts w:hint="eastAsia" w:ascii="仿宋_GB2312" w:hAnsi="仿宋_GB2312" w:eastAsia="仿宋_GB2312" w:cs="仿宋_GB2312"/>
          <w:color w:val="auto"/>
          <w:kern w:val="21"/>
          <w:sz w:val="24"/>
          <w:szCs w:val="24"/>
          <w:lang w:val="en-US" w:eastAsia="zh-CN"/>
        </w:rPr>
        <w:t>球磨分级给矿成套设备设计的完整性、合理性和设计质量承担全部责任。保证满足使用要求。乙方提供的设备必须是全新、规范、先进的高质量可靠产品，能够确保连续稳定的工作。</w:t>
      </w:r>
    </w:p>
    <w:p w14:paraId="6569344A">
      <w:pPr>
        <w:pStyle w:val="24"/>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hint="eastAsia" w:ascii="仿宋_GB2312" w:hAnsi="仿宋_GB2312" w:eastAsia="仿宋_GB2312" w:cs="仿宋_GB2312"/>
          <w:color w:val="auto"/>
          <w:kern w:val="21"/>
          <w:sz w:val="24"/>
          <w:szCs w:val="24"/>
        </w:rPr>
      </w:pPr>
      <w:r>
        <w:rPr>
          <w:rFonts w:hint="eastAsia" w:ascii="仿宋_GB2312" w:hAnsi="仿宋_GB2312" w:eastAsia="仿宋_GB2312" w:cs="仿宋_GB2312"/>
          <w:color w:val="auto"/>
          <w:kern w:val="21"/>
          <w:sz w:val="24"/>
          <w:szCs w:val="24"/>
          <w:lang w:val="en-US" w:eastAsia="zh-CN"/>
        </w:rPr>
        <w:t>1.1.7</w:t>
      </w:r>
      <w:r>
        <w:rPr>
          <w:rFonts w:hint="eastAsia" w:ascii="仿宋_GB2312" w:hAnsi="仿宋_GB2312" w:eastAsia="仿宋_GB2312" w:cs="仿宋_GB2312"/>
          <w:color w:val="auto"/>
          <w:kern w:val="21"/>
          <w:sz w:val="24"/>
          <w:szCs w:val="24"/>
        </w:rPr>
        <w:t>如果投标人没有以书面形式对本</w:t>
      </w:r>
      <w:r>
        <w:rPr>
          <w:rFonts w:hint="eastAsia" w:ascii="仿宋_GB2312" w:hAnsi="仿宋_GB2312" w:eastAsia="仿宋_GB2312" w:cs="仿宋_GB2312"/>
          <w:color w:val="auto"/>
          <w:kern w:val="21"/>
          <w:sz w:val="24"/>
          <w:szCs w:val="24"/>
          <w:lang w:eastAsia="zh-CN"/>
        </w:rPr>
        <w:t>技术规格书</w:t>
      </w:r>
      <w:r>
        <w:rPr>
          <w:rFonts w:hint="eastAsia" w:ascii="仿宋_GB2312" w:hAnsi="仿宋_GB2312" w:eastAsia="仿宋_GB2312" w:cs="仿宋_GB2312"/>
          <w:color w:val="auto"/>
          <w:kern w:val="21"/>
          <w:sz w:val="24"/>
          <w:szCs w:val="24"/>
        </w:rPr>
        <w:t>的条文提出差异，则意味着投标人提供的设备完全符合本</w:t>
      </w:r>
      <w:r>
        <w:rPr>
          <w:rFonts w:hint="eastAsia" w:ascii="仿宋_GB2312" w:hAnsi="仿宋_GB2312" w:eastAsia="仿宋_GB2312" w:cs="仿宋_GB2312"/>
          <w:color w:val="auto"/>
          <w:kern w:val="21"/>
          <w:sz w:val="24"/>
          <w:szCs w:val="24"/>
          <w:lang w:eastAsia="zh-CN"/>
        </w:rPr>
        <w:t>技术规格书</w:t>
      </w:r>
      <w:r>
        <w:rPr>
          <w:rFonts w:hint="eastAsia" w:ascii="仿宋_GB2312" w:hAnsi="仿宋_GB2312" w:eastAsia="仿宋_GB2312" w:cs="仿宋_GB2312"/>
          <w:color w:val="auto"/>
          <w:kern w:val="21"/>
          <w:sz w:val="24"/>
          <w:szCs w:val="24"/>
        </w:rPr>
        <w:t>的要求。若有与本</w:t>
      </w:r>
      <w:r>
        <w:rPr>
          <w:rFonts w:hint="eastAsia" w:ascii="仿宋_GB2312" w:hAnsi="仿宋_GB2312" w:eastAsia="仿宋_GB2312" w:cs="仿宋_GB2312"/>
          <w:color w:val="auto"/>
          <w:kern w:val="21"/>
          <w:sz w:val="24"/>
          <w:szCs w:val="24"/>
          <w:lang w:eastAsia="zh-CN"/>
        </w:rPr>
        <w:t>技术规格书</w:t>
      </w:r>
      <w:r>
        <w:rPr>
          <w:rFonts w:hint="eastAsia" w:ascii="仿宋_GB2312" w:hAnsi="仿宋_GB2312" w:eastAsia="仿宋_GB2312" w:cs="仿宋_GB2312"/>
          <w:color w:val="auto"/>
          <w:kern w:val="21"/>
          <w:sz w:val="24"/>
          <w:szCs w:val="24"/>
        </w:rPr>
        <w:t>要求不一致的地方，必须逐项在“投标人技术差异表”中列出。</w:t>
      </w:r>
    </w:p>
    <w:p w14:paraId="0D920625">
      <w:pPr>
        <w:pStyle w:val="24"/>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hint="eastAsia" w:ascii="仿宋_GB2312" w:hAnsi="仿宋_GB2312" w:eastAsia="仿宋_GB2312" w:cs="仿宋_GB2312"/>
          <w:color w:val="auto"/>
          <w:kern w:val="21"/>
          <w:sz w:val="24"/>
          <w:szCs w:val="24"/>
          <w:highlight w:val="red"/>
          <w:lang w:eastAsia="zh-CN"/>
        </w:rPr>
      </w:pPr>
      <w:r>
        <w:rPr>
          <w:rFonts w:hint="eastAsia" w:ascii="仿宋_GB2312" w:hAnsi="仿宋_GB2312" w:eastAsia="仿宋_GB2312" w:cs="仿宋_GB2312"/>
          <w:color w:val="auto"/>
          <w:kern w:val="21"/>
          <w:sz w:val="24"/>
          <w:szCs w:val="24"/>
          <w:lang w:val="en-US" w:eastAsia="zh-CN"/>
        </w:rPr>
        <w:t>1.1.8</w:t>
      </w:r>
      <w:r>
        <w:rPr>
          <w:rFonts w:hint="eastAsia" w:ascii="仿宋_GB2312" w:hAnsi="仿宋_GB2312" w:eastAsia="仿宋_GB2312" w:cs="仿宋_GB2312"/>
          <w:color w:val="auto"/>
          <w:kern w:val="21"/>
          <w:sz w:val="24"/>
          <w:szCs w:val="24"/>
        </w:rPr>
        <w:t>本</w:t>
      </w:r>
      <w:r>
        <w:rPr>
          <w:rFonts w:hint="eastAsia" w:ascii="仿宋_GB2312" w:hAnsi="仿宋_GB2312" w:eastAsia="仿宋_GB2312" w:cs="仿宋_GB2312"/>
          <w:color w:val="auto"/>
          <w:kern w:val="21"/>
          <w:sz w:val="24"/>
          <w:szCs w:val="24"/>
          <w:lang w:eastAsia="zh-CN"/>
        </w:rPr>
        <w:t>技术规格书</w:t>
      </w:r>
      <w:r>
        <w:rPr>
          <w:rFonts w:hint="eastAsia" w:ascii="仿宋_GB2312" w:hAnsi="仿宋_GB2312" w:eastAsia="仿宋_GB2312" w:cs="仿宋_GB2312"/>
          <w:color w:val="auto"/>
          <w:kern w:val="21"/>
          <w:sz w:val="24"/>
          <w:szCs w:val="24"/>
        </w:rPr>
        <w:t>将作为订货合同的附件，与合同具有同等的法律效力。本</w:t>
      </w:r>
      <w:r>
        <w:rPr>
          <w:rFonts w:hint="eastAsia" w:ascii="仿宋_GB2312" w:hAnsi="仿宋_GB2312" w:eastAsia="仿宋_GB2312" w:cs="仿宋_GB2312"/>
          <w:color w:val="auto"/>
          <w:kern w:val="21"/>
          <w:sz w:val="24"/>
          <w:szCs w:val="24"/>
          <w:lang w:eastAsia="zh-CN"/>
        </w:rPr>
        <w:t>技术规格书</w:t>
      </w:r>
      <w:r>
        <w:rPr>
          <w:rFonts w:hint="eastAsia" w:ascii="仿宋_GB2312" w:hAnsi="仿宋_GB2312" w:eastAsia="仿宋_GB2312" w:cs="仿宋_GB2312"/>
          <w:color w:val="auto"/>
          <w:kern w:val="21"/>
          <w:sz w:val="24"/>
          <w:szCs w:val="24"/>
        </w:rPr>
        <w:t>未尽事宜，由合同签约双方在合同谈判时协商确定。</w:t>
      </w:r>
    </w:p>
    <w:p w14:paraId="4826F78C">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rPr>
          <w:rFonts w:hint="eastAsia" w:ascii="仿宋_GB2312" w:hAnsi="仿宋_GB2312" w:eastAsia="仿宋_GB2312" w:cs="仿宋_GB2312"/>
          <w:bCs/>
          <w:color w:val="auto"/>
          <w:kern w:val="21"/>
          <w:sz w:val="24"/>
          <w:szCs w:val="24"/>
        </w:rPr>
      </w:pPr>
      <w:r>
        <w:rPr>
          <w:rFonts w:hint="eastAsia" w:ascii="仿宋_GB2312" w:hAnsi="仿宋_GB2312" w:eastAsia="仿宋_GB2312" w:cs="仿宋_GB2312"/>
          <w:color w:val="auto"/>
          <w:kern w:val="21"/>
          <w:sz w:val="24"/>
          <w:szCs w:val="24"/>
          <w:lang w:val="en-US" w:eastAsia="zh-CN"/>
        </w:rPr>
        <w:t>1.1.9</w:t>
      </w:r>
      <w:r>
        <w:rPr>
          <w:rFonts w:hint="eastAsia" w:ascii="仿宋_GB2312" w:hAnsi="仿宋_GB2312" w:eastAsia="仿宋_GB2312" w:cs="仿宋_GB2312"/>
          <w:bCs/>
          <w:color w:val="auto"/>
          <w:kern w:val="21"/>
          <w:sz w:val="24"/>
          <w:szCs w:val="24"/>
        </w:rPr>
        <w:t>本</w:t>
      </w:r>
      <w:r>
        <w:rPr>
          <w:rFonts w:hint="eastAsia" w:ascii="仿宋_GB2312" w:hAnsi="仿宋_GB2312" w:eastAsia="仿宋_GB2312" w:cs="仿宋_GB2312"/>
          <w:bCs/>
          <w:color w:val="auto"/>
          <w:kern w:val="21"/>
          <w:sz w:val="24"/>
          <w:szCs w:val="24"/>
          <w:lang w:eastAsia="zh-CN"/>
        </w:rPr>
        <w:t>技术规格书</w:t>
      </w:r>
      <w:r>
        <w:rPr>
          <w:rFonts w:hint="eastAsia" w:ascii="仿宋_GB2312" w:hAnsi="仿宋_GB2312" w:eastAsia="仿宋_GB2312" w:cs="仿宋_GB2312"/>
          <w:bCs/>
          <w:color w:val="auto"/>
          <w:kern w:val="21"/>
          <w:sz w:val="24"/>
          <w:szCs w:val="24"/>
        </w:rPr>
        <w:t>中涉及有关商务方面的内容，如与招标文件</w:t>
      </w:r>
      <w:r>
        <w:rPr>
          <w:rFonts w:hint="eastAsia" w:ascii="仿宋_GB2312" w:hAnsi="仿宋_GB2312" w:eastAsia="仿宋_GB2312" w:cs="仿宋_GB2312"/>
          <w:bCs/>
          <w:color w:val="auto"/>
          <w:kern w:val="21"/>
          <w:sz w:val="24"/>
          <w:szCs w:val="24"/>
          <w:lang w:eastAsia="zh-CN"/>
        </w:rPr>
        <w:t>技术规格书</w:t>
      </w:r>
      <w:r>
        <w:rPr>
          <w:rFonts w:hint="eastAsia" w:ascii="仿宋_GB2312" w:hAnsi="仿宋_GB2312" w:eastAsia="仿宋_GB2312" w:cs="仿宋_GB2312"/>
          <w:bCs/>
          <w:color w:val="auto"/>
          <w:kern w:val="21"/>
          <w:sz w:val="24"/>
          <w:szCs w:val="24"/>
        </w:rPr>
        <w:t>的商务部分有矛盾时，以商务部分为准。</w:t>
      </w:r>
    </w:p>
    <w:p w14:paraId="7A5AC81B">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21"/>
          <w:sz w:val="24"/>
          <w:szCs w:val="24"/>
          <w:lang w:val="en-US" w:eastAsia="zh-CN"/>
        </w:rPr>
        <w:t>1.1.10</w:t>
      </w:r>
      <w:r>
        <w:rPr>
          <w:rFonts w:hint="eastAsia" w:ascii="仿宋_GB2312" w:hAnsi="仿宋_GB2312" w:eastAsia="仿宋_GB2312" w:cs="仿宋_GB2312"/>
          <w:color w:val="auto"/>
          <w:kern w:val="0"/>
          <w:sz w:val="24"/>
          <w:szCs w:val="24"/>
        </w:rPr>
        <w:t>本</w:t>
      </w:r>
      <w:r>
        <w:rPr>
          <w:rFonts w:hint="eastAsia" w:ascii="仿宋_GB2312" w:hAnsi="仿宋_GB2312" w:eastAsia="仿宋_GB2312" w:cs="仿宋_GB2312"/>
          <w:color w:val="auto"/>
          <w:kern w:val="0"/>
          <w:sz w:val="24"/>
          <w:szCs w:val="24"/>
          <w:lang w:val="en-US" w:eastAsia="zh-CN"/>
        </w:rPr>
        <w:t>技术规格书</w:t>
      </w:r>
      <w:r>
        <w:rPr>
          <w:rFonts w:hint="eastAsia" w:ascii="仿宋_GB2312" w:hAnsi="仿宋_GB2312" w:eastAsia="仿宋_GB2312" w:cs="仿宋_GB2312"/>
          <w:color w:val="auto"/>
          <w:kern w:val="0"/>
          <w:sz w:val="24"/>
          <w:szCs w:val="24"/>
        </w:rPr>
        <w:t>所使用的标准如与所执行的标准不一致时，按较高的标准执行。</w:t>
      </w:r>
    </w:p>
    <w:p w14:paraId="23CDA40D">
      <w:pPr>
        <w:pStyle w:val="30"/>
        <w:keepNext w:val="0"/>
        <w:keepLines w:val="0"/>
        <w:pageBreakBefore w:val="0"/>
        <w:widowControl/>
        <w:kinsoku/>
        <w:wordWrap/>
        <w:overflowPunct/>
        <w:topLinePunct/>
        <w:autoSpaceDE/>
        <w:autoSpaceDN/>
        <w:bidi w:val="0"/>
        <w:adjustRightInd/>
        <w:snapToGrid/>
        <w:spacing w:line="500" w:lineRule="exact"/>
        <w:ind w:firstLine="480" w:firstLineChars="200"/>
        <w:textAlignment w:val="auto"/>
        <w:outlineLvl w:val="1"/>
        <w:rPr>
          <w:rFonts w:hint="eastAsia" w:ascii="仿宋_GB2312" w:hAnsi="仿宋_GB2312" w:eastAsia="仿宋_GB2312" w:cs="仿宋_GB2312"/>
          <w:color w:val="auto"/>
          <w:kern w:val="21"/>
          <w:sz w:val="24"/>
          <w:szCs w:val="24"/>
        </w:rPr>
      </w:pPr>
      <w:bookmarkStart w:id="14" w:name="_Toc12343"/>
      <w:bookmarkStart w:id="15" w:name="_Toc248338976"/>
      <w:bookmarkStart w:id="16" w:name="_Toc248054546"/>
      <w:bookmarkStart w:id="17" w:name="_Toc7392"/>
      <w:bookmarkStart w:id="18" w:name="_Toc246866079"/>
      <w:bookmarkStart w:id="19" w:name="_Toc1888"/>
      <w:r>
        <w:rPr>
          <w:rFonts w:hint="eastAsia" w:ascii="仿宋_GB2312" w:hAnsi="仿宋_GB2312" w:eastAsia="仿宋_GB2312" w:cs="仿宋_GB2312"/>
          <w:color w:val="auto"/>
          <w:kern w:val="21"/>
          <w:sz w:val="24"/>
          <w:szCs w:val="24"/>
          <w:lang w:val="en-US" w:eastAsia="zh-CN"/>
        </w:rPr>
        <w:t>1.2</w:t>
      </w:r>
      <w:r>
        <w:rPr>
          <w:rFonts w:hint="eastAsia" w:ascii="仿宋_GB2312" w:hAnsi="仿宋_GB2312" w:eastAsia="仿宋_GB2312" w:cs="仿宋_GB2312"/>
          <w:color w:val="auto"/>
          <w:kern w:val="21"/>
          <w:sz w:val="24"/>
          <w:szCs w:val="24"/>
        </w:rPr>
        <w:t>投标人应提供的资质文件</w:t>
      </w:r>
      <w:bookmarkEnd w:id="14"/>
      <w:bookmarkEnd w:id="15"/>
      <w:bookmarkEnd w:id="16"/>
      <w:bookmarkEnd w:id="17"/>
      <w:bookmarkEnd w:id="18"/>
      <w:bookmarkEnd w:id="19"/>
    </w:p>
    <w:p w14:paraId="2C30DBA1">
      <w:pPr>
        <w:pStyle w:val="24"/>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hint="eastAsia" w:ascii="仿宋_GB2312" w:hAnsi="仿宋_GB2312" w:eastAsia="仿宋_GB2312" w:cs="仿宋_GB2312"/>
          <w:color w:val="auto"/>
          <w:kern w:val="21"/>
          <w:sz w:val="24"/>
          <w:szCs w:val="24"/>
        </w:rPr>
      </w:pPr>
      <w:r>
        <w:rPr>
          <w:rFonts w:hint="eastAsia" w:ascii="仿宋_GB2312" w:hAnsi="仿宋_GB2312" w:eastAsia="仿宋_GB2312" w:cs="仿宋_GB2312"/>
          <w:color w:val="auto"/>
          <w:kern w:val="21"/>
          <w:sz w:val="24"/>
          <w:szCs w:val="24"/>
          <w:lang w:val="en-US" w:eastAsia="zh-CN"/>
        </w:rPr>
        <w:t>1.2.1</w:t>
      </w:r>
      <w:r>
        <w:rPr>
          <w:rFonts w:hint="eastAsia" w:ascii="仿宋_GB2312" w:hAnsi="仿宋_GB2312" w:eastAsia="仿宋_GB2312" w:cs="仿宋_GB2312"/>
          <w:color w:val="auto"/>
          <w:kern w:val="21"/>
          <w:sz w:val="24"/>
          <w:szCs w:val="24"/>
        </w:rPr>
        <w:t>有能力履行合同设备维护保养、修理及其他服务义务的文件。</w:t>
      </w:r>
    </w:p>
    <w:p w14:paraId="459E8338">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kern w:val="0"/>
          <w:sz w:val="24"/>
          <w:szCs w:val="24"/>
          <w:lang w:val="en-US" w:eastAsia="zh-CN"/>
        </w:rPr>
        <w:t>其他要求</w:t>
      </w:r>
    </w:p>
    <w:p w14:paraId="5E930151">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kern w:val="0"/>
          <w:sz w:val="24"/>
          <w:szCs w:val="24"/>
        </w:rPr>
        <w:t>本</w:t>
      </w:r>
      <w:r>
        <w:rPr>
          <w:rFonts w:hint="eastAsia" w:ascii="仿宋_GB2312" w:hAnsi="仿宋_GB2312" w:eastAsia="仿宋_GB2312" w:cs="仿宋_GB2312"/>
          <w:color w:val="auto"/>
          <w:kern w:val="0"/>
          <w:sz w:val="24"/>
          <w:szCs w:val="24"/>
          <w:lang w:val="en-US" w:eastAsia="zh-CN"/>
        </w:rPr>
        <w:t>技术规格书</w:t>
      </w:r>
      <w:r>
        <w:rPr>
          <w:rFonts w:hint="eastAsia" w:ascii="仿宋_GB2312" w:hAnsi="仿宋_GB2312" w:eastAsia="仿宋_GB2312" w:cs="仿宋_GB2312"/>
          <w:color w:val="auto"/>
          <w:kern w:val="0"/>
          <w:sz w:val="24"/>
          <w:szCs w:val="24"/>
        </w:rPr>
        <w:t>作为订货合同的附件，与合同具有同等的法律效力。本规范未尽事宜，由合同签约双方在合同谈判时协商确定。</w:t>
      </w:r>
    </w:p>
    <w:p w14:paraId="75144485">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 xml:space="preserve">.2 </w:t>
      </w:r>
      <w:r>
        <w:rPr>
          <w:rFonts w:hint="eastAsia" w:ascii="仿宋_GB2312" w:hAnsi="仿宋_GB2312" w:eastAsia="仿宋_GB2312" w:cs="仿宋_GB2312"/>
          <w:color w:val="auto"/>
          <w:kern w:val="0"/>
          <w:sz w:val="24"/>
          <w:szCs w:val="24"/>
        </w:rPr>
        <w:t>乙方职责。乙方的工作范围将包括但不限于下列内容：</w:t>
      </w:r>
    </w:p>
    <w:p w14:paraId="0719F131">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kern w:val="0"/>
          <w:sz w:val="24"/>
          <w:szCs w:val="24"/>
        </w:rPr>
        <w:t>提供标书内所有设备及设计说明书及制造方面的说明。</w:t>
      </w:r>
    </w:p>
    <w:p w14:paraId="63C8371F">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kern w:val="0"/>
          <w:sz w:val="24"/>
          <w:szCs w:val="24"/>
        </w:rPr>
        <w:t>提供设备使用的说明书。</w:t>
      </w:r>
    </w:p>
    <w:p w14:paraId="4E5081A0">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.3</w:t>
      </w:r>
      <w:r>
        <w:rPr>
          <w:rFonts w:hint="eastAsia" w:ascii="仿宋_GB2312" w:hAnsi="仿宋_GB2312" w:eastAsia="仿宋_GB2312" w:cs="仿宋_GB2312"/>
          <w:color w:val="auto"/>
          <w:kern w:val="0"/>
          <w:sz w:val="24"/>
          <w:szCs w:val="24"/>
        </w:rPr>
        <w:t>提供图纸、制造和质量保证过程的一览表以及标书规定的其他资料。</w:t>
      </w:r>
    </w:p>
    <w:p w14:paraId="448AB64C">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kern w:val="0"/>
          <w:sz w:val="24"/>
          <w:szCs w:val="24"/>
        </w:rPr>
        <w:t>提供设备管理和运行所需有关资料。</w:t>
      </w:r>
    </w:p>
    <w:p w14:paraId="6D576B0B">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kern w:val="0"/>
          <w:sz w:val="24"/>
          <w:szCs w:val="24"/>
        </w:rPr>
        <w:t>所提供设备应发运到规定的目的地。</w:t>
      </w:r>
    </w:p>
    <w:p w14:paraId="58D2EBDB">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6货到现场后，指导</w:t>
      </w:r>
      <w:r>
        <w:rPr>
          <w:rFonts w:hint="eastAsia" w:ascii="仿宋_GB2312" w:hAnsi="仿宋_GB2312" w:eastAsia="仿宋_GB2312" w:cs="仿宋_GB2312"/>
          <w:color w:val="auto"/>
          <w:sz w:val="24"/>
          <w:szCs w:val="24"/>
        </w:rPr>
        <w:t>现场设备安装</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调试</w:t>
      </w:r>
      <w:r>
        <w:rPr>
          <w:rFonts w:hint="eastAsia" w:ascii="仿宋_GB2312" w:hAnsi="仿宋_GB2312" w:eastAsia="仿宋_GB2312" w:cs="仿宋_GB2312"/>
          <w:color w:val="auto"/>
          <w:sz w:val="24"/>
          <w:szCs w:val="24"/>
        </w:rPr>
        <w:t>。</w:t>
      </w:r>
    </w:p>
    <w:p w14:paraId="1625A579">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7</w:t>
      </w:r>
      <w:r>
        <w:rPr>
          <w:rFonts w:hint="eastAsia" w:ascii="仿宋_GB2312" w:hAnsi="仿宋_GB2312" w:eastAsia="仿宋_GB2312" w:cs="仿宋_GB2312"/>
          <w:color w:val="auto"/>
          <w:kern w:val="0"/>
          <w:sz w:val="24"/>
          <w:szCs w:val="24"/>
        </w:rPr>
        <w:t>如标准、规范与本规范的条文有明显的冲突，则甲方应在制造设备前，用书面形式将冲突和解决办法告知乙方，并经甲方确认后，才能进行设备制造。</w:t>
      </w:r>
    </w:p>
    <w:p w14:paraId="5384FD67">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rPr>
        <w:t>1.3</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8</w:t>
      </w:r>
      <w:r>
        <w:rPr>
          <w:rFonts w:hint="eastAsia" w:ascii="仿宋_GB2312" w:hAnsi="仿宋_GB2312" w:eastAsia="仿宋_GB2312" w:cs="仿宋_GB2312"/>
          <w:color w:val="auto"/>
          <w:kern w:val="0"/>
          <w:sz w:val="24"/>
          <w:szCs w:val="24"/>
        </w:rPr>
        <w:t>在更换所用的准则、标准、规程或修改设备技术数据时，甲方有责任接受乙方的选择。</w:t>
      </w:r>
    </w:p>
    <w:p w14:paraId="788B4496">
      <w:pPr>
        <w:keepNext w:val="0"/>
        <w:keepLines w:val="0"/>
        <w:pageBreakBefore w:val="0"/>
        <w:numPr>
          <w:ilvl w:val="0"/>
          <w:numId w:val="0"/>
        </w:numPr>
        <w:tabs>
          <w:tab w:val="left" w:pos="0"/>
          <w:tab w:val="left" w:pos="540"/>
          <w:tab w:val="left" w:pos="720"/>
        </w:tabs>
        <w:kinsoku/>
        <w:wordWrap/>
        <w:overflowPunct/>
        <w:topLinePunct w:val="0"/>
        <w:bidi w:val="0"/>
        <w:adjustRightInd w:val="0"/>
        <w:snapToGrid w:val="0"/>
        <w:spacing w:line="500" w:lineRule="exact"/>
        <w:ind w:firstLine="480" w:firstLineChars="200"/>
        <w:textAlignment w:val="auto"/>
        <w:outlineLvl w:val="0"/>
        <w:rPr>
          <w:rFonts w:hint="eastAsia" w:ascii="黑体" w:hAnsi="黑体" w:eastAsia="黑体" w:cs="黑体"/>
          <w:b w:val="0"/>
          <w:bCs w:val="0"/>
          <w:color w:val="auto"/>
          <w:sz w:val="24"/>
          <w:szCs w:val="24"/>
          <w:lang w:val="en-US" w:eastAsia="zh-CN"/>
        </w:rPr>
      </w:pPr>
      <w:bookmarkStart w:id="20" w:name="_Toc4296"/>
      <w:r>
        <w:rPr>
          <w:rFonts w:hint="eastAsia" w:ascii="黑体" w:hAnsi="黑体" w:eastAsia="黑体" w:cs="黑体"/>
          <w:b w:val="0"/>
          <w:bCs w:val="0"/>
          <w:color w:val="auto"/>
          <w:kern w:val="2"/>
          <w:sz w:val="24"/>
          <w:szCs w:val="24"/>
          <w:lang w:val="en-US" w:eastAsia="zh-CN" w:bidi="ar-SA"/>
        </w:rPr>
        <w:t>二、</w:t>
      </w:r>
      <w:r>
        <w:rPr>
          <w:rFonts w:hint="eastAsia" w:ascii="黑体" w:hAnsi="黑体" w:eastAsia="黑体" w:cs="黑体"/>
          <w:b w:val="0"/>
          <w:bCs w:val="0"/>
          <w:color w:val="auto"/>
          <w:sz w:val="24"/>
          <w:szCs w:val="24"/>
          <w:lang w:val="en-US" w:eastAsia="zh-CN"/>
        </w:rPr>
        <w:t>使用环境</w:t>
      </w:r>
      <w:bookmarkEnd w:id="20"/>
    </w:p>
    <w:p w14:paraId="6C6EBF55">
      <w:pPr>
        <w:keepNext w:val="0"/>
        <w:keepLines w:val="0"/>
        <w:pageBreakBefore w:val="0"/>
        <w:widowControl/>
        <w:shd w:val="clear" w:color="auto" w:fill="FFFFFF"/>
        <w:kinsoku/>
        <w:wordWrap/>
        <w:overflowPunct/>
        <w:topLinePunct w:val="0"/>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海拔高度：        1700m</w:t>
      </w:r>
    </w:p>
    <w:p w14:paraId="36BADA64">
      <w:pPr>
        <w:keepNext w:val="0"/>
        <w:keepLines w:val="0"/>
        <w:pageBreakBefore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最高气温：        55℃</w:t>
      </w:r>
    </w:p>
    <w:p w14:paraId="557A8454">
      <w:pPr>
        <w:keepNext w:val="0"/>
        <w:keepLines w:val="0"/>
        <w:pageBreakBefore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最低气温：        -31.4℃</w:t>
      </w:r>
    </w:p>
    <w:p w14:paraId="2455458D">
      <w:pPr>
        <w:keepNext w:val="0"/>
        <w:keepLines w:val="0"/>
        <w:pageBreakBefore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年平均气温：      6.9℃</w:t>
      </w:r>
    </w:p>
    <w:p w14:paraId="003E38C9">
      <w:pPr>
        <w:keepNext w:val="0"/>
        <w:keepLines w:val="0"/>
        <w:pageBreakBefore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日最大温差：      14℃</w:t>
      </w:r>
    </w:p>
    <w:p w14:paraId="03CB7DBC">
      <w:pPr>
        <w:keepNext w:val="0"/>
        <w:keepLines w:val="0"/>
        <w:pageBreakBefore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年平均降雨量：    85.7mm</w:t>
      </w:r>
    </w:p>
    <w:p w14:paraId="2A3E1E9A">
      <w:pPr>
        <w:keepNext w:val="0"/>
        <w:keepLines w:val="0"/>
        <w:pageBreakBefore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最大年降雨量：    155mm</w:t>
      </w:r>
    </w:p>
    <w:p w14:paraId="28689551">
      <w:pPr>
        <w:keepNext w:val="0"/>
        <w:keepLines w:val="0"/>
        <w:pageBreakBefore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年最大积雪量：    140mm</w:t>
      </w:r>
    </w:p>
    <w:p w14:paraId="4BAE1447">
      <w:pPr>
        <w:keepNext w:val="0"/>
        <w:keepLines w:val="0"/>
        <w:pageBreakBefore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夏季平均湿度：    43%</w:t>
      </w:r>
    </w:p>
    <w:p w14:paraId="40CF17AF">
      <w:pPr>
        <w:keepNext w:val="0"/>
        <w:keepLines w:val="0"/>
        <w:pageBreakBefore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冬季平均湿度：   54%</w:t>
      </w:r>
    </w:p>
    <w:p w14:paraId="35E61473">
      <w:pPr>
        <w:keepNext w:val="0"/>
        <w:keepLines w:val="0"/>
        <w:pageBreakBefore w:val="0"/>
        <w:numPr>
          <w:ilvl w:val="0"/>
          <w:numId w:val="0"/>
        </w:numPr>
        <w:tabs>
          <w:tab w:val="left" w:pos="0"/>
          <w:tab w:val="left" w:pos="540"/>
          <w:tab w:val="left" w:pos="720"/>
        </w:tabs>
        <w:kinsoku/>
        <w:wordWrap/>
        <w:overflowPunct/>
        <w:topLinePunct w:val="0"/>
        <w:bidi w:val="0"/>
        <w:adjustRightInd w:val="0"/>
        <w:snapToGrid w:val="0"/>
        <w:spacing w:line="500" w:lineRule="exact"/>
        <w:ind w:firstLine="480" w:firstLineChars="200"/>
        <w:textAlignment w:val="auto"/>
        <w:outlineLvl w:val="0"/>
        <w:rPr>
          <w:rFonts w:hint="eastAsia" w:ascii="黑体" w:hAnsi="黑体" w:eastAsia="黑体" w:cs="黑体"/>
          <w:b w:val="0"/>
          <w:bCs w:val="0"/>
          <w:color w:val="auto"/>
          <w:sz w:val="24"/>
          <w:szCs w:val="24"/>
          <w:highlight w:val="none"/>
          <w:lang w:val="en-US" w:eastAsia="zh-CN"/>
        </w:rPr>
      </w:pPr>
      <w:bookmarkStart w:id="21" w:name="_Toc16106"/>
      <w:r>
        <w:rPr>
          <w:rFonts w:hint="eastAsia" w:ascii="黑体" w:hAnsi="黑体" w:eastAsia="黑体" w:cs="黑体"/>
          <w:b w:val="0"/>
          <w:bCs w:val="0"/>
          <w:color w:val="auto"/>
          <w:kern w:val="2"/>
          <w:sz w:val="24"/>
          <w:szCs w:val="24"/>
          <w:lang w:val="en-US" w:eastAsia="zh-CN" w:bidi="ar-SA"/>
        </w:rPr>
        <w:t>三、</w:t>
      </w:r>
      <w:r>
        <w:rPr>
          <w:rFonts w:hint="eastAsia" w:ascii="黑体" w:hAnsi="黑体" w:eastAsia="黑体" w:cs="黑体"/>
          <w:b w:val="0"/>
          <w:bCs w:val="0"/>
          <w:color w:val="auto"/>
          <w:sz w:val="24"/>
          <w:szCs w:val="24"/>
          <w:highlight w:val="none"/>
          <w:lang w:val="en-US" w:eastAsia="zh-CN"/>
        </w:rPr>
        <w:t>供货范围</w:t>
      </w:r>
      <w:bookmarkEnd w:id="21"/>
    </w:p>
    <w:p w14:paraId="3BDFAC60">
      <w:pPr>
        <w:keepNext w:val="0"/>
        <w:keepLines w:val="0"/>
        <w:pageBreakBefore w:val="0"/>
        <w:widowControl w:val="0"/>
        <w:numPr>
          <w:ilvl w:val="0"/>
          <w:numId w:val="0"/>
        </w:numPr>
        <w:tabs>
          <w:tab w:val="left" w:pos="0"/>
          <w:tab w:val="left" w:pos="540"/>
          <w:tab w:val="left" w:pos="720"/>
        </w:tabs>
        <w:kinsoku/>
        <w:wordWrap/>
        <w:overflowPunct/>
        <w:topLinePunct w:val="0"/>
        <w:autoSpaceDE/>
        <w:autoSpaceDN/>
        <w:bidi w:val="0"/>
        <w:adjustRightInd w:val="0"/>
        <w:snapToGrid w:val="0"/>
        <w:spacing w:line="500" w:lineRule="exact"/>
        <w:ind w:right="0" w:firstLine="480" w:firstLineChars="200"/>
        <w:textAlignment w:val="auto"/>
        <w:outlineLvl w:val="9"/>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乙方应确保供货范围完整，应满足甲方对安装、调试、运行和设备性能的要求，并提供保证设备安装、调试、投运相关的技术服务和配合。在技术规范中涉及的供货要求也作为本供货范围的补充，若在安装、调试、运行中发现缺项，乙方应补充供货。</w:t>
      </w:r>
    </w:p>
    <w:tbl>
      <w:tblPr>
        <w:tblStyle w:val="19"/>
        <w:tblpPr w:leftFromText="180" w:rightFromText="180" w:vertAnchor="text" w:horzAnchor="page" w:tblpX="1748" w:tblpY="351"/>
        <w:tblOverlap w:val="never"/>
        <w:tblW w:w="8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485"/>
        <w:gridCol w:w="1628"/>
        <w:gridCol w:w="5094"/>
      </w:tblGrid>
      <w:tr w14:paraId="2346C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53" w:type="dxa"/>
          </w:tcPr>
          <w:p w14:paraId="123CB0B9">
            <w:pPr>
              <w:pStyle w:val="24"/>
              <w:keepNext w:val="0"/>
              <w:keepLines w:val="0"/>
              <w:pageBreakBefore w:val="0"/>
              <w:widowControl w:val="0"/>
              <w:kinsoku/>
              <w:wordWrap/>
              <w:overflowPunct/>
              <w:bidi w:val="0"/>
              <w:adjustRightInd w:val="0"/>
              <w:snapToGrid w:val="0"/>
              <w:spacing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序号</w:t>
            </w:r>
          </w:p>
        </w:tc>
        <w:tc>
          <w:tcPr>
            <w:tcW w:w="1485" w:type="dxa"/>
          </w:tcPr>
          <w:p w14:paraId="272DDD74">
            <w:pPr>
              <w:pStyle w:val="24"/>
              <w:keepNext w:val="0"/>
              <w:keepLines w:val="0"/>
              <w:pageBreakBefore w:val="0"/>
              <w:widowControl w:val="0"/>
              <w:kinsoku/>
              <w:wordWrap/>
              <w:overflowPunct/>
              <w:bidi w:val="0"/>
              <w:adjustRightInd w:val="0"/>
              <w:snapToGrid w:val="0"/>
              <w:spacing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名称</w:t>
            </w:r>
          </w:p>
        </w:tc>
        <w:tc>
          <w:tcPr>
            <w:tcW w:w="1628" w:type="dxa"/>
          </w:tcPr>
          <w:p w14:paraId="5DE59349">
            <w:pPr>
              <w:pStyle w:val="24"/>
              <w:keepNext w:val="0"/>
              <w:keepLines w:val="0"/>
              <w:pageBreakBefore w:val="0"/>
              <w:widowControl w:val="0"/>
              <w:kinsoku/>
              <w:wordWrap/>
              <w:overflowPunct/>
              <w:bidi w:val="0"/>
              <w:adjustRightInd w:val="0"/>
              <w:snapToGrid w:val="0"/>
              <w:spacing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规格</w:t>
            </w:r>
          </w:p>
        </w:tc>
        <w:tc>
          <w:tcPr>
            <w:tcW w:w="5094" w:type="dxa"/>
          </w:tcPr>
          <w:p w14:paraId="63E49BEA">
            <w:pPr>
              <w:pStyle w:val="24"/>
              <w:keepNext w:val="0"/>
              <w:keepLines w:val="0"/>
              <w:pageBreakBefore w:val="0"/>
              <w:widowControl w:val="0"/>
              <w:kinsoku/>
              <w:wordWrap/>
              <w:overflowPunct/>
              <w:bidi w:val="0"/>
              <w:adjustRightInd w:val="0"/>
              <w:snapToGrid w:val="0"/>
              <w:spacing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备注</w:t>
            </w:r>
          </w:p>
        </w:tc>
      </w:tr>
      <w:tr w14:paraId="0FBC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53" w:type="dxa"/>
          </w:tcPr>
          <w:p w14:paraId="5BE7213D">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1</w:t>
            </w:r>
          </w:p>
        </w:tc>
        <w:tc>
          <w:tcPr>
            <w:tcW w:w="1485" w:type="dxa"/>
          </w:tcPr>
          <w:p w14:paraId="2F686054">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球磨机</w:t>
            </w:r>
          </w:p>
        </w:tc>
        <w:tc>
          <w:tcPr>
            <w:tcW w:w="1628" w:type="dxa"/>
          </w:tcPr>
          <w:p w14:paraId="7A061DAD">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Φ600</w:t>
            </w:r>
            <w:bookmarkStart w:id="22" w:name="OLE_LINK6"/>
            <w:r>
              <w:rPr>
                <w:rFonts w:hint="eastAsia" w:ascii="宋体" w:hAnsi="宋体" w:eastAsia="宋体" w:cs="宋体"/>
                <w:b w:val="0"/>
                <w:bCs w:val="0"/>
                <w:color w:val="auto"/>
                <w:kern w:val="0"/>
                <w:sz w:val="21"/>
                <w:szCs w:val="21"/>
                <w:highlight w:val="none"/>
                <w:lang w:val="en-US" w:eastAsia="zh-CN"/>
              </w:rPr>
              <w:t>×</w:t>
            </w:r>
            <w:bookmarkEnd w:id="22"/>
            <w:r>
              <w:rPr>
                <w:rFonts w:hint="eastAsia" w:ascii="宋体" w:hAnsi="宋体" w:eastAsia="宋体" w:cs="宋体"/>
                <w:b w:val="0"/>
                <w:bCs w:val="0"/>
                <w:color w:val="auto"/>
                <w:kern w:val="0"/>
                <w:sz w:val="21"/>
                <w:szCs w:val="21"/>
                <w:highlight w:val="none"/>
                <w:lang w:val="en-US" w:eastAsia="zh-CN"/>
              </w:rPr>
              <w:t xml:space="preserve">1200 </w:t>
            </w:r>
          </w:p>
        </w:tc>
        <w:tc>
          <w:tcPr>
            <w:tcW w:w="5094" w:type="dxa"/>
          </w:tcPr>
          <w:p w14:paraId="05F5A0DB">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ascii="宋体" w:hAnsi="宋体" w:eastAsia="宋体" w:cs="宋体"/>
                <w:b w:val="0"/>
                <w:bCs w:val="0"/>
                <w:color w:val="auto"/>
                <w:kern w:val="0"/>
                <w:sz w:val="21"/>
                <w:szCs w:val="21"/>
                <w:highlight w:val="none"/>
                <w:lang w:val="en-US" w:eastAsia="zh-CN"/>
              </w:rPr>
            </w:pPr>
          </w:p>
        </w:tc>
      </w:tr>
      <w:tr w14:paraId="2393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53" w:type="dxa"/>
          </w:tcPr>
          <w:p w14:paraId="23532335">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2</w:t>
            </w:r>
          </w:p>
        </w:tc>
        <w:tc>
          <w:tcPr>
            <w:tcW w:w="1485" w:type="dxa"/>
          </w:tcPr>
          <w:p w14:paraId="7C18A18D">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bookmarkStart w:id="23" w:name="OLE_LINK10"/>
            <w:r>
              <w:rPr>
                <w:rFonts w:hint="eastAsia" w:ascii="宋体" w:hAnsi="宋体" w:eastAsia="宋体" w:cs="宋体"/>
                <w:b w:val="0"/>
                <w:bCs w:val="0"/>
                <w:color w:val="auto"/>
                <w:kern w:val="0"/>
                <w:sz w:val="21"/>
                <w:szCs w:val="21"/>
                <w:highlight w:val="none"/>
                <w:lang w:val="en-US" w:eastAsia="zh-CN"/>
              </w:rPr>
              <w:t>螺旋分级机</w:t>
            </w:r>
            <w:bookmarkEnd w:id="23"/>
          </w:p>
        </w:tc>
        <w:tc>
          <w:tcPr>
            <w:tcW w:w="1628" w:type="dxa"/>
          </w:tcPr>
          <w:p w14:paraId="00004629">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FG03×3000</w:t>
            </w:r>
          </w:p>
        </w:tc>
        <w:tc>
          <w:tcPr>
            <w:tcW w:w="5094" w:type="dxa"/>
          </w:tcPr>
          <w:p w14:paraId="6B552816">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p>
        </w:tc>
      </w:tr>
      <w:tr w14:paraId="05F1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53" w:type="dxa"/>
          </w:tcPr>
          <w:p w14:paraId="513BE896">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3</w:t>
            </w:r>
          </w:p>
        </w:tc>
        <w:tc>
          <w:tcPr>
            <w:tcW w:w="1485" w:type="dxa"/>
          </w:tcPr>
          <w:p w14:paraId="3D0085D0">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 xml:space="preserve">摆式给料机 </w:t>
            </w:r>
          </w:p>
        </w:tc>
        <w:tc>
          <w:tcPr>
            <w:tcW w:w="1628" w:type="dxa"/>
          </w:tcPr>
          <w:p w14:paraId="1731FB0C">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B300×300</w:t>
            </w:r>
          </w:p>
        </w:tc>
        <w:tc>
          <w:tcPr>
            <w:tcW w:w="5094" w:type="dxa"/>
          </w:tcPr>
          <w:p w14:paraId="068BFD4D">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p>
        </w:tc>
      </w:tr>
      <w:tr w14:paraId="69D1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53" w:type="dxa"/>
          </w:tcPr>
          <w:p w14:paraId="693FE126">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4</w:t>
            </w:r>
          </w:p>
        </w:tc>
        <w:tc>
          <w:tcPr>
            <w:tcW w:w="1485" w:type="dxa"/>
            <w:vAlign w:val="center"/>
          </w:tcPr>
          <w:p w14:paraId="3F2F31D9">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ascii="宋体" w:hAnsi="宋体" w:eastAsia="宋体" w:cs="宋体"/>
                <w:b w:val="0"/>
                <w:bCs w:val="0"/>
                <w:color w:val="auto"/>
                <w:kern w:val="0"/>
                <w:sz w:val="21"/>
                <w:szCs w:val="21"/>
                <w:highlight w:val="none"/>
                <w:lang w:val="en-US" w:eastAsia="zh-CN"/>
              </w:rPr>
            </w:pPr>
            <w:r>
              <w:rPr>
                <w:rFonts w:hint="eastAsia" w:cs="宋体"/>
                <w:b w:val="0"/>
                <w:bCs w:val="0"/>
                <w:color w:val="auto"/>
                <w:kern w:val="0"/>
                <w:sz w:val="21"/>
                <w:szCs w:val="21"/>
                <w:highlight w:val="none"/>
                <w:lang w:val="en-US" w:eastAsia="zh-CN"/>
              </w:rPr>
              <w:t>随机</w:t>
            </w:r>
            <w:r>
              <w:rPr>
                <w:rFonts w:hint="eastAsia" w:ascii="宋体" w:hAnsi="宋体" w:eastAsia="宋体" w:cs="宋体"/>
                <w:b w:val="0"/>
                <w:bCs w:val="0"/>
                <w:color w:val="auto"/>
                <w:kern w:val="0"/>
                <w:sz w:val="21"/>
                <w:szCs w:val="21"/>
                <w:highlight w:val="none"/>
                <w:lang w:val="en-US" w:eastAsia="zh-CN"/>
              </w:rPr>
              <w:t>控制箱</w:t>
            </w:r>
          </w:p>
        </w:tc>
        <w:tc>
          <w:tcPr>
            <w:tcW w:w="1628" w:type="dxa"/>
            <w:vAlign w:val="center"/>
          </w:tcPr>
          <w:p w14:paraId="1CAA3C67">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随设备</w:t>
            </w:r>
          </w:p>
        </w:tc>
        <w:tc>
          <w:tcPr>
            <w:tcW w:w="5094" w:type="dxa"/>
            <w:vAlign w:val="center"/>
          </w:tcPr>
          <w:p w14:paraId="588924F4">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到货后电气控制柜接电，</w:t>
            </w:r>
            <w:r>
              <w:rPr>
                <w:rFonts w:hint="eastAsia" w:cs="宋体"/>
                <w:b w:val="0"/>
                <w:bCs w:val="0"/>
                <w:color w:val="auto"/>
                <w:kern w:val="0"/>
                <w:sz w:val="21"/>
                <w:szCs w:val="21"/>
                <w:highlight w:val="none"/>
                <w:lang w:val="en-US" w:eastAsia="zh-CN"/>
              </w:rPr>
              <w:t>整个</w:t>
            </w:r>
            <w:r>
              <w:rPr>
                <w:rFonts w:hint="eastAsia" w:ascii="宋体" w:hAnsi="宋体" w:eastAsia="宋体" w:cs="宋体"/>
                <w:b w:val="0"/>
                <w:bCs w:val="0"/>
                <w:color w:val="auto"/>
                <w:kern w:val="0"/>
                <w:sz w:val="21"/>
                <w:szCs w:val="21"/>
                <w:highlight w:val="none"/>
                <w:lang w:val="en-US" w:eastAsia="zh-CN"/>
              </w:rPr>
              <w:t>系统即可正常生产。</w:t>
            </w:r>
          </w:p>
        </w:tc>
      </w:tr>
      <w:tr w14:paraId="19E6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53" w:type="dxa"/>
          </w:tcPr>
          <w:p w14:paraId="4E565440">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ascii="宋体" w:hAnsi="宋体" w:eastAsia="宋体" w:cs="宋体"/>
                <w:b w:val="0"/>
                <w:bCs w:val="0"/>
                <w:color w:val="auto"/>
                <w:kern w:val="0"/>
                <w:sz w:val="21"/>
                <w:szCs w:val="21"/>
                <w:highlight w:val="none"/>
                <w:lang w:val="en-US" w:eastAsia="zh-CN"/>
              </w:rPr>
            </w:pPr>
            <w:bookmarkStart w:id="24" w:name="OLE_LINK12" w:colFirst="1" w:colLast="2"/>
            <w:r>
              <w:rPr>
                <w:rFonts w:hint="eastAsia" w:cs="宋体"/>
                <w:b w:val="0"/>
                <w:bCs w:val="0"/>
                <w:color w:val="auto"/>
                <w:kern w:val="0"/>
                <w:sz w:val="21"/>
                <w:szCs w:val="21"/>
                <w:highlight w:val="none"/>
                <w:lang w:val="en-US" w:eastAsia="zh-CN"/>
              </w:rPr>
              <w:t>5</w:t>
            </w:r>
          </w:p>
        </w:tc>
        <w:tc>
          <w:tcPr>
            <w:tcW w:w="1485" w:type="dxa"/>
            <w:vAlign w:val="center"/>
          </w:tcPr>
          <w:p w14:paraId="100A1883">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cs="宋体"/>
                <w:b w:val="0"/>
                <w:bCs w:val="0"/>
                <w:color w:val="auto"/>
                <w:kern w:val="0"/>
                <w:sz w:val="21"/>
                <w:szCs w:val="21"/>
                <w:highlight w:val="none"/>
                <w:lang w:val="en-US" w:eastAsia="zh-CN"/>
              </w:rPr>
            </w:pPr>
            <w:r>
              <w:rPr>
                <w:rFonts w:hint="eastAsia" w:cs="宋体"/>
                <w:b w:val="0"/>
                <w:bCs w:val="0"/>
                <w:color w:val="auto"/>
                <w:kern w:val="0"/>
                <w:sz w:val="21"/>
                <w:szCs w:val="21"/>
                <w:highlight w:val="none"/>
                <w:lang w:val="en-US" w:eastAsia="zh-CN"/>
              </w:rPr>
              <w:t>直耗钢球</w:t>
            </w:r>
          </w:p>
        </w:tc>
        <w:tc>
          <w:tcPr>
            <w:tcW w:w="1628" w:type="dxa"/>
            <w:vAlign w:val="center"/>
          </w:tcPr>
          <w:p w14:paraId="0869FF9A">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ascii="宋体" w:hAnsi="宋体" w:eastAsia="宋体" w:cs="宋体"/>
                <w:b w:val="0"/>
                <w:bCs w:val="0"/>
                <w:color w:val="auto"/>
                <w:kern w:val="0"/>
                <w:sz w:val="21"/>
                <w:szCs w:val="21"/>
                <w:highlight w:val="none"/>
                <w:lang w:val="en-US" w:eastAsia="zh-CN"/>
              </w:rPr>
            </w:pPr>
            <w:r>
              <w:rPr>
                <w:rFonts w:hint="eastAsia" w:cs="宋体"/>
                <w:b w:val="0"/>
                <w:bCs w:val="0"/>
                <w:color w:val="auto"/>
                <w:kern w:val="0"/>
                <w:sz w:val="21"/>
                <w:szCs w:val="21"/>
                <w:highlight w:val="none"/>
                <w:lang w:val="en-US" w:eastAsia="zh-CN"/>
              </w:rPr>
              <w:t>0.5吨</w:t>
            </w:r>
          </w:p>
        </w:tc>
        <w:tc>
          <w:tcPr>
            <w:tcW w:w="5094" w:type="dxa"/>
            <w:vAlign w:val="center"/>
          </w:tcPr>
          <w:p w14:paraId="43CD8BC2">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p>
        </w:tc>
      </w:tr>
      <w:tr w14:paraId="53BF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53" w:type="dxa"/>
          </w:tcPr>
          <w:p w14:paraId="62E8D37D">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cs="宋体"/>
                <w:b w:val="0"/>
                <w:bCs w:val="0"/>
                <w:color w:val="auto"/>
                <w:kern w:val="0"/>
                <w:sz w:val="21"/>
                <w:szCs w:val="21"/>
                <w:highlight w:val="none"/>
                <w:lang w:val="en-US" w:eastAsia="zh-CN"/>
              </w:rPr>
            </w:pPr>
            <w:r>
              <w:rPr>
                <w:rFonts w:hint="eastAsia" w:cs="宋体"/>
                <w:b w:val="0"/>
                <w:bCs w:val="0"/>
                <w:color w:val="auto"/>
                <w:kern w:val="0"/>
                <w:sz w:val="21"/>
                <w:szCs w:val="21"/>
                <w:highlight w:val="none"/>
                <w:lang w:val="en-US" w:eastAsia="zh-CN"/>
              </w:rPr>
              <w:t>6</w:t>
            </w:r>
          </w:p>
        </w:tc>
        <w:tc>
          <w:tcPr>
            <w:tcW w:w="1485" w:type="dxa"/>
            <w:vAlign w:val="center"/>
          </w:tcPr>
          <w:p w14:paraId="7C06513D">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cs="宋体"/>
                <w:b w:val="0"/>
                <w:bCs w:val="0"/>
                <w:color w:val="auto"/>
                <w:kern w:val="0"/>
                <w:sz w:val="21"/>
                <w:szCs w:val="21"/>
                <w:highlight w:val="none"/>
                <w:lang w:val="en-US" w:eastAsia="zh-CN"/>
              </w:rPr>
            </w:pPr>
            <w:r>
              <w:rPr>
                <w:rFonts w:hint="eastAsia" w:cs="宋体"/>
                <w:b w:val="0"/>
                <w:bCs w:val="0"/>
                <w:color w:val="auto"/>
                <w:kern w:val="0"/>
                <w:sz w:val="21"/>
                <w:szCs w:val="21"/>
                <w:highlight w:val="none"/>
                <w:lang w:val="en-US" w:eastAsia="zh-CN"/>
              </w:rPr>
              <w:t>进料皮带输送机</w:t>
            </w:r>
          </w:p>
        </w:tc>
        <w:tc>
          <w:tcPr>
            <w:tcW w:w="1628" w:type="dxa"/>
            <w:vAlign w:val="center"/>
          </w:tcPr>
          <w:p w14:paraId="6B222C83">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default" w:cs="宋体"/>
                <w:b w:val="0"/>
                <w:bCs w:val="0"/>
                <w:color w:val="auto"/>
                <w:kern w:val="0"/>
                <w:sz w:val="21"/>
                <w:szCs w:val="21"/>
                <w:highlight w:val="none"/>
                <w:lang w:val="en-US" w:eastAsia="zh-CN"/>
              </w:rPr>
            </w:pPr>
            <w:r>
              <w:rPr>
                <w:rFonts w:hint="eastAsia" w:cs="宋体"/>
                <w:b w:val="0"/>
                <w:bCs w:val="0"/>
                <w:color w:val="auto"/>
                <w:kern w:val="0"/>
                <w:sz w:val="21"/>
                <w:szCs w:val="21"/>
                <w:highlight w:val="none"/>
                <w:lang w:val="en-US" w:eastAsia="zh-CN"/>
              </w:rPr>
              <w:t>B500*6米</w:t>
            </w:r>
          </w:p>
        </w:tc>
        <w:tc>
          <w:tcPr>
            <w:tcW w:w="5094" w:type="dxa"/>
            <w:vAlign w:val="center"/>
          </w:tcPr>
          <w:p w14:paraId="7976AE28">
            <w:pPr>
              <w:pStyle w:val="24"/>
              <w:keepNext w:val="0"/>
              <w:keepLines w:val="0"/>
              <w:pageBreakBefore w:val="0"/>
              <w:widowControl w:val="0"/>
              <w:kinsoku/>
              <w:wordWrap/>
              <w:overflowPunct/>
              <w:bidi w:val="0"/>
              <w:adjustRightInd w:val="0"/>
              <w:snapToGrid w:val="0"/>
              <w:spacing w:line="240" w:lineRule="auto"/>
              <w:ind w:left="0" w:leftChars="0" w:firstLine="0" w:firstLineChars="0"/>
              <w:jc w:val="left"/>
              <w:textAlignment w:val="auto"/>
              <w:rPr>
                <w:rFonts w:hint="eastAsia" w:ascii="宋体" w:hAnsi="宋体" w:eastAsia="宋体" w:cs="宋体"/>
                <w:b w:val="0"/>
                <w:bCs w:val="0"/>
                <w:color w:val="auto"/>
                <w:kern w:val="0"/>
                <w:sz w:val="21"/>
                <w:szCs w:val="21"/>
                <w:highlight w:val="none"/>
                <w:lang w:val="en-US" w:eastAsia="zh-CN"/>
              </w:rPr>
            </w:pPr>
          </w:p>
        </w:tc>
      </w:tr>
      <w:bookmarkEnd w:id="24"/>
    </w:tbl>
    <w:p w14:paraId="33490D18">
      <w:pPr>
        <w:keepNext w:val="0"/>
        <w:keepLines w:val="0"/>
        <w:pageBreakBefore w:val="0"/>
        <w:widowControl w:val="0"/>
        <w:numPr>
          <w:ilvl w:val="0"/>
          <w:numId w:val="0"/>
        </w:numPr>
        <w:tabs>
          <w:tab w:val="left" w:pos="0"/>
          <w:tab w:val="left" w:pos="540"/>
          <w:tab w:val="left" w:pos="720"/>
        </w:tabs>
        <w:kinsoku/>
        <w:wordWrap/>
        <w:overflowPunct/>
        <w:topLinePunct w:val="0"/>
        <w:autoSpaceDE/>
        <w:autoSpaceDN/>
        <w:bidi w:val="0"/>
        <w:adjustRightInd w:val="0"/>
        <w:snapToGrid w:val="0"/>
        <w:spacing w:line="500" w:lineRule="exact"/>
        <w:ind w:right="0" w:firstLine="480" w:firstLineChars="200"/>
        <w:textAlignment w:val="auto"/>
        <w:outlineLvl w:val="9"/>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注：1、上述随机备品备件的价格已包含在合同总价中；但不包括因乙方提供的设备质量问题出现故障导致更换的部件，此费用应由乙方自行承担。2、性能验收试验合格前，如乙方供货范围内零部件备件数量不足（非人为原因损坏），而此备件为设备安装、调试、运行和维护所必需的，则乙方免费供应补足且承担备件发运全物流环节的税费和其他相关损失、责任。</w:t>
      </w:r>
    </w:p>
    <w:p w14:paraId="00AAF1AB">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黑体" w:hAnsi="黑体" w:eastAsia="黑体" w:cs="黑体"/>
          <w:b w:val="0"/>
          <w:bCs w:val="0"/>
          <w:color w:val="auto"/>
          <w:kern w:val="2"/>
          <w:sz w:val="24"/>
          <w:szCs w:val="24"/>
          <w:highlight w:val="none"/>
          <w:lang w:val="en-US" w:eastAsia="zh-CN" w:bidi="ar-SA"/>
        </w:rPr>
      </w:pPr>
      <w:bookmarkStart w:id="25" w:name="_Toc3571"/>
      <w:r>
        <w:rPr>
          <w:rFonts w:hint="eastAsia" w:ascii="黑体" w:hAnsi="黑体" w:eastAsia="黑体" w:cs="黑体"/>
          <w:b w:val="0"/>
          <w:bCs w:val="0"/>
          <w:color w:val="auto"/>
          <w:kern w:val="2"/>
          <w:sz w:val="24"/>
          <w:szCs w:val="24"/>
          <w:highlight w:val="none"/>
          <w:lang w:val="en-US" w:eastAsia="zh-CN" w:bidi="ar-SA"/>
        </w:rPr>
        <w:t>四、技术要求及参数</w:t>
      </w:r>
      <w:bookmarkEnd w:id="0"/>
      <w:bookmarkEnd w:id="25"/>
    </w:p>
    <w:p w14:paraId="461E6285">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color w:val="auto"/>
          <w:kern w:val="0"/>
          <w:sz w:val="24"/>
          <w:szCs w:val="24"/>
          <w:highlight w:val="none"/>
          <w:lang w:val="en-US" w:eastAsia="zh-CN"/>
        </w:rPr>
      </w:pPr>
      <w:r>
        <w:rPr>
          <w:rFonts w:hint="eastAsia" w:ascii="仿宋_GB2312" w:hAnsi="仿宋_GB2312" w:eastAsia="仿宋_GB2312" w:cs="仿宋_GB2312"/>
          <w:b w:val="0"/>
          <w:bCs/>
          <w:color w:val="auto"/>
          <w:kern w:val="0"/>
          <w:sz w:val="24"/>
          <w:szCs w:val="24"/>
          <w:highlight w:val="none"/>
          <w:lang w:val="en-US" w:eastAsia="zh-CN"/>
        </w:rPr>
        <w:t>1、</w:t>
      </w:r>
      <w:r>
        <w:rPr>
          <w:rFonts w:hint="eastAsia" w:cs="宋体"/>
          <w:b w:val="0"/>
          <w:bCs w:val="0"/>
          <w:color w:val="auto"/>
          <w:kern w:val="0"/>
          <w:sz w:val="21"/>
          <w:szCs w:val="21"/>
          <w:highlight w:val="none"/>
          <w:lang w:val="en-US" w:eastAsia="zh-CN"/>
        </w:rPr>
        <w:t>球磨机电机</w:t>
      </w:r>
      <w:r>
        <w:rPr>
          <w:rFonts w:hint="eastAsia" w:ascii="宋体" w:hAnsi="宋体" w:eastAsia="宋体" w:cs="宋体"/>
          <w:b w:val="0"/>
          <w:bCs w:val="0"/>
          <w:color w:val="auto"/>
          <w:kern w:val="0"/>
          <w:sz w:val="21"/>
          <w:szCs w:val="21"/>
          <w:highlight w:val="none"/>
          <w:lang w:val="en-US" w:eastAsia="zh-CN"/>
        </w:rPr>
        <w:t>功率5.5kW，装有耐磨高锰钢ZGMn13衬板，</w:t>
      </w:r>
      <w:r>
        <w:rPr>
          <w:rFonts w:hint="eastAsia" w:ascii="宋体" w:hAnsi="宋体" w:eastAsia="宋体" w:cs="宋体"/>
          <w:b w:val="0"/>
          <w:bCs w:val="0"/>
          <w:color w:val="auto"/>
          <w:kern w:val="0"/>
          <w:sz w:val="21"/>
          <w:szCs w:val="21"/>
        </w:rPr>
        <w:t>筒体转速</w:t>
      </w:r>
      <w:r>
        <w:rPr>
          <w:rFonts w:hint="eastAsia" w:ascii="宋体" w:hAnsi="宋体" w:eastAsia="宋体" w:cs="宋体"/>
          <w:b w:val="0"/>
          <w:bCs w:val="0"/>
          <w:color w:val="auto"/>
          <w:kern w:val="0"/>
          <w:sz w:val="21"/>
          <w:szCs w:val="21"/>
          <w:lang w:val="en-US" w:eastAsia="zh-CN"/>
        </w:rPr>
        <w:t>36.5</w:t>
      </w:r>
      <w:r>
        <w:rPr>
          <w:rFonts w:hint="eastAsia" w:ascii="宋体" w:hAnsi="宋体" w:eastAsia="宋体" w:cs="宋体"/>
          <w:b w:val="0"/>
          <w:bCs w:val="0"/>
          <w:color w:val="auto"/>
          <w:kern w:val="0"/>
          <w:sz w:val="21"/>
          <w:szCs w:val="21"/>
        </w:rPr>
        <w:t>rpm</w:t>
      </w:r>
      <w:r>
        <w:rPr>
          <w:rFonts w:hint="eastAsia" w:ascii="宋体" w:hAnsi="宋体" w:eastAsia="宋体" w:cs="宋体"/>
          <w:b w:val="0"/>
          <w:bCs w:val="0"/>
          <w:color w:val="auto"/>
          <w:kern w:val="0"/>
          <w:sz w:val="21"/>
          <w:szCs w:val="21"/>
          <w:lang w:eastAsia="zh-CN"/>
        </w:rPr>
        <w:t>，</w:t>
      </w:r>
      <w:r>
        <w:rPr>
          <w:rFonts w:hint="eastAsia" w:ascii="宋体" w:hAnsi="宋体" w:eastAsia="宋体" w:cs="宋体"/>
          <w:b w:val="0"/>
          <w:bCs w:val="0"/>
          <w:color w:val="auto"/>
          <w:kern w:val="0"/>
          <w:sz w:val="21"/>
          <w:szCs w:val="21"/>
        </w:rPr>
        <w:t>有效容积</w:t>
      </w:r>
      <w:r>
        <w:rPr>
          <w:rFonts w:hint="eastAsia" w:ascii="宋体" w:hAnsi="宋体" w:eastAsia="宋体" w:cs="宋体"/>
          <w:b w:val="0"/>
          <w:bCs w:val="0"/>
          <w:color w:val="auto"/>
          <w:kern w:val="0"/>
          <w:sz w:val="21"/>
          <w:szCs w:val="21"/>
          <w:lang w:val="en-US" w:eastAsia="zh-CN"/>
        </w:rPr>
        <w:t>0.3</w:t>
      </w:r>
      <w:r>
        <w:rPr>
          <w:rFonts w:hint="eastAsia" w:ascii="宋体" w:hAnsi="宋体" w:eastAsia="宋体" w:cs="宋体"/>
          <w:b w:val="0"/>
          <w:bCs w:val="0"/>
          <w:color w:val="auto"/>
          <w:kern w:val="0"/>
          <w:sz w:val="21"/>
          <w:szCs w:val="21"/>
        </w:rPr>
        <w:t>m</w:t>
      </w:r>
      <w:r>
        <w:rPr>
          <w:rFonts w:hint="eastAsia" w:ascii="宋体" w:hAnsi="宋体" w:eastAsia="宋体" w:cs="宋体"/>
          <w:b w:val="0"/>
          <w:bCs w:val="0"/>
          <w:color w:val="auto"/>
          <w:kern w:val="0"/>
          <w:sz w:val="21"/>
          <w:szCs w:val="21"/>
          <w:vertAlign w:val="superscript"/>
        </w:rPr>
        <w:t>3</w:t>
      </w:r>
      <w:r>
        <w:rPr>
          <w:rFonts w:hint="eastAsia" w:ascii="宋体" w:hAnsi="宋体" w:eastAsia="宋体" w:cs="宋体"/>
          <w:b w:val="0"/>
          <w:bCs w:val="0"/>
          <w:color w:val="auto"/>
          <w:kern w:val="0"/>
          <w:sz w:val="21"/>
          <w:szCs w:val="21"/>
          <w:lang w:eastAsia="zh-CN"/>
        </w:rPr>
        <w:t>，</w:t>
      </w:r>
      <w:r>
        <w:rPr>
          <w:rFonts w:hint="eastAsia" w:ascii="宋体" w:hAnsi="宋体" w:eastAsia="宋体" w:cs="宋体"/>
          <w:b w:val="0"/>
          <w:bCs w:val="0"/>
          <w:color w:val="auto"/>
          <w:kern w:val="0"/>
          <w:sz w:val="21"/>
          <w:szCs w:val="21"/>
          <w:highlight w:val="none"/>
          <w:lang w:val="en-US" w:eastAsia="zh-CN"/>
        </w:rPr>
        <w:t>带初装球450公斤；</w:t>
      </w:r>
      <w:r>
        <w:rPr>
          <w:rFonts w:hint="eastAsia" w:ascii="宋体" w:hAnsi="宋体" w:eastAsia="宋体" w:cs="宋体"/>
          <w:b w:val="0"/>
          <w:bCs w:val="0"/>
          <w:color w:val="auto"/>
          <w:sz w:val="21"/>
          <w:szCs w:val="21"/>
        </w:rPr>
        <w:t>给料仓700</w:t>
      </w:r>
      <w:bookmarkStart w:id="26" w:name="OLE_LINK9"/>
      <w:r>
        <w:rPr>
          <w:rFonts w:hint="eastAsia" w:ascii="宋体" w:hAnsi="宋体" w:eastAsia="宋体" w:cs="宋体"/>
          <w:b w:val="0"/>
          <w:bCs w:val="0"/>
          <w:color w:val="auto"/>
          <w:kern w:val="0"/>
          <w:sz w:val="21"/>
          <w:szCs w:val="21"/>
          <w:highlight w:val="none"/>
          <w:lang w:val="en-US" w:eastAsia="zh-CN"/>
        </w:rPr>
        <w:t>×</w:t>
      </w:r>
      <w:bookmarkEnd w:id="26"/>
      <w:r>
        <w:rPr>
          <w:rFonts w:hint="eastAsia" w:ascii="宋体" w:hAnsi="宋体" w:eastAsia="宋体" w:cs="宋体"/>
          <w:b w:val="0"/>
          <w:bCs w:val="0"/>
          <w:color w:val="auto"/>
          <w:sz w:val="21"/>
          <w:szCs w:val="21"/>
        </w:rPr>
        <w:t>700mm 设备外形尺寸：4000</w:t>
      </w:r>
      <w:r>
        <w:rPr>
          <w:rFonts w:hint="eastAsia" w:ascii="宋体" w:hAnsi="宋体" w:eastAsia="宋体" w:cs="宋体"/>
          <w:b w:val="0"/>
          <w:bCs w:val="0"/>
          <w:color w:val="auto"/>
          <w:kern w:val="0"/>
          <w:sz w:val="21"/>
          <w:szCs w:val="21"/>
          <w:highlight w:val="none"/>
          <w:lang w:val="en-US" w:eastAsia="zh-CN"/>
        </w:rPr>
        <w:t>×</w:t>
      </w:r>
      <w:r>
        <w:rPr>
          <w:rFonts w:hint="eastAsia" w:ascii="宋体" w:hAnsi="宋体" w:eastAsia="宋体" w:cs="宋体"/>
          <w:b w:val="0"/>
          <w:bCs w:val="0"/>
          <w:color w:val="auto"/>
          <w:sz w:val="21"/>
          <w:szCs w:val="21"/>
        </w:rPr>
        <w:t>2250</w:t>
      </w:r>
      <w:r>
        <w:rPr>
          <w:rFonts w:hint="eastAsia" w:ascii="宋体" w:hAnsi="宋体" w:eastAsia="宋体" w:cs="宋体"/>
          <w:b w:val="0"/>
          <w:bCs w:val="0"/>
          <w:color w:val="auto"/>
          <w:kern w:val="0"/>
          <w:sz w:val="21"/>
          <w:szCs w:val="21"/>
          <w:highlight w:val="none"/>
          <w:lang w:val="en-US" w:eastAsia="zh-CN"/>
        </w:rPr>
        <w:t>×</w:t>
      </w:r>
      <w:r>
        <w:rPr>
          <w:rFonts w:hint="eastAsia" w:ascii="宋体" w:hAnsi="宋体" w:eastAsia="宋体" w:cs="宋体"/>
          <w:b w:val="0"/>
          <w:bCs w:val="0"/>
          <w:color w:val="auto"/>
          <w:sz w:val="21"/>
          <w:szCs w:val="21"/>
        </w:rPr>
        <w:t>2200mm</w:t>
      </w:r>
      <w:r>
        <w:rPr>
          <w:rFonts w:hint="eastAsia" w:ascii="宋体" w:hAnsi="宋体" w:eastAsia="宋体" w:cs="宋体"/>
          <w:b w:val="0"/>
          <w:bCs w:val="0"/>
          <w:color w:val="auto"/>
          <w:kern w:val="0"/>
          <w:sz w:val="21"/>
          <w:szCs w:val="21"/>
          <w:highlight w:val="none"/>
          <w:lang w:val="en-US" w:eastAsia="zh-CN"/>
        </w:rPr>
        <w:t>。</w:t>
      </w:r>
    </w:p>
    <w:p w14:paraId="3FF0C823">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color w:val="auto"/>
          <w:kern w:val="0"/>
          <w:sz w:val="24"/>
          <w:szCs w:val="24"/>
          <w:highlight w:val="none"/>
          <w:lang w:val="en-US" w:eastAsia="zh-CN"/>
        </w:rPr>
      </w:pPr>
      <w:r>
        <w:rPr>
          <w:rFonts w:hint="eastAsia" w:ascii="仿宋_GB2312" w:hAnsi="仿宋_GB2312" w:eastAsia="仿宋_GB2312" w:cs="仿宋_GB2312"/>
          <w:b w:val="0"/>
          <w:bCs/>
          <w:color w:val="auto"/>
          <w:kern w:val="0"/>
          <w:sz w:val="24"/>
          <w:szCs w:val="24"/>
          <w:highlight w:val="none"/>
          <w:lang w:val="en-US" w:eastAsia="zh-CN"/>
        </w:rPr>
        <w:t>2、</w:t>
      </w:r>
      <w:r>
        <w:rPr>
          <w:rFonts w:hint="eastAsia" w:ascii="宋体" w:hAnsi="宋体" w:eastAsia="宋体" w:cs="宋体"/>
          <w:b w:val="0"/>
          <w:bCs w:val="0"/>
          <w:color w:val="auto"/>
          <w:kern w:val="0"/>
          <w:sz w:val="21"/>
          <w:szCs w:val="21"/>
          <w:highlight w:val="none"/>
          <w:lang w:val="en-US" w:eastAsia="zh-CN"/>
        </w:rPr>
        <w:t>螺旋分级机</w:t>
      </w:r>
      <w:bookmarkStart w:id="27" w:name="OLE_LINK11"/>
      <w:r>
        <w:rPr>
          <w:rFonts w:hint="eastAsia" w:ascii="宋体" w:hAnsi="宋体" w:eastAsia="宋体" w:cs="宋体"/>
          <w:b w:val="0"/>
          <w:bCs w:val="0"/>
          <w:color w:val="auto"/>
          <w:kern w:val="0"/>
          <w:sz w:val="21"/>
          <w:szCs w:val="21"/>
          <w:highlight w:val="none"/>
          <w:lang w:val="en-US" w:eastAsia="zh-CN"/>
        </w:rPr>
        <w:t>功率1.1</w:t>
      </w:r>
      <w:bookmarkStart w:id="28" w:name="OLE_LINK7"/>
      <w:r>
        <w:rPr>
          <w:rFonts w:hint="eastAsia" w:cs="宋体"/>
          <w:b w:val="0"/>
          <w:bCs w:val="0"/>
          <w:color w:val="auto"/>
          <w:kern w:val="0"/>
          <w:sz w:val="21"/>
          <w:szCs w:val="21"/>
          <w:highlight w:val="none"/>
          <w:lang w:val="en-US" w:eastAsia="zh-CN"/>
        </w:rPr>
        <w:t>k</w:t>
      </w:r>
      <w:r>
        <w:rPr>
          <w:rFonts w:hint="eastAsia" w:ascii="宋体" w:hAnsi="宋体" w:eastAsia="宋体" w:cs="宋体"/>
          <w:b w:val="0"/>
          <w:bCs w:val="0"/>
          <w:color w:val="auto"/>
          <w:kern w:val="0"/>
          <w:sz w:val="21"/>
          <w:szCs w:val="21"/>
          <w:highlight w:val="none"/>
          <w:lang w:val="en-US" w:eastAsia="zh-CN"/>
        </w:rPr>
        <w:t>W</w:t>
      </w:r>
      <w:bookmarkEnd w:id="27"/>
      <w:bookmarkEnd w:id="28"/>
      <w:r>
        <w:rPr>
          <w:rFonts w:hint="eastAsia" w:ascii="仿宋_GB2312" w:hAnsi="仿宋_GB2312" w:eastAsia="仿宋_GB2312" w:cs="仿宋_GB2312"/>
          <w:b w:val="0"/>
          <w:bCs/>
          <w:color w:val="auto"/>
          <w:kern w:val="0"/>
          <w:sz w:val="24"/>
          <w:szCs w:val="24"/>
          <w:highlight w:val="none"/>
          <w:lang w:val="en-US" w:eastAsia="zh-CN"/>
        </w:rPr>
        <w:t>。</w:t>
      </w:r>
    </w:p>
    <w:p w14:paraId="5AA3BD59">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color w:val="auto"/>
          <w:kern w:val="0"/>
          <w:sz w:val="24"/>
          <w:szCs w:val="24"/>
          <w:highlight w:val="none"/>
          <w:lang w:val="en-US" w:eastAsia="zh-CN"/>
        </w:rPr>
      </w:pPr>
      <w:r>
        <w:rPr>
          <w:rFonts w:hint="eastAsia" w:ascii="仿宋_GB2312" w:hAnsi="仿宋_GB2312" w:eastAsia="仿宋_GB2312" w:cs="仿宋_GB2312"/>
          <w:b w:val="0"/>
          <w:bCs/>
          <w:color w:val="auto"/>
          <w:kern w:val="0"/>
          <w:sz w:val="24"/>
          <w:szCs w:val="24"/>
          <w:highlight w:val="none"/>
          <w:lang w:val="en-US" w:eastAsia="zh-CN"/>
        </w:rPr>
        <w:t>3、</w:t>
      </w:r>
      <w:r>
        <w:rPr>
          <w:rFonts w:hint="eastAsia" w:ascii="宋体" w:hAnsi="宋体" w:eastAsia="宋体" w:cs="宋体"/>
          <w:b w:val="0"/>
          <w:bCs w:val="0"/>
          <w:color w:val="auto"/>
          <w:kern w:val="0"/>
          <w:sz w:val="21"/>
          <w:szCs w:val="21"/>
          <w:highlight w:val="none"/>
          <w:lang w:val="en-US" w:eastAsia="zh-CN"/>
        </w:rPr>
        <w:t>摆式给料机功率</w:t>
      </w:r>
      <w:r>
        <w:rPr>
          <w:rFonts w:hint="eastAsia" w:cs="宋体"/>
          <w:b w:val="0"/>
          <w:bCs w:val="0"/>
          <w:color w:val="auto"/>
          <w:kern w:val="0"/>
          <w:sz w:val="21"/>
          <w:szCs w:val="21"/>
          <w:highlight w:val="none"/>
          <w:lang w:val="en-US" w:eastAsia="zh-CN"/>
        </w:rPr>
        <w:t>0.75k</w:t>
      </w:r>
      <w:r>
        <w:rPr>
          <w:rFonts w:hint="eastAsia" w:ascii="宋体" w:hAnsi="宋体" w:eastAsia="宋体" w:cs="宋体"/>
          <w:b w:val="0"/>
          <w:bCs w:val="0"/>
          <w:color w:val="auto"/>
          <w:kern w:val="0"/>
          <w:sz w:val="21"/>
          <w:szCs w:val="21"/>
          <w:highlight w:val="none"/>
          <w:lang w:val="en-US" w:eastAsia="zh-CN"/>
        </w:rPr>
        <w:t xml:space="preserve">W </w:t>
      </w:r>
      <w:r>
        <w:rPr>
          <w:rFonts w:hint="eastAsia" w:ascii="仿宋_GB2312" w:hAnsi="仿宋_GB2312" w:eastAsia="仿宋_GB2312" w:cs="仿宋_GB2312"/>
          <w:b w:val="0"/>
          <w:bCs/>
          <w:color w:val="auto"/>
          <w:kern w:val="0"/>
          <w:sz w:val="24"/>
          <w:szCs w:val="24"/>
          <w:highlight w:val="none"/>
          <w:lang w:val="en-US" w:eastAsia="zh-CN"/>
        </w:rPr>
        <w:t>。</w:t>
      </w:r>
    </w:p>
    <w:p w14:paraId="00BF5971">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color w:val="auto"/>
          <w:kern w:val="0"/>
          <w:sz w:val="24"/>
          <w:szCs w:val="24"/>
          <w:highlight w:val="none"/>
          <w:lang w:val="en-US" w:eastAsia="zh-CN"/>
        </w:rPr>
      </w:pPr>
      <w:r>
        <w:rPr>
          <w:rFonts w:hint="eastAsia" w:ascii="仿宋_GB2312" w:hAnsi="仿宋_GB2312" w:eastAsia="仿宋_GB2312" w:cs="仿宋_GB2312"/>
          <w:b w:val="0"/>
          <w:bCs/>
          <w:color w:val="auto"/>
          <w:kern w:val="0"/>
          <w:sz w:val="24"/>
          <w:szCs w:val="24"/>
          <w:highlight w:val="none"/>
          <w:lang w:val="en-US" w:eastAsia="zh-CN"/>
        </w:rPr>
        <w:t>4、电源为三相四线制交流380v/220v、50Hz。</w:t>
      </w:r>
    </w:p>
    <w:p w14:paraId="4F7F6E58">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color w:val="auto"/>
          <w:kern w:val="0"/>
          <w:sz w:val="24"/>
          <w:szCs w:val="24"/>
          <w:highlight w:val="none"/>
          <w:lang w:val="en-US" w:eastAsia="zh-CN"/>
        </w:rPr>
      </w:pPr>
      <w:bookmarkStart w:id="29" w:name="_Toc9040"/>
      <w:r>
        <w:rPr>
          <w:rFonts w:hint="eastAsia" w:ascii="仿宋_GB2312" w:hAnsi="仿宋_GB2312" w:eastAsia="仿宋_GB2312" w:cs="仿宋_GB2312"/>
          <w:b w:val="0"/>
          <w:bCs/>
          <w:color w:val="auto"/>
          <w:kern w:val="0"/>
          <w:sz w:val="24"/>
          <w:szCs w:val="24"/>
          <w:highlight w:val="none"/>
          <w:lang w:val="en-US" w:eastAsia="zh-CN"/>
        </w:rPr>
        <w:t>5、表面涂装聚氨酯面漆</w:t>
      </w:r>
    </w:p>
    <w:p w14:paraId="4DF502CB">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default" w:eastAsia="宋体"/>
          <w:color w:val="auto"/>
          <w:lang w:val="en-US" w:eastAsia="zh-CN"/>
        </w:rPr>
      </w:pPr>
      <w:r>
        <w:rPr>
          <w:rFonts w:hint="eastAsia" w:ascii="仿宋_GB2312" w:hAnsi="仿宋_GB2312" w:eastAsia="仿宋_GB2312" w:cs="仿宋_GB2312"/>
          <w:b w:val="0"/>
          <w:bCs/>
          <w:color w:val="auto"/>
          <w:kern w:val="0"/>
          <w:sz w:val="24"/>
          <w:szCs w:val="24"/>
          <w:highlight w:val="none"/>
          <w:lang w:val="en-US" w:eastAsia="zh-CN"/>
        </w:rPr>
        <w:t>6、转动大齿轮、小齿轮带有安全罩。</w:t>
      </w:r>
    </w:p>
    <w:p w14:paraId="188FD454">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default" w:ascii="仿宋_GB2312" w:hAnsi="仿宋_GB2312" w:eastAsia="仿宋_GB2312" w:cs="仿宋_GB2312"/>
          <w:b w:val="0"/>
          <w:bCs/>
          <w:color w:val="auto"/>
          <w:kern w:val="0"/>
          <w:sz w:val="24"/>
          <w:szCs w:val="24"/>
          <w:highlight w:val="none"/>
          <w:lang w:val="en-US" w:eastAsia="zh-CN"/>
        </w:rPr>
      </w:pPr>
      <w:r>
        <w:rPr>
          <w:rFonts w:hint="eastAsia" w:ascii="仿宋_GB2312" w:hAnsi="仿宋_GB2312" w:eastAsia="仿宋_GB2312" w:cs="仿宋_GB2312"/>
          <w:b w:val="0"/>
          <w:bCs/>
          <w:color w:val="auto"/>
          <w:kern w:val="0"/>
          <w:sz w:val="24"/>
          <w:szCs w:val="24"/>
          <w:highlight w:val="none"/>
          <w:lang w:val="en-US" w:eastAsia="zh-CN"/>
        </w:rPr>
        <w:t>7、</w:t>
      </w:r>
      <w:bookmarkStart w:id="30" w:name="OLE_LINK15"/>
      <w:r>
        <w:rPr>
          <w:rFonts w:hint="eastAsia" w:ascii="仿宋_GB2312" w:hAnsi="仿宋_GB2312" w:eastAsia="仿宋_GB2312" w:cs="仿宋_GB2312"/>
          <w:b w:val="0"/>
          <w:bCs/>
          <w:color w:val="auto"/>
          <w:kern w:val="0"/>
          <w:sz w:val="24"/>
          <w:szCs w:val="24"/>
          <w:highlight w:val="none"/>
          <w:lang w:val="en-US" w:eastAsia="zh-CN"/>
        </w:rPr>
        <w:t>球磨机直耗钢球</w:t>
      </w:r>
      <w:bookmarkStart w:id="31" w:name="OLE_LINK14"/>
      <w:r>
        <w:rPr>
          <w:rFonts w:hint="eastAsia" w:ascii="仿宋_GB2312" w:hAnsi="仿宋_GB2312" w:eastAsia="仿宋_GB2312" w:cs="仿宋_GB2312"/>
          <w:b w:val="0"/>
          <w:bCs/>
          <w:color w:val="auto"/>
          <w:kern w:val="0"/>
          <w:sz w:val="24"/>
          <w:szCs w:val="24"/>
          <w:highlight w:val="none"/>
          <w:lang w:val="en-US" w:eastAsia="zh-CN"/>
        </w:rPr>
        <w:t>，其Φ</w:t>
      </w:r>
      <w:bookmarkEnd w:id="31"/>
      <w:r>
        <w:rPr>
          <w:rFonts w:hint="eastAsia" w:ascii="仿宋_GB2312" w:hAnsi="仿宋_GB2312" w:eastAsia="仿宋_GB2312" w:cs="仿宋_GB2312"/>
          <w:b w:val="0"/>
          <w:bCs/>
          <w:color w:val="auto"/>
          <w:kern w:val="0"/>
          <w:sz w:val="24"/>
          <w:szCs w:val="24"/>
          <w:highlight w:val="none"/>
          <w:lang w:val="en-US" w:eastAsia="zh-CN"/>
        </w:rPr>
        <w:t>30:Φ20配比是1</w:t>
      </w:r>
      <w:bookmarkStart w:id="32" w:name="OLE_LINK13"/>
      <w:r>
        <w:rPr>
          <w:rFonts w:hint="eastAsia" w:ascii="仿宋_GB2312" w:hAnsi="仿宋_GB2312" w:eastAsia="仿宋_GB2312" w:cs="仿宋_GB2312"/>
          <w:b w:val="0"/>
          <w:bCs/>
          <w:color w:val="auto"/>
          <w:kern w:val="0"/>
          <w:sz w:val="24"/>
          <w:szCs w:val="24"/>
          <w:highlight w:val="none"/>
          <w:lang w:val="en-US" w:eastAsia="zh-CN"/>
        </w:rPr>
        <w:t>:</w:t>
      </w:r>
      <w:bookmarkEnd w:id="32"/>
      <w:r>
        <w:rPr>
          <w:rFonts w:hint="eastAsia" w:ascii="仿宋_GB2312" w:hAnsi="仿宋_GB2312" w:eastAsia="仿宋_GB2312" w:cs="仿宋_GB2312"/>
          <w:b w:val="0"/>
          <w:bCs/>
          <w:color w:val="auto"/>
          <w:kern w:val="0"/>
          <w:sz w:val="24"/>
          <w:szCs w:val="24"/>
          <w:highlight w:val="none"/>
          <w:lang w:val="en-US" w:eastAsia="zh-CN"/>
        </w:rPr>
        <w:t>1，总重500kg</w:t>
      </w:r>
      <w:bookmarkEnd w:id="30"/>
      <w:r>
        <w:rPr>
          <w:rFonts w:hint="eastAsia" w:ascii="仿宋_GB2312" w:hAnsi="仿宋_GB2312" w:eastAsia="仿宋_GB2312" w:cs="仿宋_GB2312"/>
          <w:b w:val="0"/>
          <w:bCs/>
          <w:color w:val="auto"/>
          <w:kern w:val="0"/>
          <w:sz w:val="24"/>
          <w:szCs w:val="24"/>
          <w:highlight w:val="none"/>
          <w:lang w:val="en-US" w:eastAsia="zh-CN"/>
        </w:rPr>
        <w:t>；钢球的</w:t>
      </w:r>
      <w:r>
        <w:rPr>
          <w:rFonts w:hint="default" w:ascii="仿宋_GB2312" w:hAnsi="仿宋_GB2312" w:eastAsia="仿宋_GB2312" w:cs="仿宋_GB2312"/>
          <w:b w:val="0"/>
          <w:bCs/>
          <w:color w:val="auto"/>
          <w:kern w:val="0"/>
          <w:sz w:val="24"/>
          <w:szCs w:val="24"/>
          <w:highlight w:val="none"/>
          <w:lang w:val="en-US" w:eastAsia="zh-CN"/>
        </w:rPr>
        <w:fldChar w:fldCharType="begin"/>
      </w:r>
      <w:r>
        <w:rPr>
          <w:rFonts w:hint="default" w:ascii="仿宋_GB2312" w:hAnsi="仿宋_GB2312" w:eastAsia="仿宋_GB2312" w:cs="仿宋_GB2312"/>
          <w:b w:val="0"/>
          <w:bCs/>
          <w:color w:val="auto"/>
          <w:kern w:val="0"/>
          <w:sz w:val="24"/>
          <w:szCs w:val="24"/>
          <w:highlight w:val="none"/>
          <w:lang w:val="en-US" w:eastAsia="zh-CN"/>
        </w:rPr>
        <w:instrText xml:space="preserve"> HYPERLINK "https://baike.baidu.com/item/%E8%A1%A8%E9%9D%A2%E7%A1%AC%E5%BA%A6/7516942?fromModule=lemma_inlink" \t "https://baike.baidu.com/item/%E7%90%83%E7%A3%A8%E6%9C%BA%E9%92%A2%E7%90%83/_blank" </w:instrText>
      </w:r>
      <w:r>
        <w:rPr>
          <w:rFonts w:hint="default" w:ascii="仿宋_GB2312" w:hAnsi="仿宋_GB2312" w:eastAsia="仿宋_GB2312" w:cs="仿宋_GB2312"/>
          <w:b w:val="0"/>
          <w:bCs/>
          <w:color w:val="auto"/>
          <w:kern w:val="0"/>
          <w:sz w:val="24"/>
          <w:szCs w:val="24"/>
          <w:highlight w:val="none"/>
          <w:lang w:val="en-US" w:eastAsia="zh-CN"/>
        </w:rPr>
        <w:fldChar w:fldCharType="separate"/>
      </w:r>
      <w:r>
        <w:rPr>
          <w:rFonts w:hint="default" w:ascii="仿宋_GB2312" w:hAnsi="仿宋_GB2312" w:eastAsia="仿宋_GB2312" w:cs="仿宋_GB2312"/>
          <w:b w:val="0"/>
          <w:bCs/>
          <w:color w:val="auto"/>
          <w:kern w:val="0"/>
          <w:sz w:val="24"/>
          <w:szCs w:val="24"/>
          <w:highlight w:val="none"/>
          <w:lang w:val="en-US" w:eastAsia="zh-CN"/>
        </w:rPr>
        <w:t>表面硬度</w:t>
      </w:r>
      <w:r>
        <w:rPr>
          <w:rFonts w:hint="default" w:ascii="仿宋_GB2312" w:hAnsi="仿宋_GB2312" w:eastAsia="仿宋_GB2312" w:cs="仿宋_GB2312"/>
          <w:b w:val="0"/>
          <w:bCs/>
          <w:color w:val="auto"/>
          <w:kern w:val="0"/>
          <w:sz w:val="24"/>
          <w:szCs w:val="24"/>
          <w:highlight w:val="none"/>
          <w:lang w:val="en-US" w:eastAsia="zh-CN"/>
        </w:rPr>
        <w:fldChar w:fldCharType="end"/>
      </w:r>
      <w:r>
        <w:rPr>
          <w:rFonts w:hint="default" w:ascii="仿宋_GB2312" w:hAnsi="仿宋_GB2312" w:eastAsia="仿宋_GB2312" w:cs="仿宋_GB2312"/>
          <w:b w:val="0"/>
          <w:bCs/>
          <w:color w:val="auto"/>
          <w:kern w:val="0"/>
          <w:sz w:val="24"/>
          <w:szCs w:val="24"/>
          <w:highlight w:val="none"/>
          <w:lang w:val="en-US" w:eastAsia="zh-CN"/>
        </w:rPr>
        <w:t>HRC</w:t>
      </w:r>
      <w:r>
        <w:rPr>
          <w:rFonts w:hint="eastAsia" w:ascii="仿宋_GB2312" w:hAnsi="仿宋_GB2312" w:eastAsia="仿宋_GB2312" w:cs="仿宋_GB2312"/>
          <w:b w:val="0"/>
          <w:bCs/>
          <w:color w:val="auto"/>
          <w:kern w:val="0"/>
          <w:sz w:val="24"/>
          <w:szCs w:val="24"/>
          <w:highlight w:val="none"/>
          <w:lang w:val="en-US" w:eastAsia="zh-CN"/>
        </w:rPr>
        <w:t>大于45；直径公差±0.3mm</w:t>
      </w:r>
      <w:r>
        <w:rPr>
          <w:rFonts w:ascii="Helvetica" w:hAnsi="Helvetica" w:eastAsia="Helvetica" w:cs="Helvetica"/>
          <w:i w:val="0"/>
          <w:caps w:val="0"/>
          <w:color w:val="auto"/>
          <w:spacing w:val="0"/>
          <w:sz w:val="12"/>
          <w:szCs w:val="12"/>
          <w:shd w:val="clear" w:fill="FFFFFF"/>
        </w:rPr>
        <w:t> </w:t>
      </w:r>
      <w:r>
        <w:rPr>
          <w:rFonts w:hint="eastAsia" w:ascii="仿宋_GB2312" w:hAnsi="仿宋_GB2312" w:eastAsia="仿宋_GB2312" w:cs="仿宋_GB2312"/>
          <w:b w:val="0"/>
          <w:bCs/>
          <w:color w:val="auto"/>
          <w:kern w:val="0"/>
          <w:sz w:val="24"/>
          <w:szCs w:val="24"/>
          <w:highlight w:val="none"/>
          <w:lang w:val="en-US" w:eastAsia="zh-CN"/>
        </w:rPr>
        <w:t>。</w:t>
      </w:r>
    </w:p>
    <w:p w14:paraId="3B354B18">
      <w:pPr>
        <w:keepNext w:val="0"/>
        <w:keepLines w:val="0"/>
        <w:pageBreakBefore w:val="0"/>
        <w:widowControl w:val="0"/>
        <w:numPr>
          <w:ilvl w:val="0"/>
          <w:numId w:val="0"/>
        </w:numPr>
        <w:tabs>
          <w:tab w:val="left" w:pos="0"/>
          <w:tab w:val="left" w:pos="540"/>
          <w:tab w:val="left" w:pos="720"/>
        </w:tabs>
        <w:kinsoku/>
        <w:wordWrap/>
        <w:overflowPunct/>
        <w:topLinePunct w:val="0"/>
        <w:autoSpaceDE/>
        <w:autoSpaceDN/>
        <w:bidi w:val="0"/>
        <w:adjustRightInd w:val="0"/>
        <w:snapToGrid w:val="0"/>
        <w:spacing w:line="500" w:lineRule="exact"/>
        <w:ind w:firstLine="480" w:firstLineChars="200"/>
        <w:textAlignment w:val="auto"/>
        <w:outlineLvl w:val="0"/>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kern w:val="2"/>
          <w:sz w:val="24"/>
          <w:szCs w:val="24"/>
          <w:highlight w:val="none"/>
          <w:lang w:val="en-US" w:eastAsia="zh-CN" w:bidi="ar-SA"/>
        </w:rPr>
        <w:t>五、</w:t>
      </w:r>
      <w:r>
        <w:rPr>
          <w:rFonts w:hint="eastAsia" w:ascii="黑体" w:hAnsi="黑体" w:eastAsia="黑体" w:cs="黑体"/>
          <w:b w:val="0"/>
          <w:bCs w:val="0"/>
          <w:color w:val="auto"/>
          <w:sz w:val="24"/>
          <w:szCs w:val="24"/>
          <w:highlight w:val="none"/>
          <w:lang w:val="en-US" w:eastAsia="zh-CN"/>
        </w:rPr>
        <w:t>售后服务</w:t>
      </w:r>
      <w:bookmarkEnd w:id="29"/>
      <w:bookmarkStart w:id="33" w:name="_Toc205284453"/>
      <w:bookmarkStart w:id="34" w:name="_Toc169288958"/>
    </w:p>
    <w:p w14:paraId="1B725B21">
      <w:pPr>
        <w:pStyle w:val="24"/>
        <w:keepNext w:val="0"/>
        <w:keepLines w:val="0"/>
        <w:pageBreakBefore w:val="0"/>
        <w:widowControl w:val="0"/>
        <w:kinsoku/>
        <w:wordWrap/>
        <w:overflowPunct/>
        <w:autoSpaceDE/>
        <w:autoSpaceDN/>
        <w:bidi w:val="0"/>
        <w:adjustRightInd w:val="0"/>
        <w:snapToGrid w:val="0"/>
        <w:spacing w:line="500" w:lineRule="exact"/>
        <w:ind w:firstLine="480" w:firstLineChars="200"/>
        <w:jc w:val="left"/>
        <w:textAlignment w:val="auto"/>
        <w:outlineLvl w:val="1"/>
        <w:rPr>
          <w:rFonts w:hint="eastAsia" w:ascii="仿宋_GB2312" w:hAnsi="仿宋_GB2312" w:eastAsia="仿宋_GB2312" w:cs="仿宋_GB2312"/>
          <w:b w:val="0"/>
          <w:bCs/>
          <w:color w:val="auto"/>
          <w:kern w:val="0"/>
          <w:sz w:val="24"/>
          <w:szCs w:val="24"/>
          <w:highlight w:val="none"/>
        </w:rPr>
      </w:pPr>
      <w:bookmarkStart w:id="35" w:name="_Toc32604"/>
      <w:bookmarkStart w:id="36" w:name="_Toc23135"/>
      <w:r>
        <w:rPr>
          <w:rFonts w:hint="eastAsia" w:ascii="仿宋_GB2312" w:hAnsi="仿宋_GB2312" w:eastAsia="仿宋_GB2312" w:cs="仿宋_GB2312"/>
          <w:b w:val="0"/>
          <w:bCs/>
          <w:color w:val="auto"/>
          <w:kern w:val="0"/>
          <w:sz w:val="24"/>
          <w:szCs w:val="24"/>
          <w:highlight w:val="none"/>
          <w:lang w:val="en-US" w:eastAsia="zh-CN"/>
        </w:rPr>
        <w:t>5.1</w:t>
      </w:r>
      <w:r>
        <w:rPr>
          <w:rFonts w:hint="eastAsia" w:ascii="仿宋_GB2312" w:hAnsi="仿宋_GB2312" w:eastAsia="仿宋_GB2312" w:cs="仿宋_GB2312"/>
          <w:b w:val="0"/>
          <w:bCs/>
          <w:color w:val="auto"/>
          <w:kern w:val="0"/>
          <w:sz w:val="24"/>
          <w:szCs w:val="24"/>
          <w:highlight w:val="none"/>
        </w:rPr>
        <w:t>乙方的基本职责</w:t>
      </w:r>
      <w:bookmarkEnd w:id="33"/>
      <w:bookmarkEnd w:id="34"/>
      <w:bookmarkEnd w:id="35"/>
      <w:bookmarkEnd w:id="36"/>
    </w:p>
    <w:p w14:paraId="7A3EA3C3">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color w:val="auto"/>
          <w:kern w:val="0"/>
          <w:sz w:val="24"/>
          <w:szCs w:val="24"/>
        </w:rPr>
      </w:pPr>
      <w:r>
        <w:rPr>
          <w:rFonts w:hint="eastAsia" w:ascii="仿宋_GB2312" w:hAnsi="仿宋_GB2312" w:eastAsia="仿宋_GB2312" w:cs="仿宋_GB2312"/>
          <w:b w:val="0"/>
          <w:bCs/>
          <w:color w:val="auto"/>
          <w:kern w:val="0"/>
          <w:sz w:val="24"/>
          <w:szCs w:val="24"/>
          <w:highlight w:val="none"/>
          <w:lang w:val="en-US" w:eastAsia="zh-CN"/>
        </w:rPr>
        <w:t>5.1.1</w:t>
      </w:r>
      <w:r>
        <w:rPr>
          <w:rFonts w:hint="eastAsia" w:ascii="仿宋_GB2312" w:hAnsi="仿宋_GB2312" w:eastAsia="仿宋_GB2312" w:cs="仿宋_GB2312"/>
          <w:b w:val="0"/>
          <w:bCs/>
          <w:color w:val="auto"/>
          <w:kern w:val="0"/>
          <w:sz w:val="24"/>
          <w:szCs w:val="24"/>
          <w:highlight w:val="none"/>
        </w:rPr>
        <w:t xml:space="preserve"> 乙方应派合格的、经验丰富、技术熟练和健康的技术人员履行指导调试和验收测试</w:t>
      </w:r>
      <w:r>
        <w:rPr>
          <w:rFonts w:hint="eastAsia" w:ascii="仿宋_GB2312" w:hAnsi="仿宋_GB2312" w:eastAsia="仿宋_GB2312" w:cs="仿宋_GB2312"/>
          <w:b w:val="0"/>
          <w:bCs/>
          <w:color w:val="auto"/>
          <w:kern w:val="0"/>
          <w:sz w:val="24"/>
          <w:szCs w:val="24"/>
        </w:rPr>
        <w:t>等内容的技术服务。</w:t>
      </w:r>
    </w:p>
    <w:p w14:paraId="5E1D5DB8">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color w:val="auto"/>
          <w:kern w:val="0"/>
          <w:sz w:val="24"/>
          <w:szCs w:val="24"/>
        </w:rPr>
      </w:pPr>
      <w:r>
        <w:rPr>
          <w:rFonts w:hint="eastAsia" w:ascii="仿宋_GB2312" w:hAnsi="仿宋_GB2312" w:eastAsia="仿宋_GB2312" w:cs="仿宋_GB2312"/>
          <w:b w:val="0"/>
          <w:bCs/>
          <w:color w:val="auto"/>
          <w:kern w:val="0"/>
          <w:sz w:val="24"/>
          <w:szCs w:val="24"/>
          <w:lang w:val="en-US" w:eastAsia="zh-CN"/>
        </w:rPr>
        <w:t>5.1.2</w:t>
      </w:r>
      <w:r>
        <w:rPr>
          <w:rFonts w:hint="eastAsia" w:ascii="仿宋_GB2312" w:hAnsi="仿宋_GB2312" w:eastAsia="仿宋_GB2312" w:cs="仿宋_GB2312"/>
          <w:b w:val="0"/>
          <w:bCs/>
          <w:color w:val="auto"/>
          <w:kern w:val="0"/>
          <w:sz w:val="24"/>
          <w:szCs w:val="24"/>
        </w:rPr>
        <w:t xml:space="preserve"> 在保证项目</w:t>
      </w:r>
      <w:r>
        <w:rPr>
          <w:rFonts w:hint="eastAsia" w:ascii="仿宋_GB2312" w:hAnsi="仿宋_GB2312" w:eastAsia="仿宋_GB2312" w:cs="仿宋_GB2312"/>
          <w:b w:val="0"/>
          <w:bCs/>
          <w:color w:val="auto"/>
          <w:kern w:val="0"/>
          <w:sz w:val="24"/>
          <w:szCs w:val="24"/>
          <w:lang w:val="en-US" w:eastAsia="zh-CN"/>
        </w:rPr>
        <w:t>按时供货的</w:t>
      </w:r>
      <w:r>
        <w:rPr>
          <w:rFonts w:hint="eastAsia" w:ascii="仿宋_GB2312" w:hAnsi="仿宋_GB2312" w:eastAsia="仿宋_GB2312" w:cs="仿宋_GB2312"/>
          <w:b w:val="0"/>
          <w:bCs/>
          <w:color w:val="auto"/>
          <w:kern w:val="0"/>
          <w:sz w:val="24"/>
          <w:szCs w:val="24"/>
        </w:rPr>
        <w:t>前提下，乙方作为技术负责单位，应对合同项目范围内的设备性能、使用</w:t>
      </w:r>
      <w:r>
        <w:rPr>
          <w:rFonts w:hint="eastAsia" w:ascii="仿宋_GB2312" w:hAnsi="仿宋_GB2312" w:eastAsia="仿宋_GB2312" w:cs="仿宋_GB2312"/>
          <w:b w:val="0"/>
          <w:bCs/>
          <w:color w:val="auto"/>
          <w:kern w:val="0"/>
          <w:sz w:val="24"/>
          <w:szCs w:val="24"/>
          <w:lang w:val="en-US" w:eastAsia="zh-CN"/>
        </w:rPr>
        <w:t>方法</w:t>
      </w:r>
      <w:r>
        <w:rPr>
          <w:rFonts w:hint="eastAsia" w:ascii="仿宋_GB2312" w:hAnsi="仿宋_GB2312" w:eastAsia="仿宋_GB2312" w:cs="仿宋_GB2312"/>
          <w:b w:val="0"/>
          <w:bCs/>
          <w:color w:val="auto"/>
          <w:kern w:val="0"/>
          <w:sz w:val="24"/>
          <w:szCs w:val="24"/>
        </w:rPr>
        <w:t>及甲方</w:t>
      </w:r>
      <w:r>
        <w:rPr>
          <w:rFonts w:hint="eastAsia" w:ascii="仿宋_GB2312" w:hAnsi="仿宋_GB2312" w:eastAsia="仿宋_GB2312" w:cs="仿宋_GB2312"/>
          <w:b w:val="0"/>
          <w:bCs/>
          <w:color w:val="auto"/>
          <w:kern w:val="0"/>
          <w:sz w:val="24"/>
          <w:szCs w:val="24"/>
          <w:lang w:val="en-US" w:eastAsia="zh-CN"/>
        </w:rPr>
        <w:t>技术</w:t>
      </w:r>
      <w:r>
        <w:rPr>
          <w:rFonts w:hint="eastAsia" w:ascii="仿宋_GB2312" w:hAnsi="仿宋_GB2312" w:eastAsia="仿宋_GB2312" w:cs="仿宋_GB2312"/>
          <w:b w:val="0"/>
          <w:bCs/>
          <w:color w:val="auto"/>
          <w:kern w:val="0"/>
          <w:sz w:val="24"/>
          <w:szCs w:val="24"/>
        </w:rPr>
        <w:t>人员培训。</w:t>
      </w:r>
    </w:p>
    <w:p w14:paraId="3646796A">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仿宋_GB2312" w:hAnsi="仿宋_GB2312" w:eastAsia="仿宋_GB2312" w:cs="仿宋_GB2312"/>
          <w:b w:val="0"/>
          <w:bCs/>
          <w:color w:val="auto"/>
          <w:kern w:val="0"/>
          <w:sz w:val="24"/>
          <w:szCs w:val="24"/>
        </w:rPr>
      </w:pPr>
      <w:r>
        <w:rPr>
          <w:rFonts w:hint="eastAsia" w:ascii="仿宋_GB2312" w:hAnsi="仿宋_GB2312" w:eastAsia="仿宋_GB2312" w:cs="仿宋_GB2312"/>
          <w:b w:val="0"/>
          <w:bCs/>
          <w:color w:val="auto"/>
          <w:kern w:val="0"/>
          <w:sz w:val="24"/>
          <w:szCs w:val="24"/>
          <w:lang w:val="en-US" w:eastAsia="zh-CN"/>
        </w:rPr>
        <w:t>5</w:t>
      </w:r>
      <w:r>
        <w:rPr>
          <w:rFonts w:hint="eastAsia" w:ascii="仿宋_GB2312" w:hAnsi="仿宋_GB2312" w:eastAsia="仿宋_GB2312" w:cs="仿宋_GB2312"/>
          <w:b w:val="0"/>
          <w:bCs/>
          <w:color w:val="auto"/>
          <w:kern w:val="0"/>
          <w:sz w:val="24"/>
          <w:szCs w:val="24"/>
        </w:rPr>
        <w:t>.1.</w:t>
      </w:r>
      <w:r>
        <w:rPr>
          <w:rFonts w:hint="eastAsia" w:ascii="仿宋_GB2312" w:hAnsi="仿宋_GB2312" w:eastAsia="仿宋_GB2312" w:cs="仿宋_GB2312"/>
          <w:b w:val="0"/>
          <w:bCs/>
          <w:color w:val="auto"/>
          <w:kern w:val="0"/>
          <w:sz w:val="24"/>
          <w:szCs w:val="24"/>
          <w:lang w:val="en-US" w:eastAsia="zh-CN"/>
        </w:rPr>
        <w:t>3</w:t>
      </w:r>
      <w:r>
        <w:rPr>
          <w:rFonts w:hint="eastAsia" w:ascii="仿宋_GB2312" w:hAnsi="仿宋_GB2312" w:eastAsia="仿宋_GB2312" w:cs="仿宋_GB2312"/>
          <w:b w:val="0"/>
          <w:bCs/>
          <w:color w:val="auto"/>
          <w:kern w:val="0"/>
          <w:sz w:val="24"/>
          <w:szCs w:val="24"/>
        </w:rPr>
        <w:t xml:space="preserve"> 由于乙方原因造成的额外工作，应由乙方全部承担</w:t>
      </w:r>
      <w:r>
        <w:rPr>
          <w:rFonts w:hint="eastAsia" w:ascii="仿宋_GB2312" w:hAnsi="仿宋_GB2312" w:eastAsia="仿宋_GB2312" w:cs="仿宋_GB2312"/>
          <w:b w:val="0"/>
          <w:bCs/>
          <w:color w:val="auto"/>
          <w:kern w:val="0"/>
          <w:sz w:val="24"/>
          <w:szCs w:val="24"/>
          <w:lang w:eastAsia="zh-CN"/>
        </w:rPr>
        <w:t>；</w:t>
      </w:r>
      <w:r>
        <w:rPr>
          <w:rFonts w:hint="eastAsia" w:ascii="仿宋_GB2312" w:hAnsi="仿宋_GB2312" w:eastAsia="仿宋_GB2312" w:cs="仿宋_GB2312"/>
          <w:b w:val="0"/>
          <w:bCs/>
          <w:color w:val="auto"/>
          <w:kern w:val="0"/>
          <w:sz w:val="24"/>
          <w:szCs w:val="24"/>
        </w:rPr>
        <w:t>由于乙方人员的错误指导而造成的损坏和损失，由乙方无条件承担。</w:t>
      </w:r>
    </w:p>
    <w:p w14:paraId="5C52391A">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outlineLvl w:val="1"/>
        <w:rPr>
          <w:rFonts w:hint="eastAsia" w:ascii="仿宋_GB2312" w:hAnsi="仿宋_GB2312" w:eastAsia="仿宋_GB2312" w:cs="仿宋_GB2312"/>
          <w:b w:val="0"/>
          <w:bCs/>
          <w:color w:val="auto"/>
          <w:kern w:val="0"/>
          <w:sz w:val="24"/>
          <w:szCs w:val="24"/>
        </w:rPr>
      </w:pPr>
      <w:bookmarkStart w:id="37" w:name="_Toc8548"/>
      <w:bookmarkStart w:id="38" w:name="_Toc13934"/>
      <w:r>
        <w:rPr>
          <w:rFonts w:hint="eastAsia" w:ascii="仿宋_GB2312" w:hAnsi="仿宋_GB2312" w:eastAsia="仿宋_GB2312" w:cs="仿宋_GB2312"/>
          <w:b w:val="0"/>
          <w:bCs/>
          <w:color w:val="auto"/>
          <w:kern w:val="0"/>
          <w:sz w:val="24"/>
          <w:szCs w:val="24"/>
          <w:lang w:val="en-US" w:eastAsia="zh-CN"/>
        </w:rPr>
        <w:t>5</w:t>
      </w:r>
      <w:r>
        <w:rPr>
          <w:rFonts w:hint="eastAsia" w:ascii="仿宋_GB2312" w:hAnsi="仿宋_GB2312" w:eastAsia="仿宋_GB2312" w:cs="仿宋_GB2312"/>
          <w:b w:val="0"/>
          <w:bCs/>
          <w:color w:val="auto"/>
          <w:kern w:val="0"/>
          <w:sz w:val="24"/>
          <w:szCs w:val="24"/>
          <w:lang w:eastAsia="zh-CN"/>
        </w:rPr>
        <w:t>.</w:t>
      </w:r>
      <w:r>
        <w:rPr>
          <w:rFonts w:hint="eastAsia" w:ascii="仿宋_GB2312" w:hAnsi="仿宋_GB2312" w:eastAsia="仿宋_GB2312" w:cs="仿宋_GB2312"/>
          <w:b w:val="0"/>
          <w:bCs/>
          <w:color w:val="auto"/>
          <w:kern w:val="0"/>
          <w:sz w:val="24"/>
          <w:szCs w:val="24"/>
          <w:lang w:val="en-US" w:eastAsia="zh-CN"/>
        </w:rPr>
        <w:t>2</w:t>
      </w:r>
      <w:r>
        <w:rPr>
          <w:rFonts w:hint="eastAsia" w:ascii="仿宋_GB2312" w:hAnsi="仿宋_GB2312" w:eastAsia="仿宋_GB2312" w:cs="仿宋_GB2312"/>
          <w:b w:val="0"/>
          <w:bCs/>
          <w:color w:val="auto"/>
          <w:kern w:val="0"/>
          <w:sz w:val="24"/>
          <w:szCs w:val="24"/>
        </w:rPr>
        <w:t>乙方应提供的服务范围</w:t>
      </w:r>
      <w:bookmarkEnd w:id="37"/>
      <w:bookmarkEnd w:id="38"/>
    </w:p>
    <w:p w14:paraId="27DFB39B">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b w:val="0"/>
          <w:bCs/>
          <w:color w:val="auto"/>
          <w:kern w:val="0"/>
          <w:sz w:val="24"/>
          <w:szCs w:val="24"/>
        </w:rPr>
      </w:pPr>
      <w:r>
        <w:rPr>
          <w:rFonts w:hint="eastAsia" w:ascii="仿宋_GB2312" w:hAnsi="仿宋_GB2312" w:eastAsia="仿宋_GB2312" w:cs="仿宋_GB2312"/>
          <w:b w:val="0"/>
          <w:bCs/>
          <w:color w:val="auto"/>
          <w:kern w:val="0"/>
          <w:sz w:val="24"/>
          <w:szCs w:val="24"/>
          <w:lang w:val="en-US" w:eastAsia="zh-CN"/>
        </w:rPr>
        <w:t>5</w:t>
      </w:r>
      <w:r>
        <w:rPr>
          <w:rFonts w:hint="eastAsia" w:ascii="仿宋_GB2312" w:hAnsi="仿宋_GB2312" w:eastAsia="仿宋_GB2312" w:cs="仿宋_GB2312"/>
          <w:b w:val="0"/>
          <w:bCs/>
          <w:color w:val="auto"/>
          <w:kern w:val="0"/>
          <w:sz w:val="24"/>
          <w:szCs w:val="24"/>
          <w:lang w:eastAsia="zh-CN"/>
        </w:rPr>
        <w:t>.</w:t>
      </w:r>
      <w:r>
        <w:rPr>
          <w:rFonts w:hint="eastAsia" w:ascii="仿宋_GB2312" w:hAnsi="仿宋_GB2312" w:eastAsia="仿宋_GB2312" w:cs="仿宋_GB2312"/>
          <w:b w:val="0"/>
          <w:bCs/>
          <w:color w:val="auto"/>
          <w:kern w:val="0"/>
          <w:sz w:val="24"/>
          <w:szCs w:val="24"/>
          <w:lang w:val="en-US" w:eastAsia="zh-CN"/>
        </w:rPr>
        <w:t>2</w:t>
      </w:r>
      <w:r>
        <w:rPr>
          <w:rFonts w:hint="eastAsia" w:ascii="仿宋_GB2312" w:hAnsi="仿宋_GB2312" w:eastAsia="仿宋_GB2312" w:cs="仿宋_GB2312"/>
          <w:b w:val="0"/>
          <w:bCs/>
          <w:color w:val="auto"/>
          <w:kern w:val="0"/>
          <w:sz w:val="24"/>
          <w:szCs w:val="24"/>
        </w:rPr>
        <w:t>.1乙方所提供的设备应满足本技术</w:t>
      </w:r>
      <w:r>
        <w:rPr>
          <w:rFonts w:hint="eastAsia" w:ascii="仿宋_GB2312" w:hAnsi="仿宋_GB2312" w:eastAsia="仿宋_GB2312" w:cs="仿宋_GB2312"/>
          <w:b w:val="0"/>
          <w:bCs/>
          <w:color w:val="auto"/>
          <w:kern w:val="0"/>
          <w:sz w:val="24"/>
          <w:szCs w:val="24"/>
          <w:lang w:eastAsia="zh-CN"/>
        </w:rPr>
        <w:t>规格</w:t>
      </w:r>
      <w:r>
        <w:rPr>
          <w:rFonts w:hint="eastAsia" w:ascii="仿宋_GB2312" w:hAnsi="仿宋_GB2312" w:eastAsia="仿宋_GB2312" w:cs="仿宋_GB2312"/>
          <w:b w:val="0"/>
          <w:bCs/>
          <w:color w:val="auto"/>
          <w:kern w:val="0"/>
          <w:sz w:val="24"/>
          <w:szCs w:val="24"/>
        </w:rPr>
        <w:t>书的要求。</w:t>
      </w:r>
    </w:p>
    <w:p w14:paraId="5A0D31F8">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b w:val="0"/>
          <w:bCs/>
          <w:color w:val="auto"/>
          <w:kern w:val="0"/>
          <w:sz w:val="24"/>
          <w:szCs w:val="24"/>
          <w:lang w:val="en-US" w:eastAsia="zh-CN"/>
        </w:rPr>
        <w:t>5</w:t>
      </w:r>
      <w:r>
        <w:rPr>
          <w:rFonts w:hint="eastAsia" w:ascii="仿宋_GB2312" w:hAnsi="仿宋_GB2312" w:eastAsia="仿宋_GB2312" w:cs="仿宋_GB2312"/>
          <w:b w:val="0"/>
          <w:bCs/>
          <w:color w:val="auto"/>
          <w:kern w:val="0"/>
          <w:sz w:val="24"/>
          <w:szCs w:val="24"/>
          <w:lang w:eastAsia="zh-CN"/>
        </w:rPr>
        <w:t>.</w:t>
      </w:r>
      <w:r>
        <w:rPr>
          <w:rFonts w:hint="eastAsia" w:ascii="仿宋_GB2312" w:hAnsi="仿宋_GB2312" w:eastAsia="仿宋_GB2312" w:cs="仿宋_GB2312"/>
          <w:b w:val="0"/>
          <w:bCs/>
          <w:color w:val="auto"/>
          <w:kern w:val="0"/>
          <w:sz w:val="24"/>
          <w:szCs w:val="24"/>
          <w:lang w:val="en-US" w:eastAsia="zh-CN"/>
        </w:rPr>
        <w:t>2</w:t>
      </w:r>
      <w:r>
        <w:rPr>
          <w:rFonts w:hint="eastAsia" w:ascii="仿宋_GB2312" w:hAnsi="仿宋_GB2312" w:eastAsia="仿宋_GB2312" w:cs="仿宋_GB2312"/>
          <w:b w:val="0"/>
          <w:bCs/>
          <w:color w:val="auto"/>
          <w:kern w:val="0"/>
          <w:sz w:val="24"/>
          <w:szCs w:val="24"/>
        </w:rPr>
        <w:t>.2本</w:t>
      </w:r>
      <w:r>
        <w:rPr>
          <w:rFonts w:hint="eastAsia" w:ascii="仿宋_GB2312" w:hAnsi="仿宋_GB2312" w:eastAsia="仿宋_GB2312" w:cs="仿宋_GB2312"/>
          <w:b w:val="0"/>
          <w:bCs/>
          <w:color w:val="auto"/>
          <w:kern w:val="0"/>
          <w:sz w:val="24"/>
          <w:szCs w:val="24"/>
          <w:lang w:eastAsia="zh-CN"/>
        </w:rPr>
        <w:t>技术规格</w:t>
      </w:r>
      <w:r>
        <w:rPr>
          <w:rFonts w:hint="eastAsia" w:ascii="仿宋_GB2312" w:hAnsi="仿宋_GB2312" w:eastAsia="仿宋_GB2312" w:cs="仿宋_GB2312"/>
          <w:b w:val="0"/>
          <w:bCs/>
          <w:color w:val="auto"/>
          <w:kern w:val="0"/>
          <w:sz w:val="24"/>
          <w:szCs w:val="24"/>
        </w:rPr>
        <w:t>书不意味着确定设备全部细节，乙方应该供给符合产品工业标准的高质量设备（高可靠性、低消耗、</w:t>
      </w:r>
      <w:r>
        <w:rPr>
          <w:rFonts w:hint="eastAsia" w:ascii="仿宋_GB2312" w:hAnsi="仿宋_GB2312" w:eastAsia="仿宋_GB2312" w:cs="仿宋_GB2312"/>
          <w:color w:val="auto"/>
          <w:kern w:val="0"/>
          <w:sz w:val="24"/>
          <w:szCs w:val="24"/>
        </w:rPr>
        <w:t>易于维护）和辅助部件以满足</w:t>
      </w:r>
      <w:r>
        <w:rPr>
          <w:rFonts w:hint="eastAsia" w:ascii="仿宋_GB2312" w:hAnsi="仿宋_GB2312" w:eastAsia="仿宋_GB2312" w:cs="仿宋_GB2312"/>
          <w:color w:val="auto"/>
          <w:kern w:val="0"/>
          <w:sz w:val="24"/>
          <w:szCs w:val="24"/>
          <w:lang w:eastAsia="zh-CN"/>
        </w:rPr>
        <w:t>规格</w:t>
      </w:r>
      <w:r>
        <w:rPr>
          <w:rFonts w:hint="eastAsia" w:ascii="仿宋_GB2312" w:hAnsi="仿宋_GB2312" w:eastAsia="仿宋_GB2312" w:cs="仿宋_GB2312"/>
          <w:color w:val="auto"/>
          <w:kern w:val="0"/>
          <w:sz w:val="24"/>
          <w:szCs w:val="24"/>
        </w:rPr>
        <w:t>书和现场实际的要求。</w:t>
      </w:r>
    </w:p>
    <w:p w14:paraId="2332E0E8">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5</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auto"/>
          <w:kern w:val="0"/>
          <w:sz w:val="24"/>
          <w:szCs w:val="24"/>
          <w:lang w:val="en-US" w:eastAsia="zh-CN"/>
        </w:rPr>
        <w:t>2</w:t>
      </w:r>
      <w:r>
        <w:rPr>
          <w:rFonts w:hint="eastAsia" w:ascii="仿宋_GB2312" w:hAnsi="仿宋_GB2312" w:eastAsia="仿宋_GB2312" w:cs="仿宋_GB2312"/>
          <w:color w:val="auto"/>
          <w:kern w:val="0"/>
          <w:sz w:val="24"/>
          <w:szCs w:val="24"/>
        </w:rPr>
        <w:t>.3服务范围包括现场安装调试</w:t>
      </w:r>
      <w:r>
        <w:rPr>
          <w:rFonts w:hint="eastAsia" w:ascii="仿宋_GB2312" w:hAnsi="仿宋_GB2312" w:eastAsia="仿宋_GB2312" w:cs="仿宋_GB2312"/>
          <w:color w:val="auto"/>
          <w:kern w:val="0"/>
          <w:sz w:val="24"/>
          <w:szCs w:val="24"/>
          <w:lang w:val="en-US" w:eastAsia="zh-CN"/>
        </w:rPr>
        <w:t>指导</w:t>
      </w:r>
      <w:r>
        <w:rPr>
          <w:rFonts w:hint="eastAsia" w:ascii="仿宋_GB2312" w:hAnsi="仿宋_GB2312" w:eastAsia="仿宋_GB2312" w:cs="仿宋_GB2312"/>
          <w:color w:val="auto"/>
          <w:kern w:val="0"/>
          <w:sz w:val="24"/>
          <w:szCs w:val="24"/>
        </w:rPr>
        <w:t>及培训。</w:t>
      </w:r>
    </w:p>
    <w:p w14:paraId="7A412C16">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5</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auto"/>
          <w:kern w:val="0"/>
          <w:sz w:val="24"/>
          <w:szCs w:val="24"/>
          <w:lang w:val="en-US" w:eastAsia="zh-CN"/>
        </w:rPr>
        <w:t>2</w:t>
      </w:r>
      <w:r>
        <w:rPr>
          <w:rFonts w:hint="eastAsia" w:ascii="仿宋_GB2312" w:hAnsi="仿宋_GB2312" w:eastAsia="仿宋_GB2312" w:cs="仿宋_GB2312"/>
          <w:color w:val="auto"/>
          <w:kern w:val="0"/>
          <w:sz w:val="24"/>
          <w:szCs w:val="24"/>
        </w:rPr>
        <w:t>.4乙方应向甲方提供质量保证书。如在设备运行中出现事故或故障，乙方应</w:t>
      </w:r>
      <w:r>
        <w:rPr>
          <w:rFonts w:hint="eastAsia" w:ascii="仿宋_GB2312" w:hAnsi="仿宋_GB2312" w:eastAsia="仿宋_GB2312" w:cs="仿宋_GB2312"/>
          <w:color w:val="auto"/>
          <w:kern w:val="0"/>
          <w:sz w:val="24"/>
          <w:szCs w:val="24"/>
          <w:lang w:val="en-US" w:eastAsia="zh-CN"/>
        </w:rPr>
        <w:t>参与</w:t>
      </w:r>
      <w:r>
        <w:rPr>
          <w:rFonts w:hint="eastAsia" w:ascii="仿宋_GB2312" w:hAnsi="仿宋_GB2312" w:eastAsia="仿宋_GB2312" w:cs="仿宋_GB2312"/>
          <w:color w:val="auto"/>
          <w:kern w:val="0"/>
          <w:sz w:val="24"/>
          <w:szCs w:val="24"/>
        </w:rPr>
        <w:t>事故分析。</w:t>
      </w:r>
    </w:p>
    <w:p w14:paraId="46D820F8">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5</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auto"/>
          <w:kern w:val="0"/>
          <w:sz w:val="24"/>
          <w:szCs w:val="24"/>
          <w:lang w:val="en-US" w:eastAsia="zh-CN"/>
        </w:rPr>
        <w:t>2</w:t>
      </w:r>
      <w:r>
        <w:rPr>
          <w:rFonts w:hint="eastAsia" w:ascii="仿宋_GB2312" w:hAnsi="仿宋_GB2312" w:eastAsia="仿宋_GB2312" w:cs="仿宋_GB2312"/>
          <w:color w:val="auto"/>
          <w:kern w:val="0"/>
          <w:sz w:val="24"/>
          <w:szCs w:val="24"/>
        </w:rPr>
        <w:t>.5乙方应书面承诺质保期为设备验收合格后</w:t>
      </w:r>
      <w:r>
        <w:rPr>
          <w:rFonts w:hint="eastAsia" w:ascii="仿宋_GB2312" w:hAnsi="仿宋_GB2312" w:eastAsia="仿宋_GB2312" w:cs="仿宋_GB2312"/>
          <w:color w:val="auto"/>
          <w:kern w:val="0"/>
          <w:sz w:val="24"/>
          <w:szCs w:val="24"/>
          <w:lang w:val="en-US" w:eastAsia="zh-CN"/>
        </w:rPr>
        <w:t>1</w:t>
      </w:r>
      <w:r>
        <w:rPr>
          <w:rFonts w:hint="eastAsia" w:ascii="仿宋_GB2312" w:hAnsi="仿宋_GB2312" w:eastAsia="仿宋_GB2312" w:cs="仿宋_GB2312"/>
          <w:color w:val="auto"/>
          <w:kern w:val="0"/>
          <w:sz w:val="24"/>
          <w:szCs w:val="24"/>
        </w:rPr>
        <w:t>年，并终身</w:t>
      </w:r>
      <w:r>
        <w:rPr>
          <w:rFonts w:hint="eastAsia" w:ascii="仿宋_GB2312" w:hAnsi="仿宋_GB2312" w:eastAsia="仿宋_GB2312" w:cs="仿宋_GB2312"/>
          <w:color w:val="auto"/>
          <w:kern w:val="0"/>
          <w:sz w:val="24"/>
          <w:szCs w:val="24"/>
          <w:lang w:val="en-US" w:eastAsia="zh-CN"/>
        </w:rPr>
        <w:t>提供</w:t>
      </w:r>
      <w:r>
        <w:rPr>
          <w:rFonts w:hint="eastAsia" w:ascii="仿宋_GB2312" w:hAnsi="仿宋_GB2312" w:eastAsia="仿宋_GB2312" w:cs="仿宋_GB2312"/>
          <w:color w:val="auto"/>
          <w:kern w:val="0"/>
          <w:sz w:val="24"/>
          <w:szCs w:val="24"/>
        </w:rPr>
        <w:t>维修。在质量保证期内，由于乙方供货设备的质量问题而造成的故障或设备停运，乙方应负责免费尽快更换有缺陷或损坏的部件。</w:t>
      </w:r>
    </w:p>
    <w:p w14:paraId="3E58F1EA">
      <w:pPr>
        <w:keepNext w:val="0"/>
        <w:keepLines w:val="0"/>
        <w:pageBreakBefore w:val="0"/>
        <w:numPr>
          <w:ilvl w:val="0"/>
          <w:numId w:val="0"/>
        </w:numPr>
        <w:tabs>
          <w:tab w:val="left" w:pos="0"/>
          <w:tab w:val="left" w:pos="540"/>
          <w:tab w:val="left" w:pos="720"/>
        </w:tabs>
        <w:kinsoku/>
        <w:wordWrap/>
        <w:overflowPunct/>
        <w:topLinePunct w:val="0"/>
        <w:bidi w:val="0"/>
        <w:adjustRightInd w:val="0"/>
        <w:snapToGrid w:val="0"/>
        <w:spacing w:line="500" w:lineRule="exact"/>
        <w:ind w:firstLine="480" w:firstLineChars="200"/>
        <w:textAlignment w:val="auto"/>
        <w:outlineLvl w:val="0"/>
        <w:rPr>
          <w:rFonts w:hint="eastAsia" w:ascii="黑体" w:hAnsi="黑体" w:eastAsia="黑体" w:cs="黑体"/>
          <w:b w:val="0"/>
          <w:bCs w:val="0"/>
          <w:color w:val="auto"/>
          <w:kern w:val="2"/>
          <w:sz w:val="24"/>
          <w:szCs w:val="24"/>
          <w:lang w:val="en-US" w:eastAsia="zh-CN" w:bidi="ar-SA"/>
        </w:rPr>
      </w:pPr>
      <w:bookmarkStart w:id="39" w:name="_Toc26869"/>
      <w:r>
        <w:rPr>
          <w:rFonts w:hint="eastAsia" w:ascii="黑体" w:hAnsi="黑体" w:eastAsia="黑体" w:cs="黑体"/>
          <w:b w:val="0"/>
          <w:bCs w:val="0"/>
          <w:color w:val="auto"/>
          <w:kern w:val="2"/>
          <w:sz w:val="24"/>
          <w:szCs w:val="24"/>
          <w:lang w:val="en-US" w:eastAsia="zh-CN" w:bidi="ar-SA"/>
        </w:rPr>
        <w:t>六、交货时间及地点</w:t>
      </w:r>
      <w:bookmarkEnd w:id="39"/>
    </w:p>
    <w:p w14:paraId="09C8A5E4">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6</w:t>
      </w:r>
      <w:r>
        <w:rPr>
          <w:rFonts w:hint="eastAsia" w:ascii="仿宋_GB2312" w:hAnsi="仿宋_GB2312" w:eastAsia="仿宋_GB2312" w:cs="仿宋_GB2312"/>
          <w:color w:val="auto"/>
          <w:kern w:val="0"/>
          <w:sz w:val="24"/>
          <w:szCs w:val="24"/>
          <w:highlight w:val="none"/>
        </w:rPr>
        <w:t>.1交货时间：</w:t>
      </w:r>
      <w:r>
        <w:rPr>
          <w:rFonts w:hint="eastAsia" w:ascii="仿宋_GB2312" w:hAnsi="仿宋_GB2312" w:eastAsia="仿宋_GB2312" w:cs="仿宋_GB2312"/>
          <w:color w:val="auto"/>
          <w:kern w:val="0"/>
          <w:sz w:val="24"/>
          <w:szCs w:val="24"/>
          <w:highlight w:val="none"/>
          <w:lang w:val="en-US" w:eastAsia="zh-CN"/>
        </w:rPr>
        <w:t>2025年8月30日</w:t>
      </w:r>
    </w:p>
    <w:p w14:paraId="151F761B">
      <w:pPr>
        <w:pStyle w:val="24"/>
        <w:keepNext w:val="0"/>
        <w:keepLines w:val="0"/>
        <w:pageBreakBefore w:val="0"/>
        <w:widowControl w:val="0"/>
        <w:kinsoku/>
        <w:wordWrap/>
        <w:overflowPunct/>
        <w:bidi w:val="0"/>
        <w:adjustRightInd w:val="0"/>
        <w:snapToGrid w:val="0"/>
        <w:spacing w:line="500" w:lineRule="exact"/>
        <w:ind w:firstLine="480" w:firstLineChars="200"/>
        <w:jc w:val="left"/>
        <w:textAlignment w:val="auto"/>
        <w:rPr>
          <w:rFonts w:hint="default"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6</w:t>
      </w:r>
      <w:r>
        <w:rPr>
          <w:rFonts w:hint="eastAsia" w:ascii="仿宋_GB2312" w:hAnsi="仿宋_GB2312" w:eastAsia="仿宋_GB2312" w:cs="仿宋_GB2312"/>
          <w:color w:val="auto"/>
          <w:kern w:val="0"/>
          <w:sz w:val="24"/>
          <w:szCs w:val="24"/>
          <w:highlight w:val="none"/>
        </w:rPr>
        <w:t>.2交货地点：</w:t>
      </w:r>
      <w:r>
        <w:rPr>
          <w:rFonts w:hint="eastAsia" w:ascii="仿宋_GB2312" w:hAnsi="仿宋_GB2312" w:eastAsia="仿宋_GB2312" w:cs="仿宋_GB2312"/>
          <w:color w:val="auto"/>
          <w:kern w:val="0"/>
          <w:sz w:val="24"/>
          <w:szCs w:val="24"/>
          <w:highlight w:val="none"/>
          <w:lang w:val="en-US" w:eastAsia="zh-CN"/>
        </w:rPr>
        <w:t>甘肃省嘉峪关市酒钢冶金厂区技术中心选矿实验室</w:t>
      </w:r>
    </w:p>
    <w:p w14:paraId="10A18648">
      <w:pPr>
        <w:keepNext w:val="0"/>
        <w:keepLines w:val="0"/>
        <w:pageBreakBefore w:val="0"/>
        <w:numPr>
          <w:ilvl w:val="0"/>
          <w:numId w:val="0"/>
        </w:numPr>
        <w:tabs>
          <w:tab w:val="left" w:pos="0"/>
          <w:tab w:val="left" w:pos="540"/>
          <w:tab w:val="left" w:pos="720"/>
        </w:tabs>
        <w:kinsoku/>
        <w:wordWrap/>
        <w:overflowPunct/>
        <w:topLinePunct w:val="0"/>
        <w:bidi w:val="0"/>
        <w:adjustRightInd w:val="0"/>
        <w:snapToGrid w:val="0"/>
        <w:spacing w:line="500" w:lineRule="exact"/>
        <w:ind w:firstLine="480" w:firstLineChars="200"/>
        <w:textAlignment w:val="auto"/>
        <w:outlineLvl w:val="0"/>
        <w:rPr>
          <w:rFonts w:hint="eastAsia" w:ascii="黑体" w:hAnsi="黑体" w:eastAsia="黑体" w:cs="黑体"/>
          <w:b w:val="0"/>
          <w:bCs w:val="0"/>
          <w:color w:val="auto"/>
          <w:kern w:val="2"/>
          <w:sz w:val="24"/>
          <w:szCs w:val="24"/>
          <w:lang w:val="en-US" w:eastAsia="zh-CN" w:bidi="ar-SA"/>
        </w:rPr>
      </w:pPr>
      <w:bookmarkStart w:id="40" w:name="_Toc11422"/>
      <w:r>
        <w:rPr>
          <w:rFonts w:hint="eastAsia" w:ascii="黑体" w:hAnsi="黑体" w:eastAsia="黑体" w:cs="黑体"/>
          <w:b w:val="0"/>
          <w:bCs w:val="0"/>
          <w:color w:val="auto"/>
          <w:kern w:val="2"/>
          <w:sz w:val="24"/>
          <w:szCs w:val="24"/>
          <w:lang w:val="en-US" w:eastAsia="zh-CN" w:bidi="ar-SA"/>
        </w:rPr>
        <w:t>七、技术资料</w:t>
      </w:r>
      <w:bookmarkEnd w:id="40"/>
    </w:p>
    <w:p w14:paraId="2DCFD57F">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1"/>
        <w:rPr>
          <w:rFonts w:hint="eastAsia" w:ascii="仿宋_GB2312" w:hAnsi="仿宋_GB2312" w:eastAsia="仿宋_GB2312" w:cs="仿宋_GB2312"/>
          <w:b w:val="0"/>
          <w:bCs/>
          <w:color w:val="auto"/>
          <w:kern w:val="21"/>
          <w:sz w:val="24"/>
          <w:szCs w:val="24"/>
          <w:lang w:val="en-US" w:eastAsia="zh-CN" w:bidi="ar-SA"/>
        </w:rPr>
      </w:pPr>
      <w:bookmarkStart w:id="41" w:name="_Toc1649"/>
      <w:bookmarkStart w:id="42" w:name="_Toc2764"/>
      <w:bookmarkStart w:id="43" w:name="_Toc7659"/>
      <w:bookmarkStart w:id="44" w:name="_Toc14648"/>
      <w:bookmarkStart w:id="45" w:name="_Toc17751"/>
      <w:bookmarkStart w:id="46" w:name="_Toc5634"/>
      <w:bookmarkStart w:id="47" w:name="_Toc27905"/>
      <w:r>
        <w:rPr>
          <w:rFonts w:hint="eastAsia" w:ascii="仿宋_GB2312" w:hAnsi="仿宋_GB2312" w:eastAsia="仿宋_GB2312" w:cs="仿宋_GB2312"/>
          <w:b w:val="0"/>
          <w:bCs/>
          <w:color w:val="auto"/>
          <w:kern w:val="21"/>
          <w:sz w:val="24"/>
          <w:szCs w:val="24"/>
          <w:lang w:val="en-US" w:eastAsia="zh-CN" w:bidi="ar-SA"/>
        </w:rPr>
        <w:t>7.1一般要求</w:t>
      </w:r>
      <w:bookmarkEnd w:id="41"/>
      <w:bookmarkEnd w:id="42"/>
      <w:bookmarkEnd w:id="43"/>
      <w:bookmarkEnd w:id="44"/>
      <w:bookmarkEnd w:id="45"/>
      <w:bookmarkEnd w:id="46"/>
      <w:bookmarkEnd w:id="47"/>
    </w:p>
    <w:p w14:paraId="4200D4AA">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7.1.1 乙方提供的资料应使用国家法定单位制，语言为中文。图纸资料除提供书面文件外还提供光盘形式电子文件。图纸为AutoCAD格式和PDF格式，文本文件为Word/Excel格式。</w:t>
      </w:r>
    </w:p>
    <w:p w14:paraId="181EE10B">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7.1.2 资料的组织结构清晰、逻辑性强。资料内容要正确、准确、一致、清晰完整，满足工程要求。</w:t>
      </w:r>
    </w:p>
    <w:p w14:paraId="6DB943D0">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7.1.3 乙方资料的提交保证及时充分，满足扩大试验的要求。在技术规格书签订后1周内给出全部技术资料清单和交付进度，并经甲方确认。对工程配合阶段所需的资料，乙方在技术规格书签订后1周内提供。</w:t>
      </w:r>
    </w:p>
    <w:p w14:paraId="4E788A55">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sz w:val="24"/>
          <w:szCs w:val="24"/>
        </w:rPr>
      </w:pPr>
      <w:r>
        <w:rPr>
          <w:rFonts w:hint="eastAsia" w:ascii="仿宋_GB2312" w:hAnsi="仿宋_GB2312" w:eastAsia="仿宋_GB2312" w:cs="仿宋_GB2312"/>
          <w:b w:val="0"/>
          <w:bCs/>
          <w:color w:val="auto"/>
          <w:kern w:val="21"/>
          <w:sz w:val="24"/>
          <w:szCs w:val="24"/>
          <w:lang w:val="en-US" w:eastAsia="zh-CN" w:bidi="ar-SA"/>
        </w:rPr>
        <w:t>7.1.4 对于其他没有列入合同技术资料清单，却是设备所必需的文件和资料，一经发现，乙方也应及时免费提供。</w:t>
      </w:r>
    </w:p>
    <w:p w14:paraId="3316B542">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2"/>
        <w:rPr>
          <w:rFonts w:hint="eastAsia" w:ascii="仿宋_GB2312" w:hAnsi="仿宋_GB2312" w:eastAsia="仿宋_GB2312" w:cs="仿宋_GB2312"/>
          <w:b w:val="0"/>
          <w:bCs/>
          <w:color w:val="auto"/>
          <w:kern w:val="21"/>
          <w:sz w:val="24"/>
          <w:szCs w:val="24"/>
          <w:lang w:val="en-US" w:eastAsia="zh-CN" w:bidi="ar-SA"/>
        </w:rPr>
      </w:pPr>
      <w:bookmarkStart w:id="48" w:name="_Toc21453"/>
      <w:bookmarkStart w:id="49" w:name="_Toc11413"/>
      <w:bookmarkStart w:id="50" w:name="_Toc12224"/>
      <w:bookmarkStart w:id="51" w:name="_Toc28379"/>
      <w:bookmarkStart w:id="52" w:name="_Toc19163"/>
      <w:bookmarkStart w:id="53" w:name="_Toc27922"/>
      <w:bookmarkStart w:id="54" w:name="_Toc26333"/>
      <w:r>
        <w:rPr>
          <w:rFonts w:hint="eastAsia" w:ascii="仿宋_GB2312" w:hAnsi="仿宋_GB2312" w:eastAsia="仿宋_GB2312" w:cs="仿宋_GB2312"/>
          <w:b w:val="0"/>
          <w:bCs/>
          <w:color w:val="auto"/>
          <w:kern w:val="21"/>
          <w:sz w:val="24"/>
          <w:szCs w:val="24"/>
          <w:lang w:val="en-US" w:eastAsia="zh-CN" w:bidi="ar-SA"/>
        </w:rPr>
        <w:t>7.2 技术文件和图纸</w:t>
      </w:r>
      <w:bookmarkEnd w:id="48"/>
      <w:bookmarkEnd w:id="49"/>
      <w:bookmarkEnd w:id="50"/>
      <w:bookmarkEnd w:id="51"/>
      <w:bookmarkEnd w:id="52"/>
      <w:bookmarkEnd w:id="53"/>
      <w:bookmarkEnd w:id="54"/>
    </w:p>
    <w:p w14:paraId="6C28802F">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7.2.1 乙方应提供的技术文件</w:t>
      </w:r>
    </w:p>
    <w:p w14:paraId="56A64048">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乙方随投标书向甲方提供一般性资料应包括但并不仅限于鉴定证书、典型说明书、总装图、主要技术参数表、主要业绩表和产品主要特点的描述。</w:t>
      </w:r>
    </w:p>
    <w:p w14:paraId="0774F04A">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7.2.2 有关资料</w:t>
      </w:r>
    </w:p>
    <w:p w14:paraId="620A0D11">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——工厂概况；</w:t>
      </w:r>
    </w:p>
    <w:p w14:paraId="24D3489E">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——重要部件的外协及外购情况；</w:t>
      </w:r>
    </w:p>
    <w:p w14:paraId="28EE8240">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——已投运产品曾发生过的问题、解决办法及效果，本次拟采取哪些完善措施。</w:t>
      </w:r>
    </w:p>
    <w:p w14:paraId="5051B93B">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2"/>
        <w:rPr>
          <w:rFonts w:hint="eastAsia" w:ascii="仿宋_GB2312" w:hAnsi="仿宋_GB2312" w:eastAsia="仿宋_GB2312" w:cs="仿宋_GB2312"/>
          <w:b w:val="0"/>
          <w:bCs/>
          <w:color w:val="auto"/>
          <w:kern w:val="21"/>
          <w:sz w:val="24"/>
          <w:szCs w:val="24"/>
          <w:lang w:val="en-US" w:eastAsia="zh-CN" w:bidi="ar-SA"/>
        </w:rPr>
      </w:pPr>
      <w:bookmarkStart w:id="55" w:name="_Toc13524"/>
      <w:bookmarkStart w:id="56" w:name="_Toc29637"/>
      <w:bookmarkStart w:id="57" w:name="_Toc2836"/>
      <w:r>
        <w:rPr>
          <w:rFonts w:hint="eastAsia" w:ascii="仿宋_GB2312" w:hAnsi="仿宋_GB2312" w:eastAsia="仿宋_GB2312" w:cs="仿宋_GB2312"/>
          <w:b w:val="0"/>
          <w:bCs/>
          <w:color w:val="auto"/>
          <w:kern w:val="21"/>
          <w:sz w:val="24"/>
          <w:szCs w:val="24"/>
          <w:lang w:val="en-US" w:eastAsia="zh-CN" w:bidi="ar-SA"/>
        </w:rPr>
        <w:t>7.3 随机技术文件要求</w:t>
      </w:r>
      <w:bookmarkEnd w:id="55"/>
      <w:bookmarkEnd w:id="56"/>
      <w:bookmarkEnd w:id="57"/>
    </w:p>
    <w:p w14:paraId="62F3627D">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设备</w:t>
      </w:r>
      <w:r>
        <w:rPr>
          <w:rFonts w:hint="eastAsia" w:ascii="仿宋_GB2312" w:hAnsi="仿宋_GB2312" w:eastAsia="仿宋_GB2312" w:cs="仿宋_GB2312"/>
          <w:b w:val="0"/>
          <w:bCs/>
          <w:color w:val="auto"/>
          <w:kern w:val="21"/>
          <w:sz w:val="24"/>
          <w:szCs w:val="24"/>
          <w:highlight w:val="none"/>
          <w:lang w:val="en-US" w:eastAsia="zh-CN" w:bidi="ar-SA"/>
        </w:rPr>
        <w:t>发运前7天，乙方将最终版随机技术文件电子版线上发给甲方，甲方对资料完整性</w:t>
      </w:r>
      <w:r>
        <w:rPr>
          <w:rFonts w:hint="eastAsia" w:ascii="仿宋_GB2312" w:hAnsi="仿宋_GB2312" w:eastAsia="仿宋_GB2312" w:cs="仿宋_GB2312"/>
          <w:b w:val="0"/>
          <w:bCs/>
          <w:color w:val="auto"/>
          <w:kern w:val="21"/>
          <w:sz w:val="24"/>
          <w:szCs w:val="24"/>
          <w:lang w:val="en-US" w:eastAsia="zh-CN" w:bidi="ar-SA"/>
        </w:rPr>
        <w:t>进行确认，3个工作日内反馈确认结果。</w:t>
      </w:r>
    </w:p>
    <w:p w14:paraId="523CB70B">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在设备装箱发运时，最终版随机技术文件（包括纸质版和电子版，图纸为PDF格式，文本文件为word/excel格式）应同时随设备发至现场。满足施工、调试、试运、机组性能试验和运行维护所需的技术资料包括但不限于：</w:t>
      </w:r>
    </w:p>
    <w:p w14:paraId="0E613289">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7.3.1 提供设备安装、运行、调试和试运说明书，以及组装、拆卸时所需的技术资料。</w:t>
      </w:r>
    </w:p>
    <w:p w14:paraId="1D1C7AD2">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7.3.2 安装、运行、维护、检修所需的图纸和技术文件。</w:t>
      </w:r>
    </w:p>
    <w:p w14:paraId="182C42BD">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7.3.3 设备的安装、运行、维护、检修说明书，包括设备结构特点、安装程序和工艺要求、启动调试要领。运行操作规定和控制数据、定期校验和维护说明等。</w:t>
      </w:r>
    </w:p>
    <w:p w14:paraId="3FE2E94F">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7.3.4 乙方应提供试机备品、配件总清单和易损零件图。</w:t>
      </w:r>
    </w:p>
    <w:p w14:paraId="5B6990CB">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7.3.5 乙方应提供专用工具使用说明及图纸。</w:t>
      </w:r>
    </w:p>
    <w:p w14:paraId="4ACD8871">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2"/>
        <w:rPr>
          <w:rFonts w:hint="eastAsia" w:ascii="仿宋_GB2312" w:hAnsi="仿宋_GB2312" w:eastAsia="仿宋_GB2312" w:cs="仿宋_GB2312"/>
          <w:b w:val="0"/>
          <w:bCs/>
          <w:color w:val="auto"/>
          <w:kern w:val="21"/>
          <w:sz w:val="24"/>
          <w:szCs w:val="24"/>
          <w:lang w:val="en-US" w:eastAsia="zh-CN" w:bidi="ar-SA"/>
        </w:rPr>
      </w:pPr>
      <w:bookmarkStart w:id="58" w:name="_Toc9928"/>
      <w:bookmarkStart w:id="59" w:name="_Toc12501"/>
      <w:bookmarkStart w:id="60" w:name="_Toc21548"/>
      <w:r>
        <w:rPr>
          <w:rFonts w:hint="eastAsia" w:ascii="仿宋_GB2312" w:hAnsi="仿宋_GB2312" w:eastAsia="仿宋_GB2312" w:cs="仿宋_GB2312"/>
          <w:b w:val="0"/>
          <w:bCs/>
          <w:color w:val="auto"/>
          <w:kern w:val="21"/>
          <w:sz w:val="24"/>
          <w:szCs w:val="24"/>
          <w:lang w:val="en-US" w:eastAsia="zh-CN" w:bidi="ar-SA"/>
        </w:rPr>
        <w:t>7.4 乙方须提供的其他技术资料，包括以下但不限于：</w:t>
      </w:r>
      <w:bookmarkEnd w:id="58"/>
      <w:bookmarkEnd w:id="59"/>
      <w:bookmarkEnd w:id="60"/>
    </w:p>
    <w:p w14:paraId="6E047481">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7.4.1 检验记录、试验报告及质量合格证等出厂报告。</w:t>
      </w:r>
    </w:p>
    <w:p w14:paraId="16F2D063">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7.4.2 乙方提供在设计、制造、检验、验收时所遵循的标准、规范和规定等清单。</w:t>
      </w:r>
    </w:p>
    <w:p w14:paraId="2A1C7C16">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7.4.3 设备和备品管理资料文件，包括设备和备品发运和装箱的详细资料（各种清单），设备和备品存放与保管技术要求。</w:t>
      </w:r>
    </w:p>
    <w:p w14:paraId="59D5CD81">
      <w:pPr>
        <w:keepNext w:val="0"/>
        <w:keepLines w:val="0"/>
        <w:pageBreakBefore w:val="0"/>
        <w:numPr>
          <w:ilvl w:val="0"/>
          <w:numId w:val="0"/>
        </w:numPr>
        <w:tabs>
          <w:tab w:val="left" w:pos="0"/>
          <w:tab w:val="left" w:pos="540"/>
          <w:tab w:val="left" w:pos="720"/>
        </w:tabs>
        <w:kinsoku/>
        <w:wordWrap/>
        <w:overflowPunct/>
        <w:topLinePunct w:val="0"/>
        <w:bidi w:val="0"/>
        <w:adjustRightInd w:val="0"/>
        <w:snapToGrid w:val="0"/>
        <w:spacing w:line="500" w:lineRule="exact"/>
        <w:ind w:firstLine="480" w:firstLineChars="200"/>
        <w:textAlignment w:val="auto"/>
        <w:outlineLvl w:val="0"/>
        <w:rPr>
          <w:rFonts w:hint="eastAsia" w:ascii="黑体" w:hAnsi="黑体" w:eastAsia="黑体" w:cs="黑体"/>
          <w:b w:val="0"/>
          <w:bCs w:val="0"/>
          <w:color w:val="auto"/>
          <w:kern w:val="2"/>
          <w:sz w:val="24"/>
          <w:szCs w:val="24"/>
          <w:lang w:val="en-US" w:eastAsia="zh-CN" w:bidi="ar-SA"/>
        </w:rPr>
      </w:pPr>
      <w:bookmarkStart w:id="61" w:name="_Toc23040"/>
      <w:r>
        <w:rPr>
          <w:rFonts w:hint="eastAsia" w:ascii="黑体" w:hAnsi="黑体" w:eastAsia="黑体" w:cs="黑体"/>
          <w:b w:val="0"/>
          <w:bCs w:val="0"/>
          <w:color w:val="auto"/>
          <w:kern w:val="2"/>
          <w:sz w:val="24"/>
          <w:szCs w:val="24"/>
          <w:lang w:val="en-US" w:eastAsia="zh-CN" w:bidi="ar-SA"/>
        </w:rPr>
        <w:t>八、服务和联络</w:t>
      </w:r>
      <w:bookmarkEnd w:id="61"/>
    </w:p>
    <w:p w14:paraId="1DD125F8">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1"/>
        <w:rPr>
          <w:rFonts w:hint="eastAsia" w:ascii="仿宋_GB2312" w:hAnsi="仿宋_GB2312" w:eastAsia="仿宋_GB2312" w:cs="仿宋_GB2312"/>
          <w:b w:val="0"/>
          <w:bCs/>
          <w:color w:val="auto"/>
          <w:kern w:val="21"/>
          <w:sz w:val="24"/>
          <w:szCs w:val="24"/>
          <w:lang w:val="en-US" w:eastAsia="zh-CN" w:bidi="ar-SA"/>
        </w:rPr>
      </w:pPr>
      <w:bookmarkStart w:id="62" w:name="_Toc28831"/>
      <w:bookmarkStart w:id="63" w:name="_Toc21142"/>
      <w:bookmarkStart w:id="64" w:name="_Toc29295"/>
      <w:bookmarkStart w:id="65" w:name="_Toc24416"/>
      <w:bookmarkStart w:id="66" w:name="_Toc3315"/>
      <w:bookmarkStart w:id="67" w:name="_Toc18486"/>
      <w:bookmarkStart w:id="68" w:name="_Toc14704"/>
      <w:r>
        <w:rPr>
          <w:rFonts w:hint="eastAsia" w:ascii="仿宋_GB2312" w:hAnsi="仿宋_GB2312" w:eastAsia="仿宋_GB2312" w:cs="仿宋_GB2312"/>
          <w:b w:val="0"/>
          <w:bCs/>
          <w:color w:val="auto"/>
          <w:kern w:val="21"/>
          <w:sz w:val="24"/>
          <w:szCs w:val="24"/>
          <w:lang w:val="en-US" w:eastAsia="zh-CN" w:bidi="ar-SA"/>
        </w:rPr>
        <w:t>8.1 设计服务</w:t>
      </w:r>
      <w:bookmarkEnd w:id="62"/>
      <w:bookmarkEnd w:id="63"/>
      <w:bookmarkEnd w:id="64"/>
      <w:bookmarkEnd w:id="65"/>
      <w:bookmarkEnd w:id="66"/>
      <w:bookmarkEnd w:id="67"/>
      <w:bookmarkEnd w:id="68"/>
    </w:p>
    <w:p w14:paraId="7DB89065">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乙方提供的设备及附件规格、重量有变化时，应及时书面提供给甲方。</w:t>
      </w:r>
    </w:p>
    <w:p w14:paraId="0C885640">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1"/>
        <w:rPr>
          <w:rFonts w:hint="eastAsia" w:ascii="仿宋_GB2312" w:hAnsi="仿宋_GB2312" w:eastAsia="仿宋_GB2312" w:cs="仿宋_GB2312"/>
          <w:b w:val="0"/>
          <w:bCs/>
          <w:color w:val="auto"/>
          <w:kern w:val="21"/>
          <w:sz w:val="24"/>
          <w:szCs w:val="24"/>
          <w:lang w:val="en-US" w:eastAsia="zh-CN" w:bidi="ar-SA"/>
        </w:rPr>
      </w:pPr>
      <w:bookmarkStart w:id="69" w:name="_Toc30451"/>
      <w:bookmarkStart w:id="70" w:name="_Toc4638"/>
      <w:bookmarkStart w:id="71" w:name="_Toc7671"/>
      <w:bookmarkStart w:id="72" w:name="_Toc9545"/>
      <w:bookmarkStart w:id="73" w:name="_Toc25260"/>
      <w:bookmarkStart w:id="74" w:name="_Toc20986"/>
      <w:bookmarkStart w:id="75" w:name="_Toc30435"/>
      <w:r>
        <w:rPr>
          <w:rFonts w:hint="eastAsia" w:ascii="仿宋_GB2312" w:hAnsi="仿宋_GB2312" w:eastAsia="仿宋_GB2312" w:cs="仿宋_GB2312"/>
          <w:b w:val="0"/>
          <w:bCs/>
          <w:color w:val="auto"/>
          <w:kern w:val="21"/>
          <w:sz w:val="24"/>
          <w:szCs w:val="24"/>
          <w:lang w:val="en-US" w:eastAsia="zh-CN" w:bidi="ar-SA"/>
        </w:rPr>
        <w:t>8.2 乙方现场技术服务</w:t>
      </w:r>
      <w:bookmarkEnd w:id="69"/>
      <w:bookmarkEnd w:id="70"/>
      <w:bookmarkEnd w:id="71"/>
      <w:bookmarkEnd w:id="72"/>
      <w:bookmarkEnd w:id="73"/>
      <w:bookmarkEnd w:id="74"/>
      <w:bookmarkEnd w:id="75"/>
    </w:p>
    <w:p w14:paraId="22C20188">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8.2.1 乙方技术服务的目的是保证所提供的合同设备安全、正常投运。乙方要指派合格的、能独立解决问题的技术人员指导甲方。</w:t>
      </w:r>
    </w:p>
    <w:p w14:paraId="45BF836D">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8.2.2 技术服务人员的工作时间应与现场要求相一致，以满足现场安装、调试和试运行的要求。</w:t>
      </w:r>
    </w:p>
    <w:p w14:paraId="1585D9F9">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_GB2312" w:hAnsi="仿宋_GB2312" w:eastAsia="仿宋_GB2312" w:cs="仿宋_GB2312"/>
          <w:b w:val="0"/>
          <w:bCs/>
          <w:color w:val="auto"/>
          <w:kern w:val="21"/>
          <w:sz w:val="24"/>
          <w:szCs w:val="24"/>
          <w:lang w:val="en-US" w:eastAsia="zh-CN" w:bidi="ar-SA"/>
        </w:rPr>
      </w:pPr>
      <w:r>
        <w:rPr>
          <w:rFonts w:hint="eastAsia" w:ascii="仿宋_GB2312" w:hAnsi="仿宋_GB2312" w:eastAsia="仿宋_GB2312" w:cs="仿宋_GB2312"/>
          <w:b w:val="0"/>
          <w:bCs/>
          <w:color w:val="auto"/>
          <w:kern w:val="21"/>
          <w:sz w:val="24"/>
          <w:szCs w:val="24"/>
          <w:lang w:val="en-US" w:eastAsia="zh-CN" w:bidi="ar-SA"/>
        </w:rPr>
        <w:t>8.2.3在调试前，乙方技术服务人员应向甲方技术交底，讲解和示范将要进行的程序和方法。对重要工序乙方技术人员要对施工情况进行确认和签证，否则甲方不能进行下一道工序。经乙方确认的工序如因乙方技术服务人员指导错误而发生问题，乙方负全部责任。</w:t>
      </w:r>
    </w:p>
    <w:p w14:paraId="527DEE80">
      <w:pPr>
        <w:keepNext w:val="0"/>
        <w:keepLines w:val="0"/>
        <w:pageBreakBefore w:val="0"/>
        <w:widowControl w:val="0"/>
        <w:tabs>
          <w:tab w:val="left" w:pos="0"/>
          <w:tab w:val="left" w:pos="720"/>
          <w:tab w:val="left" w:pos="900"/>
          <w:tab w:val="left" w:pos="1080"/>
        </w:tabs>
        <w:kinsoku/>
        <w:wordWrap/>
        <w:overflowPunct/>
        <w:topLinePunct w:val="0"/>
        <w:autoSpaceDE/>
        <w:autoSpaceDN/>
        <w:bidi w:val="0"/>
        <w:spacing w:line="500" w:lineRule="exact"/>
        <w:ind w:firstLine="480" w:firstLineChars="200"/>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kern w:val="21"/>
          <w:sz w:val="24"/>
          <w:szCs w:val="24"/>
          <w:lang w:val="en-US" w:eastAsia="zh-CN" w:bidi="ar-SA"/>
        </w:rPr>
        <w:t>8.2.4乙方应对质保期内提供免费技术咨询服务，当甲方提出服务要求时乙方应在工作日2小时、非工作日4小时内作出回应，如果乙方设备的问题，乙方应在72小时内到达甲方现场。</w:t>
      </w:r>
    </w:p>
    <w:p w14:paraId="61BC986E">
      <w:pPr>
        <w:keepNext w:val="0"/>
        <w:keepLines w:val="0"/>
        <w:pageBreakBefore w:val="0"/>
        <w:numPr>
          <w:ilvl w:val="0"/>
          <w:numId w:val="0"/>
        </w:numPr>
        <w:tabs>
          <w:tab w:val="left" w:pos="0"/>
          <w:tab w:val="left" w:pos="540"/>
          <w:tab w:val="left" w:pos="720"/>
        </w:tabs>
        <w:kinsoku/>
        <w:wordWrap/>
        <w:overflowPunct/>
        <w:topLinePunct w:val="0"/>
        <w:bidi w:val="0"/>
        <w:adjustRightInd w:val="0"/>
        <w:snapToGrid w:val="0"/>
        <w:spacing w:line="500" w:lineRule="exact"/>
        <w:ind w:firstLine="480" w:firstLineChars="200"/>
        <w:textAlignment w:val="auto"/>
        <w:outlineLvl w:val="0"/>
        <w:rPr>
          <w:rFonts w:hint="eastAsia" w:ascii="黑体" w:hAnsi="黑体" w:eastAsia="黑体" w:cs="黑体"/>
          <w:b w:val="0"/>
          <w:bCs w:val="0"/>
          <w:color w:val="auto"/>
          <w:kern w:val="2"/>
          <w:sz w:val="24"/>
          <w:szCs w:val="24"/>
          <w:lang w:val="en-US" w:eastAsia="zh-CN" w:bidi="ar-SA"/>
        </w:rPr>
      </w:pPr>
      <w:bookmarkStart w:id="76" w:name="_Toc21514"/>
      <w:r>
        <w:rPr>
          <w:rFonts w:hint="eastAsia" w:ascii="黑体" w:hAnsi="黑体" w:eastAsia="黑体" w:cs="黑体"/>
          <w:b w:val="0"/>
          <w:bCs w:val="0"/>
          <w:color w:val="auto"/>
          <w:kern w:val="2"/>
          <w:sz w:val="24"/>
          <w:szCs w:val="24"/>
          <w:lang w:val="en-US" w:eastAsia="zh-CN" w:bidi="ar-SA"/>
        </w:rPr>
        <w:t>九、其他</w:t>
      </w:r>
      <w:bookmarkEnd w:id="76"/>
    </w:p>
    <w:p w14:paraId="2AFE6905">
      <w:pPr>
        <w:keepNext w:val="0"/>
        <w:keepLines w:val="0"/>
        <w:pageBreakBefore w:val="0"/>
        <w:widowControl w:val="0"/>
        <w:numPr>
          <w:ilvl w:val="0"/>
          <w:numId w:val="1"/>
        </w:numPr>
        <w:tabs>
          <w:tab w:val="left" w:pos="540"/>
          <w:tab w:val="left" w:pos="840"/>
          <w:tab w:val="left" w:pos="1080"/>
          <w:tab w:val="clear" w:pos="312"/>
        </w:tabs>
        <w:kinsoku/>
        <w:wordWrap/>
        <w:overflowPunct/>
        <w:topLinePunct w:val="0"/>
        <w:autoSpaceDE/>
        <w:autoSpaceDN/>
        <w:bidi w:val="0"/>
        <w:adjustRightInd/>
        <w:snapToGrid/>
        <w:spacing w:line="500" w:lineRule="exact"/>
        <w:ind w:left="150" w:leftChars="0" w:firstLine="480" w:firstLineChars="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w:t>
      </w:r>
      <w:r>
        <w:rPr>
          <w:rFonts w:hint="eastAsia" w:ascii="仿宋_GB2312" w:hAnsi="仿宋_GB2312" w:eastAsia="仿宋_GB2312" w:cs="仿宋_GB2312"/>
          <w:color w:val="auto"/>
          <w:sz w:val="24"/>
          <w:szCs w:val="24"/>
          <w:lang w:eastAsia="zh-CN"/>
        </w:rPr>
        <w:t>技术规格书</w:t>
      </w:r>
      <w:r>
        <w:rPr>
          <w:rFonts w:hint="eastAsia" w:ascii="仿宋_GB2312" w:hAnsi="仿宋_GB2312" w:eastAsia="仿宋_GB2312" w:cs="仿宋_GB2312"/>
          <w:color w:val="auto"/>
          <w:sz w:val="24"/>
          <w:szCs w:val="24"/>
        </w:rPr>
        <w:t>一式四份，甲方三份，乙方一份。</w:t>
      </w:r>
    </w:p>
    <w:p w14:paraId="7C8D952F">
      <w:pPr>
        <w:pStyle w:val="2"/>
        <w:ind w:left="0" w:leftChars="0" w:firstLine="240" w:firstLineChars="100"/>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 xml:space="preserve">2、若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kern w:val="2"/>
          <w:sz w:val="24"/>
          <w:szCs w:val="24"/>
          <w:lang w:val="en-US" w:eastAsia="zh-CN" w:bidi="ar-SA"/>
        </w:rPr>
        <w:t>公司不能中标，则本技术规格书自动失效，双方互不承担任何责任。</w:t>
      </w:r>
    </w:p>
    <w:p w14:paraId="31265556">
      <w:pPr>
        <w:keepNext w:val="0"/>
        <w:keepLines w:val="0"/>
        <w:pageBreakBefore w:val="0"/>
        <w:widowControl w:val="0"/>
        <w:numPr>
          <w:numId w:val="0"/>
        </w:numPr>
        <w:tabs>
          <w:tab w:val="left" w:pos="540"/>
          <w:tab w:val="left" w:pos="840"/>
          <w:tab w:val="left" w:pos="1080"/>
        </w:tabs>
        <w:kinsoku/>
        <w:wordWrap/>
        <w:overflowPunct/>
        <w:topLinePunct w:val="0"/>
        <w:autoSpaceDE/>
        <w:autoSpaceDN/>
        <w:bidi w:val="0"/>
        <w:adjustRightInd/>
        <w:snapToGrid/>
        <w:spacing w:line="500" w:lineRule="exact"/>
        <w:ind w:firstLine="240" w:firstLineChars="1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3.本规格书内容经由甲乙双方于</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时至</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时通过</w:t>
      </w:r>
    </w:p>
    <w:p w14:paraId="3F42CA23">
      <w:pPr>
        <w:keepNext w:val="0"/>
        <w:keepLines w:val="0"/>
        <w:pageBreakBefore w:val="0"/>
        <w:widowControl w:val="0"/>
        <w:numPr>
          <w:ilvl w:val="0"/>
          <w:numId w:val="0"/>
        </w:numPr>
        <w:tabs>
          <w:tab w:val="left" w:pos="540"/>
          <w:tab w:val="left" w:pos="840"/>
          <w:tab w:val="left" w:pos="1080"/>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方式商定。</w:t>
      </w:r>
    </w:p>
    <w:p w14:paraId="10A69596">
      <w:pPr>
        <w:keepNext w:val="0"/>
        <w:keepLines w:val="0"/>
        <w:pageBreakBefore w:val="0"/>
        <w:widowControl w:val="0"/>
        <w:numPr>
          <w:numId w:val="0"/>
        </w:numPr>
        <w:tabs>
          <w:tab w:val="left" w:pos="540"/>
          <w:tab w:val="left" w:pos="840"/>
          <w:tab w:val="left" w:pos="1080"/>
        </w:tabs>
        <w:kinsoku/>
        <w:wordWrap/>
        <w:overflowPunct/>
        <w:topLinePunct w:val="0"/>
        <w:autoSpaceDE/>
        <w:autoSpaceDN/>
        <w:bidi w:val="0"/>
        <w:adjustRightInd/>
        <w:snapToGrid/>
        <w:spacing w:line="500" w:lineRule="exact"/>
        <w:ind w:firstLine="240" w:firstLineChars="1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4、甲乙双方应当就签订本规格书的相关事宜保密，不得将签订主体、时间、内容等信息透露给其他第三人。</w:t>
      </w:r>
    </w:p>
    <w:p w14:paraId="5AFD2C7E">
      <w:pPr>
        <w:pStyle w:val="22"/>
        <w:rPr>
          <w:rFonts w:hint="eastAsia" w:ascii="仿宋_GB2312" w:hAnsi="仿宋_GB2312" w:eastAsia="仿宋_GB2312" w:cs="仿宋_GB2312"/>
          <w:b w:val="0"/>
          <w:bCs w:val="0"/>
          <w:color w:val="auto"/>
          <w:sz w:val="24"/>
          <w:szCs w:val="24"/>
        </w:rPr>
      </w:pPr>
    </w:p>
    <w:p w14:paraId="5C46B8CF">
      <w:pPr>
        <w:keepNext w:val="0"/>
        <w:keepLines w:val="0"/>
        <w:pageBreakBefore w:val="0"/>
        <w:tabs>
          <w:tab w:val="left" w:pos="1943"/>
        </w:tabs>
        <w:kinsoku/>
        <w:wordWrap/>
        <w:overflowPunct/>
        <w:bidi w:val="0"/>
        <w:spacing w:line="500" w:lineRule="exact"/>
        <w:ind w:firstLine="480" w:firstLineChars="200"/>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t>甲方：</w:t>
      </w:r>
      <w:r>
        <w:rPr>
          <w:rFonts w:hint="eastAsia" w:ascii="仿宋_GB2312" w:hAnsi="仿宋_GB2312" w:eastAsia="仿宋_GB2312" w:cs="仿宋_GB2312"/>
          <w:b w:val="0"/>
          <w:bCs w:val="0"/>
          <w:color w:val="auto"/>
          <w:sz w:val="24"/>
          <w:szCs w:val="24"/>
          <w:lang w:val="en-US" w:eastAsia="zh-CN"/>
        </w:rPr>
        <w:t>酒钢（集团）宏联自控有限    乙</w:t>
      </w:r>
      <w:r>
        <w:rPr>
          <w:rFonts w:hint="eastAsia" w:ascii="仿宋_GB2312" w:hAnsi="仿宋_GB2312" w:eastAsia="仿宋_GB2312" w:cs="仿宋_GB2312"/>
          <w:b w:val="0"/>
          <w:bCs w:val="0"/>
          <w:color w:val="auto"/>
          <w:sz w:val="24"/>
          <w:szCs w:val="24"/>
        </w:rPr>
        <w:t>方：</w:t>
      </w:r>
    </w:p>
    <w:p w14:paraId="47404D0A">
      <w:pPr>
        <w:keepNext w:val="0"/>
        <w:keepLines w:val="0"/>
        <w:pageBreakBefore w:val="0"/>
        <w:tabs>
          <w:tab w:val="left" w:pos="1943"/>
        </w:tabs>
        <w:kinsoku/>
        <w:wordWrap/>
        <w:overflowPunct/>
        <w:bidi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   </w:t>
      </w:r>
      <w:r>
        <w:rPr>
          <w:rFonts w:hint="eastAsia" w:ascii="仿宋_GB2312" w:hAnsi="仿宋_GB2312" w:eastAsia="仿宋_GB2312" w:cs="仿宋_GB2312"/>
          <w:b w:val="0"/>
          <w:bCs w:val="0"/>
          <w:color w:val="auto"/>
          <w:sz w:val="24"/>
          <w:szCs w:val="24"/>
          <w:lang w:val="en-US" w:eastAsia="zh-CN"/>
        </w:rPr>
        <w:t xml:space="preserve">   责任公司                         </w:t>
      </w:r>
    </w:p>
    <w:p w14:paraId="7A46DD13">
      <w:pPr>
        <w:keepNext w:val="0"/>
        <w:keepLines w:val="0"/>
        <w:pageBreakBefore w:val="0"/>
        <w:tabs>
          <w:tab w:val="left" w:pos="1943"/>
        </w:tabs>
        <w:kinsoku/>
        <w:wordWrap/>
        <w:overflowPunct/>
        <w:bidi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甲方代表：</w:t>
      </w:r>
      <w:r>
        <w:rPr>
          <w:rFonts w:hint="eastAsia" w:ascii="仿宋_GB2312" w:hAnsi="仿宋_GB2312" w:eastAsia="仿宋_GB2312" w:cs="仿宋_GB2312"/>
          <w:b w:val="0"/>
          <w:bCs w:val="0"/>
          <w:color w:val="auto"/>
          <w:sz w:val="24"/>
          <w:szCs w:val="24"/>
        </w:rPr>
        <w:tab/>
      </w:r>
      <w:r>
        <w:rPr>
          <w:rFonts w:hint="eastAsia" w:ascii="仿宋_GB2312" w:hAnsi="仿宋_GB2312" w:eastAsia="仿宋_GB2312" w:cs="仿宋_GB2312"/>
          <w:b w:val="0"/>
          <w:bCs w:val="0"/>
          <w:color w:val="auto"/>
          <w:sz w:val="24"/>
          <w:szCs w:val="24"/>
          <w:lang w:val="en-US" w:eastAsia="zh-CN"/>
        </w:rPr>
        <w:t xml:space="preserve">                       乙</w:t>
      </w:r>
      <w:r>
        <w:rPr>
          <w:rFonts w:hint="eastAsia" w:ascii="仿宋_GB2312" w:hAnsi="仿宋_GB2312" w:eastAsia="仿宋_GB2312" w:cs="仿宋_GB2312"/>
          <w:b w:val="0"/>
          <w:bCs w:val="0"/>
          <w:color w:val="auto"/>
          <w:sz w:val="24"/>
          <w:szCs w:val="24"/>
        </w:rPr>
        <w:t xml:space="preserve">方代表：                          </w:t>
      </w:r>
    </w:p>
    <w:p w14:paraId="22625A81">
      <w:pPr>
        <w:keepNext w:val="0"/>
        <w:keepLines w:val="0"/>
        <w:pageBreakBefore w:val="0"/>
        <w:kinsoku/>
        <w:wordWrap/>
        <w:overflowPunct/>
        <w:bidi w:val="0"/>
        <w:spacing w:line="50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年   月   日</w:t>
      </w:r>
      <w:r>
        <w:rPr>
          <w:rFonts w:hint="eastAsia" w:ascii="仿宋_GB2312" w:hAnsi="仿宋_GB2312" w:eastAsia="仿宋_GB2312" w:cs="仿宋_GB2312"/>
          <w:b w:val="0"/>
          <w:bCs w:val="0"/>
          <w:color w:val="auto"/>
          <w:sz w:val="24"/>
          <w:szCs w:val="24"/>
        </w:rPr>
        <w:tab/>
      </w:r>
      <w:r>
        <w:rPr>
          <w:rFonts w:hint="eastAsia" w:ascii="仿宋_GB2312" w:hAnsi="仿宋_GB2312" w:eastAsia="仿宋_GB2312" w:cs="仿宋_GB2312"/>
          <w:b w:val="0"/>
          <w:bCs w:val="0"/>
          <w:color w:val="auto"/>
          <w:sz w:val="24"/>
          <w:szCs w:val="24"/>
        </w:rPr>
        <w:t xml:space="preserve"> </w:t>
      </w:r>
      <w:r>
        <w:rPr>
          <w:rFonts w:hint="eastAsia" w:ascii="仿宋_GB2312" w:hAnsi="仿宋_GB2312" w:eastAsia="仿宋_GB2312" w:cs="仿宋_GB2312"/>
          <w:b w:val="0"/>
          <w:bCs w:val="0"/>
          <w:color w:val="auto"/>
          <w:sz w:val="24"/>
          <w:szCs w:val="24"/>
          <w:lang w:val="en-US" w:eastAsia="zh-CN"/>
        </w:rPr>
        <w:t xml:space="preserve">                   </w:t>
      </w:r>
      <w:r>
        <w:rPr>
          <w:rFonts w:hint="eastAsia" w:ascii="仿宋_GB2312" w:hAnsi="仿宋_GB2312" w:eastAsia="仿宋_GB2312" w:cs="仿宋_GB2312"/>
          <w:b w:val="0"/>
          <w:bCs w:val="0"/>
          <w:color w:val="auto"/>
          <w:sz w:val="24"/>
          <w:szCs w:val="24"/>
        </w:rPr>
        <w:t>年   月   日</w:t>
      </w:r>
      <w:r>
        <w:rPr>
          <w:rFonts w:hint="eastAsia" w:ascii="仿宋_GB2312" w:hAnsi="仿宋_GB2312" w:eastAsia="仿宋_GB2312" w:cs="仿宋_GB2312"/>
          <w:b w:val="0"/>
          <w:bCs w:val="0"/>
          <w:color w:val="auto"/>
          <w:sz w:val="24"/>
          <w:szCs w:val="24"/>
        </w:rPr>
        <w:tab/>
      </w:r>
    </w:p>
    <w:p w14:paraId="0AF920EA">
      <w:pPr>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br w:type="page"/>
      </w:r>
    </w:p>
    <w:p w14:paraId="1A75D005">
      <w:pPr>
        <w:snapToGrid w:val="0"/>
        <w:spacing w:before="156" w:beforeLines="50" w:line="640" w:lineRule="atLeast"/>
        <w:jc w:val="both"/>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附件1：</w:t>
      </w:r>
    </w:p>
    <w:p w14:paraId="5E5721F6">
      <w:pPr>
        <w:snapToGrid w:val="0"/>
        <w:spacing w:before="156" w:beforeLines="50" w:line="640" w:lineRule="atLeast"/>
        <w:jc w:val="center"/>
        <w:rPr>
          <w:rFonts w:hint="eastAsia" w:ascii="仿宋_GB2312" w:hAnsi="仿宋_GB2312" w:eastAsia="仿宋_GB2312" w:cs="仿宋_GB2312"/>
          <w:color w:val="auto"/>
          <w:kern w:val="0"/>
          <w:sz w:val="44"/>
          <w:highlight w:val="none"/>
        </w:rPr>
      </w:pPr>
      <w:r>
        <w:rPr>
          <w:rFonts w:hint="eastAsia" w:ascii="仿宋_GB2312" w:hAnsi="仿宋_GB2312" w:eastAsia="仿宋_GB2312" w:cs="仿宋_GB2312"/>
          <w:color w:val="auto"/>
          <w:kern w:val="0"/>
          <w:sz w:val="44"/>
          <w:highlight w:val="none"/>
          <w:lang w:val="en-US" w:eastAsia="zh-CN"/>
        </w:rPr>
        <w:t>设备供货</w:t>
      </w:r>
      <w:r>
        <w:rPr>
          <w:rFonts w:hint="eastAsia" w:ascii="仿宋_GB2312" w:hAnsi="仿宋_GB2312" w:eastAsia="仿宋_GB2312" w:cs="仿宋_GB2312"/>
          <w:color w:val="auto"/>
          <w:kern w:val="0"/>
          <w:sz w:val="44"/>
          <w:highlight w:val="none"/>
        </w:rPr>
        <w:t>质量终身责任承诺书</w:t>
      </w:r>
    </w:p>
    <w:p w14:paraId="2991CB21">
      <w:pPr>
        <w:snapToGrid w:val="0"/>
        <w:spacing w:line="640" w:lineRule="atLeast"/>
        <w:textAlignment w:val="bottom"/>
        <w:rPr>
          <w:rFonts w:hint="eastAsia" w:ascii="仿宋_GB2312" w:hAnsi="仿宋_GB2312" w:eastAsia="仿宋_GB2312" w:cs="仿宋_GB2312"/>
          <w:color w:val="auto"/>
          <w:kern w:val="0"/>
          <w:sz w:val="32"/>
        </w:rPr>
      </w:pPr>
      <w:r>
        <w:rPr>
          <w:rFonts w:hint="eastAsia" w:ascii="仿宋_GB2312" w:hAnsi="仿宋_GB2312" w:eastAsia="仿宋_GB2312" w:cs="仿宋_GB2312"/>
          <w:color w:val="auto"/>
          <w:kern w:val="0"/>
          <w:sz w:val="32"/>
        </w:rPr>
        <w:t> </w:t>
      </w:r>
    </w:p>
    <w:p w14:paraId="374983A1">
      <w:pPr>
        <w:snapToGrid w:val="0"/>
        <w:spacing w:line="640" w:lineRule="atLeast"/>
        <w:ind w:firstLine="560" w:firstLineChars="200"/>
        <w:textAlignment w:val="bottom"/>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本保证书由</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rPr>
        <w:t>（供应商名称）提供，为确保所供应的设备</w:t>
      </w:r>
      <w:r>
        <w:rPr>
          <w:rFonts w:hint="eastAsia" w:ascii="仿宋_GB2312" w:hAnsi="仿宋_GB2312" w:eastAsia="仿宋_GB2312" w:cs="仿宋_GB2312"/>
          <w:color w:val="auto"/>
          <w:kern w:val="0"/>
          <w:sz w:val="28"/>
          <w:szCs w:val="28"/>
          <w:lang w:val="en-US" w:eastAsia="zh-CN"/>
        </w:rPr>
        <w:t>及材料</w:t>
      </w:r>
      <w:r>
        <w:rPr>
          <w:rFonts w:hint="eastAsia" w:ascii="仿宋_GB2312" w:hAnsi="仿宋_GB2312" w:eastAsia="仿宋_GB2312" w:cs="仿宋_GB2312"/>
          <w:color w:val="auto"/>
          <w:kern w:val="0"/>
          <w:sz w:val="28"/>
          <w:szCs w:val="28"/>
        </w:rPr>
        <w:t>（设备型号、规格、数量等）满足约定的质量标准和要求，特此作出以下保证：</w:t>
      </w:r>
    </w:p>
    <w:p w14:paraId="768857A8">
      <w:pPr>
        <w:snapToGrid w:val="0"/>
        <w:spacing w:line="640" w:lineRule="atLeast"/>
        <w:ind w:firstLine="560"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1.</w:t>
      </w:r>
      <w:r>
        <w:rPr>
          <w:rFonts w:hint="eastAsia" w:ascii="仿宋_GB2312" w:hAnsi="仿宋_GB2312" w:eastAsia="仿宋_GB2312" w:cs="仿宋_GB2312"/>
          <w:color w:val="auto"/>
          <w:kern w:val="0"/>
          <w:sz w:val="28"/>
          <w:szCs w:val="28"/>
        </w:rPr>
        <w:t>我们承诺所供应的设备均为全新、未使用过的产品，并符合国家相关标准和行业标准，</w:t>
      </w:r>
      <w:r>
        <w:rPr>
          <w:rFonts w:hint="eastAsia" w:ascii="仿宋_GB2312" w:hAnsi="仿宋_GB2312" w:eastAsia="仿宋_GB2312" w:cs="仿宋_GB2312"/>
          <w:color w:val="auto"/>
          <w:kern w:val="0"/>
          <w:sz w:val="28"/>
          <w:szCs w:val="28"/>
          <w:lang w:val="en-US" w:eastAsia="zh-CN"/>
        </w:rPr>
        <w:t>满足《宏联自控公司技术规格书》内的要求，</w:t>
      </w:r>
      <w:r>
        <w:rPr>
          <w:rFonts w:hint="eastAsia" w:ascii="仿宋_GB2312" w:hAnsi="仿宋_GB2312" w:eastAsia="仿宋_GB2312" w:cs="仿宋_GB2312"/>
          <w:color w:val="auto"/>
          <w:kern w:val="0"/>
          <w:sz w:val="28"/>
          <w:szCs w:val="28"/>
        </w:rPr>
        <w:t>以及双方约定的</w:t>
      </w:r>
      <w:r>
        <w:rPr>
          <w:rFonts w:hint="eastAsia" w:ascii="仿宋_GB2312" w:hAnsi="仿宋_GB2312" w:eastAsia="仿宋_GB2312" w:cs="仿宋_GB2312"/>
          <w:color w:val="auto"/>
          <w:kern w:val="0"/>
          <w:sz w:val="28"/>
          <w:szCs w:val="28"/>
          <w:lang w:val="en-US" w:eastAsia="zh-CN"/>
        </w:rPr>
        <w:t>行业</w:t>
      </w:r>
      <w:r>
        <w:rPr>
          <w:rFonts w:hint="eastAsia" w:ascii="仿宋_GB2312" w:hAnsi="仿宋_GB2312" w:eastAsia="仿宋_GB2312" w:cs="仿宋_GB2312"/>
          <w:color w:val="auto"/>
          <w:kern w:val="0"/>
          <w:sz w:val="28"/>
          <w:szCs w:val="28"/>
        </w:rPr>
        <w:t>标准。</w:t>
      </w:r>
    </w:p>
    <w:p w14:paraId="09EAF81E">
      <w:pPr>
        <w:snapToGrid w:val="0"/>
        <w:spacing w:line="640" w:lineRule="atLeast"/>
        <w:ind w:firstLine="560"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rPr>
        <w:t>我们保证所供应的</w:t>
      </w:r>
      <w:r>
        <w:rPr>
          <w:rFonts w:hint="eastAsia" w:ascii="仿宋_GB2312" w:hAnsi="仿宋_GB2312" w:eastAsia="仿宋_GB2312" w:cs="仿宋_GB2312"/>
          <w:color w:val="auto"/>
          <w:kern w:val="0"/>
          <w:sz w:val="28"/>
          <w:szCs w:val="28"/>
          <w:lang w:val="en-US" w:eastAsia="zh-CN"/>
        </w:rPr>
        <w:t>主体</w:t>
      </w:r>
      <w:r>
        <w:rPr>
          <w:rFonts w:hint="eastAsia" w:ascii="仿宋_GB2312" w:hAnsi="仿宋_GB2312" w:eastAsia="仿宋_GB2312" w:cs="仿宋_GB2312"/>
          <w:color w:val="auto"/>
          <w:kern w:val="0"/>
          <w:sz w:val="28"/>
          <w:szCs w:val="28"/>
        </w:rPr>
        <w:t>设备在规定的保质期内（</w:t>
      </w:r>
      <w:r>
        <w:rPr>
          <w:rFonts w:hint="eastAsia" w:ascii="仿宋_GB2312" w:hAnsi="仿宋_GB2312" w:eastAsia="仿宋_GB2312" w:cs="仿宋_GB2312"/>
          <w:color w:val="auto"/>
          <w:kern w:val="0"/>
          <w:sz w:val="28"/>
          <w:szCs w:val="28"/>
          <w:lang w:val="en-US" w:eastAsia="zh-CN"/>
        </w:rPr>
        <w:t>1</w:t>
      </w:r>
      <w:r>
        <w:rPr>
          <w:rFonts w:hint="eastAsia" w:ascii="仿宋_GB2312" w:hAnsi="仿宋_GB2312" w:eastAsia="仿宋_GB2312" w:cs="仿宋_GB2312"/>
          <w:color w:val="auto"/>
          <w:kern w:val="0"/>
          <w:sz w:val="28"/>
          <w:szCs w:val="28"/>
        </w:rPr>
        <w:t>年），如出现质量问题，我们将负责免费维修或更换。</w:t>
      </w:r>
    </w:p>
    <w:p w14:paraId="0A1A66C9">
      <w:pPr>
        <w:snapToGrid w:val="0"/>
        <w:spacing w:line="640" w:lineRule="atLeast"/>
        <w:ind w:firstLine="560"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3.</w:t>
      </w:r>
      <w:r>
        <w:rPr>
          <w:rFonts w:hint="eastAsia" w:ascii="仿宋_GB2312" w:hAnsi="仿宋_GB2312" w:eastAsia="仿宋_GB2312" w:cs="仿宋_GB2312"/>
          <w:color w:val="auto"/>
          <w:kern w:val="0"/>
          <w:sz w:val="28"/>
          <w:szCs w:val="28"/>
        </w:rPr>
        <w:t>我们将严格控制生产流程，确保产品质量，并提供及时、周到的售后服务。</w:t>
      </w:r>
    </w:p>
    <w:p w14:paraId="650200E1">
      <w:pPr>
        <w:snapToGrid w:val="0"/>
        <w:spacing w:line="640" w:lineRule="atLeast"/>
        <w:ind w:firstLine="560" w:firstLineChars="200"/>
        <w:jc w:val="left"/>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val="en-US" w:eastAsia="zh-CN"/>
        </w:rPr>
        <w:t>4.</w:t>
      </w:r>
      <w:r>
        <w:rPr>
          <w:rFonts w:hint="eastAsia" w:ascii="仿宋_GB2312" w:hAnsi="仿宋_GB2312" w:eastAsia="仿宋_GB2312" w:cs="仿宋_GB2312"/>
          <w:color w:val="auto"/>
          <w:kern w:val="0"/>
          <w:sz w:val="28"/>
          <w:szCs w:val="28"/>
        </w:rPr>
        <w:t>不偷工减料，不使用国家明令淘汰、禁止使用的危及</w:t>
      </w:r>
      <w:r>
        <w:rPr>
          <w:rFonts w:hint="eastAsia" w:ascii="仿宋_GB2312" w:hAnsi="仿宋_GB2312" w:eastAsia="仿宋_GB2312" w:cs="仿宋_GB2312"/>
          <w:color w:val="auto"/>
          <w:kern w:val="0"/>
          <w:sz w:val="28"/>
          <w:szCs w:val="28"/>
          <w:lang w:val="en-US" w:eastAsia="zh-CN"/>
        </w:rPr>
        <w:t>设备</w:t>
      </w:r>
      <w:r>
        <w:rPr>
          <w:rFonts w:hint="eastAsia" w:ascii="仿宋_GB2312" w:hAnsi="仿宋_GB2312" w:eastAsia="仿宋_GB2312" w:cs="仿宋_GB2312"/>
          <w:color w:val="auto"/>
          <w:kern w:val="0"/>
          <w:sz w:val="28"/>
          <w:szCs w:val="28"/>
        </w:rPr>
        <w:t>质量的工艺、设备和材料</w:t>
      </w:r>
      <w:r>
        <w:rPr>
          <w:rFonts w:hint="eastAsia" w:ascii="仿宋_GB2312" w:hAnsi="仿宋_GB2312" w:eastAsia="仿宋_GB2312" w:cs="仿宋_GB2312"/>
          <w:color w:val="auto"/>
          <w:kern w:val="0"/>
          <w:sz w:val="28"/>
          <w:szCs w:val="28"/>
          <w:lang w:eastAsia="zh-CN"/>
        </w:rPr>
        <w:t>。</w:t>
      </w:r>
    </w:p>
    <w:p w14:paraId="3419DED9">
      <w:pPr>
        <w:snapToGrid w:val="0"/>
        <w:spacing w:line="640" w:lineRule="atLeast"/>
        <w:ind w:firstLine="560"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5.</w:t>
      </w:r>
      <w:r>
        <w:rPr>
          <w:rFonts w:hint="eastAsia" w:ascii="仿宋_GB2312" w:hAnsi="仿宋_GB2312" w:eastAsia="仿宋_GB2312" w:cs="仿宋_GB2312"/>
          <w:color w:val="auto"/>
          <w:kern w:val="0"/>
          <w:sz w:val="28"/>
          <w:szCs w:val="28"/>
        </w:rPr>
        <w:t>如需进行设备验收，我们将配合购买方进行设备检验和验收，并在验收合格后签发验收证书。</w:t>
      </w:r>
    </w:p>
    <w:p w14:paraId="2E47DAF5">
      <w:pPr>
        <w:snapToGrid w:val="0"/>
        <w:spacing w:line="640" w:lineRule="atLeast"/>
        <w:ind w:firstLine="560" w:firstLineChars="200"/>
        <w:jc w:val="left"/>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6.配合指导施工单位对设备进行安装，并对升降式投光灯塔进行调试，组织人员对设备的操作使用进行培训。</w:t>
      </w:r>
    </w:p>
    <w:p w14:paraId="7AA00F3D">
      <w:pPr>
        <w:snapToGrid w:val="0"/>
        <w:spacing w:line="640" w:lineRule="atLeast"/>
        <w:ind w:firstLine="560"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7.</w:t>
      </w:r>
      <w:r>
        <w:rPr>
          <w:rFonts w:hint="eastAsia" w:ascii="仿宋_GB2312" w:hAnsi="仿宋_GB2312" w:eastAsia="仿宋_GB2312" w:cs="仿宋_GB2312"/>
          <w:color w:val="auto"/>
          <w:kern w:val="0"/>
          <w:sz w:val="28"/>
          <w:szCs w:val="28"/>
        </w:rPr>
        <w:t>如我们未能履行上述承诺，将承担相应的违约责任。</w:t>
      </w:r>
    </w:p>
    <w:p w14:paraId="43B29995">
      <w:pPr>
        <w:snapToGrid w:val="0"/>
        <w:spacing w:line="640" w:lineRule="atLeast"/>
        <w:ind w:firstLine="560"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本保证书自授权代表签字盖章之日起生效，有效期至设备质保期满后自动失效。本承诺书一式</w:t>
      </w:r>
      <w:r>
        <w:rPr>
          <w:rFonts w:hint="eastAsia" w:ascii="仿宋_GB2312" w:hAnsi="仿宋_GB2312" w:eastAsia="仿宋_GB2312" w:cs="仿宋_GB2312"/>
          <w:color w:val="auto"/>
          <w:kern w:val="0"/>
          <w:sz w:val="28"/>
          <w:szCs w:val="28"/>
          <w:lang w:val="en-US" w:eastAsia="zh-CN"/>
        </w:rPr>
        <w:t>两</w:t>
      </w:r>
      <w:r>
        <w:rPr>
          <w:rFonts w:hint="eastAsia" w:ascii="仿宋_GB2312" w:hAnsi="仿宋_GB2312" w:eastAsia="仿宋_GB2312" w:cs="仿宋_GB2312"/>
          <w:color w:val="auto"/>
          <w:kern w:val="0"/>
          <w:sz w:val="28"/>
          <w:szCs w:val="28"/>
        </w:rPr>
        <w:t>份，一份交</w:t>
      </w:r>
      <w:r>
        <w:rPr>
          <w:rFonts w:hint="eastAsia" w:ascii="仿宋_GB2312" w:hAnsi="仿宋_GB2312" w:eastAsia="仿宋_GB2312" w:cs="仿宋_GB2312"/>
          <w:color w:val="auto"/>
          <w:kern w:val="0"/>
          <w:sz w:val="28"/>
          <w:szCs w:val="28"/>
          <w:lang w:val="en-US" w:eastAsia="zh-CN"/>
        </w:rPr>
        <w:t>设备购买方</w:t>
      </w:r>
      <w:r>
        <w:rPr>
          <w:rFonts w:hint="eastAsia" w:ascii="仿宋_GB2312" w:hAnsi="仿宋_GB2312" w:eastAsia="仿宋_GB2312" w:cs="仿宋_GB2312"/>
          <w:color w:val="auto"/>
          <w:kern w:val="0"/>
          <w:sz w:val="28"/>
          <w:szCs w:val="28"/>
        </w:rPr>
        <w:t>，一份</w:t>
      </w:r>
      <w:r>
        <w:rPr>
          <w:rFonts w:hint="eastAsia" w:ascii="仿宋_GB2312" w:hAnsi="仿宋_GB2312" w:eastAsia="仿宋_GB2312" w:cs="仿宋_GB2312"/>
          <w:color w:val="auto"/>
          <w:kern w:val="0"/>
          <w:sz w:val="28"/>
          <w:szCs w:val="28"/>
          <w:lang w:val="en-US" w:eastAsia="zh-CN"/>
        </w:rPr>
        <w:t>设备供应方</w:t>
      </w:r>
      <w:r>
        <w:rPr>
          <w:rFonts w:hint="eastAsia" w:ascii="仿宋_GB2312" w:hAnsi="仿宋_GB2312" w:eastAsia="仿宋_GB2312" w:cs="仿宋_GB2312"/>
          <w:color w:val="auto"/>
          <w:kern w:val="0"/>
          <w:sz w:val="28"/>
          <w:szCs w:val="28"/>
        </w:rPr>
        <w:t>留存。</w:t>
      </w:r>
    </w:p>
    <w:p w14:paraId="36DEE5A8">
      <w:pPr>
        <w:spacing w:line="360" w:lineRule="atLeast"/>
        <w:ind w:firstLine="3119"/>
        <w:jc w:val="center"/>
        <w:rPr>
          <w:rFonts w:hint="eastAsia" w:ascii="仿宋_GB2312" w:hAnsi="仿宋_GB2312" w:eastAsia="仿宋_GB2312" w:cs="仿宋_GB2312"/>
          <w:color w:val="auto"/>
          <w:kern w:val="0"/>
          <w:sz w:val="28"/>
          <w:szCs w:val="28"/>
          <w:lang w:val="en-US" w:eastAsia="zh-CN"/>
        </w:rPr>
      </w:pPr>
    </w:p>
    <w:p w14:paraId="63CA1FD2">
      <w:pPr>
        <w:spacing w:line="360" w:lineRule="atLeast"/>
        <w:jc w:val="both"/>
        <w:rPr>
          <w:rFonts w:hint="eastAsia" w:ascii="仿宋_GB2312" w:hAnsi="仿宋_GB2312" w:eastAsia="仿宋_GB2312" w:cs="仿宋_GB2312"/>
          <w:color w:val="auto"/>
          <w:kern w:val="0"/>
          <w:sz w:val="28"/>
          <w:szCs w:val="28"/>
          <w:lang w:val="en-US" w:eastAsia="zh-CN"/>
        </w:rPr>
      </w:pPr>
    </w:p>
    <w:p w14:paraId="6874EB35">
      <w:pPr>
        <w:spacing w:line="360" w:lineRule="atLeast"/>
        <w:jc w:val="both"/>
        <w:rPr>
          <w:rFonts w:hint="eastAsia" w:ascii="仿宋_GB2312" w:hAnsi="仿宋_GB2312" w:eastAsia="仿宋_GB2312" w:cs="仿宋_GB2312"/>
          <w:color w:val="auto"/>
          <w:kern w:val="0"/>
          <w:sz w:val="28"/>
          <w:szCs w:val="28"/>
          <w:lang w:val="en-US" w:eastAsia="zh-CN"/>
        </w:rPr>
      </w:pPr>
    </w:p>
    <w:p w14:paraId="3E163CB3">
      <w:pPr>
        <w:spacing w:line="360" w:lineRule="atLeast"/>
        <w:ind w:firstLine="1680" w:firstLineChars="600"/>
        <w:jc w:val="both"/>
        <w:rPr>
          <w:rFonts w:hint="eastAsia" w:ascii="仿宋_GB2312" w:hAnsi="仿宋_GB2312" w:eastAsia="仿宋_GB2312" w:cs="仿宋_GB2312"/>
          <w:color w:val="auto"/>
          <w:kern w:val="0"/>
          <w:sz w:val="28"/>
          <w:szCs w:val="28"/>
          <w:u w:val="single"/>
          <w:lang w:val="en-US" w:eastAsia="zh-CN"/>
        </w:rPr>
      </w:pPr>
      <w:r>
        <w:rPr>
          <w:rFonts w:hint="eastAsia" w:ascii="仿宋_GB2312" w:hAnsi="仿宋_GB2312" w:eastAsia="仿宋_GB2312" w:cs="仿宋_GB2312"/>
          <w:color w:val="auto"/>
          <w:kern w:val="0"/>
          <w:sz w:val="28"/>
          <w:szCs w:val="28"/>
          <w:lang w:val="en-US" w:eastAsia="zh-CN"/>
        </w:rPr>
        <w:t>设备供应单位授权代表签字：</w:t>
      </w:r>
      <w:r>
        <w:rPr>
          <w:rFonts w:hint="eastAsia" w:ascii="仿宋_GB2312" w:hAnsi="仿宋_GB2312" w:eastAsia="仿宋_GB2312" w:cs="仿宋_GB2312"/>
          <w:color w:val="auto"/>
          <w:kern w:val="0"/>
          <w:sz w:val="28"/>
          <w:szCs w:val="28"/>
          <w:u w:val="single"/>
          <w:lang w:val="en-US" w:eastAsia="zh-CN"/>
        </w:rPr>
        <w:t xml:space="preserve">         </w:t>
      </w:r>
    </w:p>
    <w:p w14:paraId="7F0C245A">
      <w:pPr>
        <w:spacing w:line="360" w:lineRule="atLeast"/>
        <w:ind w:firstLine="3119"/>
        <w:jc w:val="both"/>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设备供应单位（公章）：</w:t>
      </w:r>
    </w:p>
    <w:p w14:paraId="2148610E">
      <w:pPr>
        <w:spacing w:line="360" w:lineRule="atLeast"/>
        <w:ind w:firstLine="3360" w:firstLineChars="1200"/>
        <w:jc w:val="both"/>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年   月   日</w:t>
      </w:r>
    </w:p>
    <w:p w14:paraId="2279AF90">
      <w:pPr>
        <w:pStyle w:val="22"/>
        <w:ind w:left="0" w:leftChars="0" w:firstLine="0" w:firstLineChars="0"/>
        <w:rPr>
          <w:rFonts w:hint="eastAsia" w:ascii="仿宋_GB2312" w:hAnsi="仿宋_GB2312" w:eastAsia="仿宋_GB2312" w:cs="仿宋_GB2312"/>
          <w:b w:val="0"/>
          <w:bCs w:val="0"/>
          <w:color w:val="auto"/>
          <w:sz w:val="28"/>
          <w:szCs w:val="28"/>
          <w:lang w:val="en-US" w:eastAsia="zh-CN"/>
        </w:rPr>
      </w:pPr>
    </w:p>
    <w:p w14:paraId="1330F3FD">
      <w:pPr>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br w:type="page"/>
      </w:r>
    </w:p>
    <w:p w14:paraId="00A07820">
      <w:pPr>
        <w:pStyle w:val="22"/>
        <w:ind w:left="0" w:leftChars="0" w:firstLine="0" w:firstLineChars="0"/>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附件2：</w:t>
      </w:r>
    </w:p>
    <w:p w14:paraId="361A0A90">
      <w:pPr>
        <w:jc w:val="center"/>
        <w:rPr>
          <w:rFonts w:hint="eastAsia" w:ascii="仿宋_GB2312" w:hAnsi="仿宋_GB2312" w:eastAsia="仿宋_GB2312" w:cs="仿宋_GB2312"/>
          <w:b w:val="0"/>
          <w:bCs w:val="0"/>
          <w:color w:val="auto"/>
          <w:sz w:val="44"/>
          <w:szCs w:val="44"/>
        </w:rPr>
      </w:pPr>
      <w:r>
        <w:rPr>
          <w:rFonts w:hint="eastAsia" w:ascii="仿宋_GB2312" w:hAnsi="仿宋_GB2312" w:eastAsia="仿宋_GB2312" w:cs="仿宋_GB2312"/>
          <w:b w:val="0"/>
          <w:bCs w:val="0"/>
          <w:color w:val="auto"/>
          <w:kern w:val="0"/>
          <w:sz w:val="44"/>
          <w:highlight w:val="none"/>
          <w:lang w:val="en-US" w:eastAsia="zh-CN"/>
        </w:rPr>
        <w:t>设备供货</w:t>
      </w:r>
      <w:r>
        <w:rPr>
          <w:rFonts w:hint="eastAsia" w:ascii="仿宋_GB2312" w:hAnsi="仿宋_GB2312" w:eastAsia="仿宋_GB2312" w:cs="仿宋_GB2312"/>
          <w:b w:val="0"/>
          <w:bCs w:val="0"/>
          <w:color w:val="auto"/>
          <w:sz w:val="44"/>
          <w:szCs w:val="44"/>
          <w:lang w:val="en-US" w:eastAsia="zh-CN"/>
        </w:rPr>
        <w:t>工期</w:t>
      </w:r>
      <w:r>
        <w:rPr>
          <w:rFonts w:hint="eastAsia" w:ascii="仿宋_GB2312" w:hAnsi="仿宋_GB2312" w:eastAsia="仿宋_GB2312" w:cs="仿宋_GB2312"/>
          <w:b w:val="0"/>
          <w:bCs w:val="0"/>
          <w:color w:val="auto"/>
          <w:sz w:val="44"/>
          <w:szCs w:val="44"/>
        </w:rPr>
        <w:t>保证书</w:t>
      </w:r>
    </w:p>
    <w:p w14:paraId="2D1B2A7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p>
    <w:p w14:paraId="2506754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本文是一份设备供货工期保证书，旨在明确供应商在交付产品或货物时的责任和保证。本保证书的目的是确保供应商按时、按质地交付所</w:t>
      </w:r>
      <w:r>
        <w:rPr>
          <w:rFonts w:hint="eastAsia" w:ascii="仿宋_GB2312" w:hAnsi="仿宋_GB2312" w:eastAsia="仿宋_GB2312" w:cs="仿宋_GB2312"/>
          <w:color w:val="auto"/>
          <w:sz w:val="28"/>
          <w:szCs w:val="28"/>
          <w:lang w:val="en-US" w:eastAsia="zh-CN"/>
        </w:rPr>
        <w:t>采</w:t>
      </w:r>
      <w:r>
        <w:rPr>
          <w:rFonts w:hint="eastAsia" w:ascii="仿宋_GB2312" w:hAnsi="仿宋_GB2312" w:eastAsia="仿宋_GB2312" w:cs="仿宋_GB2312"/>
          <w:color w:val="auto"/>
          <w:sz w:val="28"/>
          <w:szCs w:val="28"/>
        </w:rPr>
        <w:t>购的产品，并保证产品达到相应的质量标准。本文将详细说明供应商的义务和责任，以便双方能够明确各自的权益和责任。</w:t>
      </w:r>
    </w:p>
    <w:p w14:paraId="71626A1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.到货保证</w:t>
      </w:r>
    </w:p>
    <w:p w14:paraId="06D75C5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供应商保证按照本合同约定的时间和地点将产品交付给客户。如果因供应商原因导致交货延误，供应商将负责承担由此产生的任何相关费用和损失</w:t>
      </w:r>
      <w:r>
        <w:rPr>
          <w:rFonts w:hint="eastAsia" w:ascii="仿宋_GB2312" w:hAnsi="仿宋_GB2312" w:eastAsia="仿宋_GB2312" w:cs="仿宋_GB2312"/>
          <w:color w:val="auto"/>
          <w:sz w:val="28"/>
          <w:szCs w:val="28"/>
          <w:lang w:eastAsia="zh-CN"/>
        </w:rPr>
        <w:t>。</w:t>
      </w:r>
    </w:p>
    <w:p w14:paraId="4F60427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供应商保证所提供的产品符合国家和地区相关的规定和标准，且没有任何质量问题。如果产品在交付后的</w:t>
      </w:r>
      <w:r>
        <w:rPr>
          <w:rFonts w:hint="eastAsia" w:ascii="仿宋_GB2312" w:hAnsi="仿宋_GB2312" w:eastAsia="仿宋_GB2312" w:cs="仿宋_GB2312"/>
          <w:color w:val="auto"/>
          <w:sz w:val="28"/>
          <w:szCs w:val="28"/>
          <w:highlight w:val="none"/>
          <w:lang w:val="en-US" w:eastAsia="zh-CN"/>
        </w:rPr>
        <w:t>30天内</w:t>
      </w:r>
      <w:r>
        <w:rPr>
          <w:rFonts w:hint="eastAsia" w:ascii="仿宋_GB2312" w:hAnsi="仿宋_GB2312" w:eastAsia="仿宋_GB2312" w:cs="仿宋_GB2312"/>
          <w:color w:val="auto"/>
          <w:sz w:val="28"/>
          <w:szCs w:val="28"/>
          <w:highlight w:val="none"/>
        </w:rPr>
        <w:t>发现</w:t>
      </w:r>
      <w:r>
        <w:rPr>
          <w:rFonts w:hint="eastAsia" w:ascii="仿宋_GB2312" w:hAnsi="仿宋_GB2312" w:eastAsia="仿宋_GB2312" w:cs="仿宋_GB2312"/>
          <w:color w:val="auto"/>
          <w:sz w:val="28"/>
          <w:szCs w:val="28"/>
          <w:highlight w:val="none"/>
          <w:lang w:val="en-US" w:eastAsia="zh-CN"/>
        </w:rPr>
        <w:t>严重</w:t>
      </w:r>
      <w:r>
        <w:rPr>
          <w:rFonts w:hint="eastAsia" w:ascii="仿宋_GB2312" w:hAnsi="仿宋_GB2312" w:eastAsia="仿宋_GB2312" w:cs="仿宋_GB2312"/>
          <w:color w:val="auto"/>
          <w:sz w:val="28"/>
          <w:szCs w:val="28"/>
          <w:highlight w:val="none"/>
        </w:rPr>
        <w:t>质量问题，供应商将承担退货和退款的责任，并在合理的时间内重</w:t>
      </w:r>
      <w:r>
        <w:rPr>
          <w:rFonts w:hint="eastAsia" w:ascii="仿宋_GB2312" w:hAnsi="仿宋_GB2312" w:eastAsia="仿宋_GB2312" w:cs="仿宋_GB2312"/>
          <w:color w:val="auto"/>
          <w:sz w:val="28"/>
          <w:szCs w:val="28"/>
        </w:rPr>
        <w:t>新提供符合标准的产品。</w:t>
      </w:r>
    </w:p>
    <w:p w14:paraId="5908BC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供应商保证在产品交付前充分测试和检查产品，确保产品的功能和性能符合客户的要求和期望</w:t>
      </w:r>
      <w:r>
        <w:rPr>
          <w:rFonts w:hint="eastAsia" w:ascii="仿宋_GB2312" w:hAnsi="仿宋_GB2312" w:eastAsia="仿宋_GB2312" w:cs="仿宋_GB2312"/>
          <w:color w:val="auto"/>
          <w:sz w:val="28"/>
          <w:szCs w:val="28"/>
          <w:lang w:eastAsia="zh-CN"/>
        </w:rPr>
        <w:t>。</w:t>
      </w:r>
    </w:p>
    <w:p w14:paraId="5AC7880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供应商保证在产品交付</w:t>
      </w:r>
      <w:r>
        <w:rPr>
          <w:rFonts w:hint="eastAsia" w:ascii="仿宋_GB2312" w:hAnsi="仿宋_GB2312" w:eastAsia="仿宋_GB2312" w:cs="仿宋_GB2312"/>
          <w:color w:val="auto"/>
          <w:sz w:val="28"/>
          <w:szCs w:val="28"/>
          <w:lang w:eastAsia="zh-CN"/>
        </w:rPr>
        <w:t>期间</w:t>
      </w:r>
      <w:r>
        <w:rPr>
          <w:rFonts w:hint="eastAsia" w:ascii="仿宋_GB2312" w:hAnsi="仿宋_GB2312" w:eastAsia="仿宋_GB2312" w:cs="仿宋_GB2312"/>
          <w:color w:val="auto"/>
          <w:sz w:val="28"/>
          <w:szCs w:val="28"/>
        </w:rPr>
        <w:t>妥善包装产品，以确保产品在运输过程中不受损。如果因包装不当导致产品损坏，供应商将负责替换或修复损坏的产品。</w:t>
      </w:r>
    </w:p>
    <w:p w14:paraId="7E94E6B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.双方责任</w:t>
      </w:r>
    </w:p>
    <w:p w14:paraId="14EADBB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客户有责任在接收产品时进行充分的检查和测试，以确保产品的完整性和质量。如果客户在接收产品后发现任何质量问题，应立即通知供应商。如果客户在合理时间内未通知供应商，将视为客户已接受产品完好无损。</w:t>
      </w:r>
    </w:p>
    <w:p w14:paraId="0308B19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客户有责任提供准确完整的产品规格和要求，以便供应商能够满足客户的需求。如果客户提供的产品规格和要求不准确或不完整，供应商将不承担任何责任。</w:t>
      </w:r>
    </w:p>
    <w:p w14:paraId="6EA7305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双方应保持及时的沟通和信息交流，以确保交货</w:t>
      </w:r>
      <w:r>
        <w:rPr>
          <w:rFonts w:hint="eastAsia" w:ascii="仿宋_GB2312" w:hAnsi="仿宋_GB2312" w:eastAsia="仿宋_GB2312" w:cs="仿宋_GB2312"/>
          <w:color w:val="auto"/>
          <w:sz w:val="28"/>
          <w:szCs w:val="28"/>
          <w:lang w:eastAsia="zh-CN"/>
        </w:rPr>
        <w:t>时间</w:t>
      </w:r>
      <w:r>
        <w:rPr>
          <w:rFonts w:hint="eastAsia" w:ascii="仿宋_GB2312" w:hAnsi="仿宋_GB2312" w:eastAsia="仿宋_GB2312" w:cs="仿宋_GB2312"/>
          <w:color w:val="auto"/>
          <w:sz w:val="28"/>
          <w:szCs w:val="28"/>
        </w:rPr>
        <w:t>、产品规格和质量等相关事项得到及时确认和解决。</w:t>
      </w:r>
    </w:p>
    <w:p w14:paraId="114A5BE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免责条款</w:t>
      </w:r>
    </w:p>
    <w:p w14:paraId="24DA03F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如果交货延误或产品质量问题是</w:t>
      </w:r>
      <w:r>
        <w:rPr>
          <w:rFonts w:hint="eastAsia" w:ascii="仿宋_GB2312" w:hAnsi="仿宋_GB2312" w:eastAsia="仿宋_GB2312" w:cs="仿宋_GB2312"/>
          <w:color w:val="auto"/>
          <w:sz w:val="28"/>
          <w:szCs w:val="28"/>
          <w:lang w:val="en-US" w:eastAsia="zh-CN"/>
        </w:rPr>
        <w:t>由</w:t>
      </w:r>
      <w:r>
        <w:rPr>
          <w:rFonts w:hint="eastAsia" w:ascii="仿宋_GB2312" w:hAnsi="仿宋_GB2312" w:eastAsia="仿宋_GB2312" w:cs="仿宋_GB2312"/>
          <w:color w:val="auto"/>
          <w:sz w:val="28"/>
          <w:szCs w:val="28"/>
        </w:rPr>
        <w:t>不可抗力因素引起的，包括但不限于</w:t>
      </w:r>
      <w:r>
        <w:rPr>
          <w:rFonts w:hint="eastAsia" w:ascii="仿宋_GB2312" w:hAnsi="仿宋_GB2312" w:eastAsia="仿宋_GB2312" w:cs="仿宋_GB2312"/>
          <w:color w:val="auto"/>
          <w:sz w:val="28"/>
          <w:szCs w:val="28"/>
          <w:lang w:val="en-US" w:eastAsia="zh-CN"/>
        </w:rPr>
        <w:t>自</w:t>
      </w:r>
      <w:r>
        <w:rPr>
          <w:rFonts w:hint="eastAsia" w:ascii="仿宋_GB2312" w:hAnsi="仿宋_GB2312" w:eastAsia="仿宋_GB2312" w:cs="仿宋_GB2312"/>
          <w:color w:val="auto"/>
          <w:sz w:val="28"/>
          <w:szCs w:val="28"/>
        </w:rPr>
        <w:t>然灾害、战争等，供应商将不承担任何责任</w:t>
      </w:r>
      <w:r>
        <w:rPr>
          <w:rFonts w:hint="eastAsia" w:ascii="仿宋_GB2312" w:hAnsi="仿宋_GB2312" w:eastAsia="仿宋_GB2312" w:cs="仿宋_GB2312"/>
          <w:color w:val="auto"/>
          <w:sz w:val="28"/>
          <w:szCs w:val="28"/>
          <w:lang w:eastAsia="zh-CN"/>
        </w:rPr>
        <w:t>。</w:t>
      </w:r>
    </w:p>
    <w:p w14:paraId="22DEF10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供应商对</w:t>
      </w:r>
      <w:r>
        <w:rPr>
          <w:rFonts w:hint="eastAsia" w:ascii="仿宋_GB2312" w:hAnsi="仿宋_GB2312" w:eastAsia="仿宋_GB2312" w:cs="仿宋_GB2312"/>
          <w:color w:val="auto"/>
          <w:sz w:val="28"/>
          <w:szCs w:val="28"/>
          <w:lang w:val="en-US" w:eastAsia="zh-CN"/>
        </w:rPr>
        <w:t>于</w:t>
      </w:r>
      <w:r>
        <w:rPr>
          <w:rFonts w:hint="eastAsia" w:ascii="仿宋_GB2312" w:hAnsi="仿宋_GB2312" w:eastAsia="仿宋_GB2312" w:cs="仿宋_GB2312"/>
          <w:color w:val="auto"/>
          <w:sz w:val="28"/>
          <w:szCs w:val="28"/>
        </w:rPr>
        <w:t>在产品交付后由于客户的错误使用、维护或保管不当而导致的任何问题不承担责任。</w:t>
      </w:r>
    </w:p>
    <w:p w14:paraId="669BFCE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供应商不对因产品使用不当或</w:t>
      </w:r>
      <w:r>
        <w:rPr>
          <w:rFonts w:hint="eastAsia" w:ascii="仿宋_GB2312" w:hAnsi="仿宋_GB2312" w:eastAsia="仿宋_GB2312" w:cs="仿宋_GB2312"/>
          <w:color w:val="auto"/>
          <w:sz w:val="28"/>
          <w:szCs w:val="28"/>
          <w:lang w:val="en-US" w:eastAsia="zh-CN"/>
        </w:rPr>
        <w:t>未</w:t>
      </w:r>
      <w:r>
        <w:rPr>
          <w:rFonts w:hint="eastAsia" w:ascii="仿宋_GB2312" w:hAnsi="仿宋_GB2312" w:eastAsia="仿宋_GB2312" w:cs="仿宋_GB2312"/>
          <w:color w:val="auto"/>
          <w:sz w:val="28"/>
          <w:szCs w:val="28"/>
        </w:rPr>
        <w:t>按照产品说明书操作而导致的任何损失承担责任。</w:t>
      </w:r>
    </w:p>
    <w:p w14:paraId="68DD351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.争议解决</w:t>
      </w:r>
    </w:p>
    <w:p w14:paraId="50CC7BA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双方在履行本保证书过程中发生的</w:t>
      </w:r>
      <w:r>
        <w:rPr>
          <w:rFonts w:hint="eastAsia" w:ascii="仿宋_GB2312" w:hAnsi="仿宋_GB2312" w:eastAsia="仿宋_GB2312" w:cs="仿宋_GB2312"/>
          <w:color w:val="auto"/>
          <w:sz w:val="28"/>
          <w:szCs w:val="28"/>
          <w:lang w:val="en-US" w:eastAsia="zh-CN"/>
        </w:rPr>
        <w:t>任</w:t>
      </w:r>
      <w:r>
        <w:rPr>
          <w:rFonts w:hint="eastAsia" w:ascii="仿宋_GB2312" w:hAnsi="仿宋_GB2312" w:eastAsia="仿宋_GB2312" w:cs="仿宋_GB2312"/>
          <w:color w:val="auto"/>
          <w:sz w:val="28"/>
          <w:szCs w:val="28"/>
        </w:rPr>
        <w:t>何争议应通过友好协商解决如果协商解决不成，双方同意将争议提交至相关法院进行处理。</w:t>
      </w:r>
    </w:p>
    <w:p w14:paraId="69F0590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.生效与终止</w:t>
      </w:r>
    </w:p>
    <w:p w14:paraId="6A652022">
      <w:pPr>
        <w:snapToGrid w:val="0"/>
        <w:spacing w:line="640" w:lineRule="atLeast"/>
        <w:ind w:firstLine="560"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sz w:val="28"/>
          <w:szCs w:val="28"/>
        </w:rPr>
        <w:t>本到货保证书自</w:t>
      </w:r>
      <w:r>
        <w:rPr>
          <w:rFonts w:hint="eastAsia" w:ascii="仿宋_GB2312" w:hAnsi="仿宋_GB2312" w:eastAsia="仿宋_GB2312" w:cs="仿宋_GB2312"/>
          <w:color w:val="auto"/>
          <w:kern w:val="0"/>
          <w:sz w:val="28"/>
          <w:szCs w:val="28"/>
        </w:rPr>
        <w:t>授权代表</w:t>
      </w:r>
      <w:r>
        <w:rPr>
          <w:rFonts w:hint="eastAsia" w:ascii="仿宋_GB2312" w:hAnsi="仿宋_GB2312" w:eastAsia="仿宋_GB2312" w:cs="仿宋_GB2312"/>
          <w:color w:val="auto"/>
          <w:sz w:val="28"/>
          <w:szCs w:val="28"/>
        </w:rPr>
        <w:t>签字生效，并在履行完毕后自动终止。</w:t>
      </w:r>
      <w:r>
        <w:rPr>
          <w:rFonts w:hint="eastAsia" w:ascii="仿宋_GB2312" w:hAnsi="仿宋_GB2312" w:eastAsia="仿宋_GB2312" w:cs="仿宋_GB2312"/>
          <w:color w:val="auto"/>
          <w:kern w:val="0"/>
          <w:sz w:val="28"/>
          <w:szCs w:val="28"/>
        </w:rPr>
        <w:t>本承诺书一式</w:t>
      </w:r>
      <w:r>
        <w:rPr>
          <w:rFonts w:hint="eastAsia" w:ascii="仿宋_GB2312" w:hAnsi="仿宋_GB2312" w:eastAsia="仿宋_GB2312" w:cs="仿宋_GB2312"/>
          <w:color w:val="auto"/>
          <w:kern w:val="0"/>
          <w:sz w:val="28"/>
          <w:szCs w:val="28"/>
          <w:lang w:val="en-US" w:eastAsia="zh-CN"/>
        </w:rPr>
        <w:t>两</w:t>
      </w:r>
      <w:r>
        <w:rPr>
          <w:rFonts w:hint="eastAsia" w:ascii="仿宋_GB2312" w:hAnsi="仿宋_GB2312" w:eastAsia="仿宋_GB2312" w:cs="仿宋_GB2312"/>
          <w:color w:val="auto"/>
          <w:kern w:val="0"/>
          <w:sz w:val="28"/>
          <w:szCs w:val="28"/>
        </w:rPr>
        <w:t>份，一份交</w:t>
      </w:r>
      <w:r>
        <w:rPr>
          <w:rFonts w:hint="eastAsia" w:ascii="仿宋_GB2312" w:hAnsi="仿宋_GB2312" w:eastAsia="仿宋_GB2312" w:cs="仿宋_GB2312"/>
          <w:color w:val="auto"/>
          <w:kern w:val="0"/>
          <w:sz w:val="28"/>
          <w:szCs w:val="28"/>
          <w:lang w:val="en-US" w:eastAsia="zh-CN"/>
        </w:rPr>
        <w:t>设备购买方</w:t>
      </w:r>
      <w:r>
        <w:rPr>
          <w:rFonts w:hint="eastAsia" w:ascii="仿宋_GB2312" w:hAnsi="仿宋_GB2312" w:eastAsia="仿宋_GB2312" w:cs="仿宋_GB2312"/>
          <w:color w:val="auto"/>
          <w:kern w:val="0"/>
          <w:sz w:val="28"/>
          <w:szCs w:val="28"/>
        </w:rPr>
        <w:t>，一份</w:t>
      </w:r>
      <w:r>
        <w:rPr>
          <w:rFonts w:hint="eastAsia" w:ascii="仿宋_GB2312" w:hAnsi="仿宋_GB2312" w:eastAsia="仿宋_GB2312" w:cs="仿宋_GB2312"/>
          <w:color w:val="auto"/>
          <w:kern w:val="0"/>
          <w:sz w:val="28"/>
          <w:szCs w:val="28"/>
          <w:lang w:val="en-US" w:eastAsia="zh-CN"/>
        </w:rPr>
        <w:t>设备供应方</w:t>
      </w:r>
      <w:r>
        <w:rPr>
          <w:rFonts w:hint="eastAsia" w:ascii="仿宋_GB2312" w:hAnsi="仿宋_GB2312" w:eastAsia="仿宋_GB2312" w:cs="仿宋_GB2312"/>
          <w:color w:val="auto"/>
          <w:kern w:val="0"/>
          <w:sz w:val="28"/>
          <w:szCs w:val="28"/>
        </w:rPr>
        <w:t>留存。</w:t>
      </w:r>
    </w:p>
    <w:p w14:paraId="38563D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p>
    <w:p w14:paraId="498327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p>
    <w:p w14:paraId="071134F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p>
    <w:p w14:paraId="71D8E3C5">
      <w:pPr>
        <w:spacing w:line="360" w:lineRule="atLeast"/>
        <w:ind w:firstLine="1680" w:firstLineChars="600"/>
        <w:jc w:val="both"/>
        <w:rPr>
          <w:rFonts w:hint="eastAsia" w:ascii="仿宋_GB2312" w:hAnsi="仿宋_GB2312" w:eastAsia="仿宋_GB2312" w:cs="仿宋_GB2312"/>
          <w:color w:val="auto"/>
          <w:kern w:val="0"/>
          <w:sz w:val="28"/>
          <w:szCs w:val="28"/>
          <w:u w:val="single"/>
          <w:lang w:val="en-US" w:eastAsia="zh-CN"/>
        </w:rPr>
      </w:pPr>
      <w:r>
        <w:rPr>
          <w:rFonts w:hint="eastAsia" w:ascii="仿宋_GB2312" w:hAnsi="仿宋_GB2312" w:eastAsia="仿宋_GB2312" w:cs="仿宋_GB2312"/>
          <w:color w:val="auto"/>
          <w:kern w:val="0"/>
          <w:sz w:val="28"/>
          <w:szCs w:val="28"/>
          <w:lang w:val="en-US" w:eastAsia="zh-CN"/>
        </w:rPr>
        <w:t>设备供应单位授权代表签字：</w:t>
      </w:r>
      <w:r>
        <w:rPr>
          <w:rFonts w:hint="eastAsia" w:ascii="仿宋_GB2312" w:hAnsi="仿宋_GB2312" w:eastAsia="仿宋_GB2312" w:cs="仿宋_GB2312"/>
          <w:color w:val="auto"/>
          <w:kern w:val="0"/>
          <w:sz w:val="28"/>
          <w:szCs w:val="28"/>
          <w:u w:val="single"/>
          <w:lang w:val="en-US" w:eastAsia="zh-CN"/>
        </w:rPr>
        <w:t xml:space="preserve">         </w:t>
      </w:r>
    </w:p>
    <w:p w14:paraId="604E3E4F">
      <w:pPr>
        <w:spacing w:line="360" w:lineRule="atLeast"/>
        <w:ind w:firstLine="3119"/>
        <w:jc w:val="both"/>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设备供应单位（公章）：</w:t>
      </w:r>
    </w:p>
    <w:p w14:paraId="6A78F1B5">
      <w:pPr>
        <w:spacing w:line="360" w:lineRule="atLeast"/>
        <w:ind w:firstLine="3360" w:firstLineChars="1200"/>
        <w:jc w:val="both"/>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年   月   日</w:t>
      </w:r>
    </w:p>
    <w:p w14:paraId="012271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p>
    <w:p w14:paraId="3FFE46A1">
      <w:pPr>
        <w:pStyle w:val="22"/>
        <w:ind w:left="0" w:leftChars="0" w:firstLine="0" w:firstLineChars="0"/>
        <w:rPr>
          <w:rFonts w:hint="eastAsia" w:ascii="仿宋_GB2312" w:hAnsi="仿宋_GB2312" w:eastAsia="仿宋_GB2312" w:cs="仿宋_GB2312"/>
          <w:b w:val="0"/>
          <w:bCs w:val="0"/>
          <w:color w:val="auto"/>
          <w:sz w:val="28"/>
          <w:szCs w:val="28"/>
          <w:lang w:val="en-US" w:eastAsia="zh-CN"/>
        </w:rPr>
      </w:pPr>
    </w:p>
    <w:sectPr>
      <w:footerReference r:id="rId3" w:type="default"/>
      <w:pgSz w:w="11906" w:h="16838"/>
      <w:pgMar w:top="1644" w:right="1531" w:bottom="1644" w:left="1531"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EU-F1">
    <w:altName w:val="宋体"/>
    <w:panose1 w:val="03000509000000000000"/>
    <w:charset w:val="86"/>
    <w:family w:val="script"/>
    <w:pitch w:val="default"/>
    <w:sig w:usb0="00000000" w:usb1="00000000" w:usb2="00000010" w:usb3="00000000" w:csb0="00040000"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4585C">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6C67A">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AA6C67A">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503855"/>
    <w:multiLevelType w:val="singleLevel"/>
    <w:tmpl w:val="EE503855"/>
    <w:lvl w:ilvl="0" w:tentative="0">
      <w:start w:val="1"/>
      <w:numFmt w:val="decimal"/>
      <w:lvlText w:val="%1."/>
      <w:lvlJc w:val="left"/>
      <w:pPr>
        <w:tabs>
          <w:tab w:val="left" w:pos="312"/>
        </w:tabs>
        <w:ind w:left="15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zNTRjMmNhMWNiNWQ3Nzg4NmZjNzI3ZjFhMWUxNGQifQ=="/>
  </w:docVars>
  <w:rsids>
    <w:rsidRoot w:val="4C357D36"/>
    <w:rsid w:val="00502E9D"/>
    <w:rsid w:val="00C5099C"/>
    <w:rsid w:val="00E63732"/>
    <w:rsid w:val="00F27441"/>
    <w:rsid w:val="014F63CB"/>
    <w:rsid w:val="01A2542A"/>
    <w:rsid w:val="02B01361"/>
    <w:rsid w:val="0305345B"/>
    <w:rsid w:val="033124A2"/>
    <w:rsid w:val="03C649CD"/>
    <w:rsid w:val="04245E05"/>
    <w:rsid w:val="05A056BD"/>
    <w:rsid w:val="05E55AAD"/>
    <w:rsid w:val="06500E91"/>
    <w:rsid w:val="06843399"/>
    <w:rsid w:val="08B64EAB"/>
    <w:rsid w:val="09630EDC"/>
    <w:rsid w:val="0A382368"/>
    <w:rsid w:val="0A6501FF"/>
    <w:rsid w:val="0A9D666F"/>
    <w:rsid w:val="0BA42B0A"/>
    <w:rsid w:val="0C25691C"/>
    <w:rsid w:val="0C732660"/>
    <w:rsid w:val="0CFA6C41"/>
    <w:rsid w:val="0D1B4D5F"/>
    <w:rsid w:val="0D414B68"/>
    <w:rsid w:val="0DC05E25"/>
    <w:rsid w:val="0EC91761"/>
    <w:rsid w:val="0F0E2779"/>
    <w:rsid w:val="0FD7617F"/>
    <w:rsid w:val="10563548"/>
    <w:rsid w:val="114B3EDE"/>
    <w:rsid w:val="11A304E8"/>
    <w:rsid w:val="11C800FC"/>
    <w:rsid w:val="12F20275"/>
    <w:rsid w:val="12F427F7"/>
    <w:rsid w:val="156F29B6"/>
    <w:rsid w:val="15A5287C"/>
    <w:rsid w:val="16E23647"/>
    <w:rsid w:val="17F07201"/>
    <w:rsid w:val="17F50A66"/>
    <w:rsid w:val="18F45E0B"/>
    <w:rsid w:val="18F94D1D"/>
    <w:rsid w:val="19FE48E9"/>
    <w:rsid w:val="1A4334AB"/>
    <w:rsid w:val="1B602BF9"/>
    <w:rsid w:val="1BA075C9"/>
    <w:rsid w:val="1D921938"/>
    <w:rsid w:val="1E9C11A8"/>
    <w:rsid w:val="1EBA72DE"/>
    <w:rsid w:val="1F444B05"/>
    <w:rsid w:val="20B87907"/>
    <w:rsid w:val="20E95386"/>
    <w:rsid w:val="20FD531A"/>
    <w:rsid w:val="213525A9"/>
    <w:rsid w:val="224A0A33"/>
    <w:rsid w:val="234B4A63"/>
    <w:rsid w:val="238E494F"/>
    <w:rsid w:val="2CB01DDA"/>
    <w:rsid w:val="2DD30EE6"/>
    <w:rsid w:val="2E1F0EAA"/>
    <w:rsid w:val="2EA84B69"/>
    <w:rsid w:val="2F22555E"/>
    <w:rsid w:val="2F5511D2"/>
    <w:rsid w:val="2FB83480"/>
    <w:rsid w:val="308B331C"/>
    <w:rsid w:val="3199108F"/>
    <w:rsid w:val="322748ED"/>
    <w:rsid w:val="33770959"/>
    <w:rsid w:val="34AE5E4E"/>
    <w:rsid w:val="35FA4CE1"/>
    <w:rsid w:val="37103BA1"/>
    <w:rsid w:val="37136CAD"/>
    <w:rsid w:val="376143FD"/>
    <w:rsid w:val="3AD909EA"/>
    <w:rsid w:val="3B892174"/>
    <w:rsid w:val="3C224794"/>
    <w:rsid w:val="3D52401A"/>
    <w:rsid w:val="3D6C3717"/>
    <w:rsid w:val="3DDF0150"/>
    <w:rsid w:val="3F220916"/>
    <w:rsid w:val="3F8F1F5F"/>
    <w:rsid w:val="401763AA"/>
    <w:rsid w:val="40583EC3"/>
    <w:rsid w:val="40EB246D"/>
    <w:rsid w:val="42731488"/>
    <w:rsid w:val="42875B0A"/>
    <w:rsid w:val="42A764AC"/>
    <w:rsid w:val="43086074"/>
    <w:rsid w:val="43FA2168"/>
    <w:rsid w:val="44BE310D"/>
    <w:rsid w:val="46274A64"/>
    <w:rsid w:val="47DC1F25"/>
    <w:rsid w:val="48BD5E62"/>
    <w:rsid w:val="4A510301"/>
    <w:rsid w:val="4C357D36"/>
    <w:rsid w:val="4C8B73F8"/>
    <w:rsid w:val="4E263853"/>
    <w:rsid w:val="4F294193"/>
    <w:rsid w:val="4FB54E8E"/>
    <w:rsid w:val="502A587C"/>
    <w:rsid w:val="52C935DE"/>
    <w:rsid w:val="564626B3"/>
    <w:rsid w:val="56570364"/>
    <w:rsid w:val="571B5F1F"/>
    <w:rsid w:val="58063372"/>
    <w:rsid w:val="59B12B6A"/>
    <w:rsid w:val="59E243BE"/>
    <w:rsid w:val="5C91458D"/>
    <w:rsid w:val="5CDD3C76"/>
    <w:rsid w:val="5DD10F64"/>
    <w:rsid w:val="5EBF1885"/>
    <w:rsid w:val="5F347CEA"/>
    <w:rsid w:val="5F722DAB"/>
    <w:rsid w:val="605B26CB"/>
    <w:rsid w:val="616471CC"/>
    <w:rsid w:val="619743F4"/>
    <w:rsid w:val="61CC6603"/>
    <w:rsid w:val="639E223E"/>
    <w:rsid w:val="644F5459"/>
    <w:rsid w:val="64566670"/>
    <w:rsid w:val="64A05CB5"/>
    <w:rsid w:val="64E61B17"/>
    <w:rsid w:val="655D3BA6"/>
    <w:rsid w:val="665903DC"/>
    <w:rsid w:val="665E5A2D"/>
    <w:rsid w:val="67D80A8F"/>
    <w:rsid w:val="69803A98"/>
    <w:rsid w:val="69CB3A37"/>
    <w:rsid w:val="6B177006"/>
    <w:rsid w:val="6B397FDF"/>
    <w:rsid w:val="6B674B73"/>
    <w:rsid w:val="6BB77C08"/>
    <w:rsid w:val="6BFE3532"/>
    <w:rsid w:val="6DB12CE1"/>
    <w:rsid w:val="6E3B37C2"/>
    <w:rsid w:val="6E3F653F"/>
    <w:rsid w:val="6F713A87"/>
    <w:rsid w:val="6F7F4EBB"/>
    <w:rsid w:val="709E7E64"/>
    <w:rsid w:val="70F33611"/>
    <w:rsid w:val="713C6120"/>
    <w:rsid w:val="72DD5AEF"/>
    <w:rsid w:val="7376281C"/>
    <w:rsid w:val="73CA68AB"/>
    <w:rsid w:val="74416441"/>
    <w:rsid w:val="747D0604"/>
    <w:rsid w:val="751D6EAE"/>
    <w:rsid w:val="755475C4"/>
    <w:rsid w:val="76557EC3"/>
    <w:rsid w:val="76A86FB7"/>
    <w:rsid w:val="793B3DA7"/>
    <w:rsid w:val="7CC13438"/>
    <w:rsid w:val="7D90616F"/>
    <w:rsid w:val="7E924469"/>
    <w:rsid w:val="7EA82784"/>
    <w:rsid w:val="7F840255"/>
    <w:rsid w:val="BFA725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qFormat/>
    <w:uiPriority w:val="0"/>
    <w:pPr>
      <w:keepNext/>
      <w:keepLines/>
      <w:spacing w:line="240" w:lineRule="auto"/>
      <w:outlineLvl w:val="0"/>
    </w:pPr>
    <w:rPr>
      <w:rFonts w:ascii="Calibri" w:hAnsi="Calibri"/>
      <w:b/>
      <w:bCs/>
      <w:kern w:val="44"/>
      <w:sz w:val="32"/>
      <w:szCs w:val="32"/>
    </w:rPr>
  </w:style>
  <w:style w:type="paragraph" w:styleId="7">
    <w:name w:val="heading 2"/>
    <w:basedOn w:val="1"/>
    <w:next w:val="1"/>
    <w:qFormat/>
    <w:uiPriority w:val="0"/>
    <w:pPr>
      <w:keepNext/>
      <w:keepLines/>
      <w:spacing w:beforeLines="0" w:beforeAutospacing="0" w:afterLines="0" w:afterAutospacing="0" w:line="240" w:lineRule="auto"/>
      <w:outlineLvl w:val="1"/>
    </w:pPr>
    <w:rPr>
      <w:rFonts w:ascii="Arial" w:hAnsi="Arial" w:eastAsia="宋体"/>
      <w:b/>
      <w:sz w:val="28"/>
    </w:rPr>
  </w:style>
  <w:style w:type="paragraph" w:styleId="8">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100" w:firstLineChars="100"/>
    </w:pPr>
    <w:rPr>
      <w:rFonts w:ascii="Times New Roman" w:hAnsi="Times New Roman" w:eastAsia="宋体" w:cs="Times New Roman"/>
    </w:rPr>
  </w:style>
  <w:style w:type="paragraph" w:styleId="3">
    <w:name w:val="Body Text"/>
    <w:basedOn w:val="1"/>
    <w:next w:val="4"/>
    <w:qFormat/>
    <w:uiPriority w:val="1"/>
    <w:pPr>
      <w:ind w:left="1064"/>
    </w:pPr>
    <w:rPr>
      <w:rFonts w:ascii="仿宋_GB2312" w:hAnsi="仿宋_GB2312" w:eastAsia="仿宋_GB2312" w:cs="仿宋_GB2312"/>
      <w:sz w:val="30"/>
      <w:szCs w:val="30"/>
    </w:rPr>
  </w:style>
  <w:style w:type="paragraph" w:styleId="4">
    <w:name w:val="toc 5"/>
    <w:basedOn w:val="1"/>
    <w:next w:val="1"/>
    <w:qFormat/>
    <w:uiPriority w:val="0"/>
    <w:pPr>
      <w:wordWrap w:val="0"/>
      <w:spacing w:before="0" w:line="240" w:lineRule="auto"/>
      <w:ind w:left="1275"/>
      <w:jc w:val="both"/>
    </w:pPr>
    <w:rPr>
      <w:rFonts w:ascii="Times New Roman" w:hAnsi="Times New Roman" w:eastAsia="宋体" w:cs="Times New Roman"/>
      <w:sz w:val="21"/>
    </w:rPr>
  </w:style>
  <w:style w:type="paragraph" w:styleId="5">
    <w:name w:val="index 6"/>
    <w:basedOn w:val="1"/>
    <w:next w:val="1"/>
    <w:qFormat/>
    <w:uiPriority w:val="0"/>
    <w:pPr>
      <w:widowControl w:val="0"/>
      <w:ind w:left="2100"/>
      <w:jc w:val="left"/>
    </w:pPr>
    <w:rPr>
      <w:rFonts w:ascii="Times New Roman" w:hAnsi="Times New Roman" w:eastAsia="仿宋_GB2312" w:cs="Times New Roman"/>
      <w:kern w:val="2"/>
      <w:sz w:val="28"/>
      <w:szCs w:val="24"/>
      <w:lang w:val="en-US" w:eastAsia="zh-CN" w:bidi="ar-SA"/>
    </w:rPr>
  </w:style>
  <w:style w:type="paragraph" w:styleId="9">
    <w:name w:val="Normal Indent"/>
    <w:basedOn w:val="1"/>
    <w:qFormat/>
    <w:uiPriority w:val="0"/>
    <w:pPr>
      <w:snapToGrid w:val="0"/>
      <w:spacing w:line="300" w:lineRule="auto"/>
      <w:ind w:firstLine="556"/>
    </w:pPr>
    <w:rPr>
      <w:rFonts w:ascii="仿宋_GB2312" w:hAnsi="Times New Roman" w:eastAsia="仿宋_GB2312"/>
      <w:kern w:val="0"/>
      <w:szCs w:val="20"/>
    </w:rPr>
  </w:style>
  <w:style w:type="paragraph" w:styleId="10">
    <w:name w:val="Body Text Indent"/>
    <w:basedOn w:val="1"/>
    <w:qFormat/>
    <w:uiPriority w:val="0"/>
    <w:pPr>
      <w:spacing w:line="360" w:lineRule="auto"/>
      <w:ind w:left="315" w:leftChars="150" w:firstLine="403" w:firstLineChars="168"/>
    </w:pPr>
    <w:rPr>
      <w:rFonts w:ascii="宋体" w:hAnsi="宋体"/>
      <w:sz w:val="24"/>
      <w:szCs w:val="24"/>
    </w:rPr>
  </w:style>
  <w:style w:type="paragraph" w:styleId="11">
    <w:name w:val="toc 3"/>
    <w:basedOn w:val="1"/>
    <w:next w:val="1"/>
    <w:qFormat/>
    <w:uiPriority w:val="0"/>
    <w:pPr>
      <w:ind w:left="840" w:leftChars="4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style>
  <w:style w:type="paragraph" w:styleId="15">
    <w:name w:val="toc 2"/>
    <w:basedOn w:val="1"/>
    <w:next w:val="1"/>
    <w:qFormat/>
    <w:uiPriority w:val="0"/>
    <w:pPr>
      <w:ind w:left="420" w:leftChars="200"/>
    </w:p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0"/>
    <w:next w:val="1"/>
    <w:unhideWhenUsed/>
    <w:qFormat/>
    <w:uiPriority w:val="99"/>
    <w:pPr>
      <w:ind w:firstLine="420"/>
    </w:pPr>
    <w:rPr>
      <w:rFonts w:ascii="Times New Roman" w:hAnsi="Times New Roman"/>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0"/>
    <w:rPr>
      <w:color w:val="0000FF"/>
      <w:u w:val="single"/>
    </w:rPr>
  </w:style>
  <w:style w:type="paragraph" w:customStyle="1" w:styleId="22">
    <w:name w:val="样式 样式 行距: 1.5 倍行距 + 两端对齐 Char"/>
    <w:basedOn w:val="1"/>
    <w:autoRedefine/>
    <w:qFormat/>
    <w:uiPriority w:val="99"/>
    <w:pPr>
      <w:adjustRightInd w:val="0"/>
      <w:snapToGrid w:val="0"/>
      <w:ind w:firstLine="480" w:firstLineChars="200"/>
    </w:pPr>
    <w:rPr>
      <w:rFonts w:ascii="宋体" w:hAnsi="宋体" w:cs="宋体"/>
      <w:sz w:val="24"/>
    </w:rPr>
  </w:style>
  <w:style w:type="paragraph" w:customStyle="1" w:styleId="23">
    <w:name w:val="Default"/>
    <w:basedOn w:val="1"/>
    <w:next w:val="1"/>
    <w:autoRedefine/>
    <w:qFormat/>
    <w:uiPriority w:val="0"/>
    <w:pPr>
      <w:autoSpaceDE w:val="0"/>
      <w:autoSpaceDN w:val="0"/>
      <w:adjustRightInd w:val="0"/>
      <w:jc w:val="left"/>
    </w:pPr>
    <w:rPr>
      <w:rFonts w:ascii="新宋体" w:hAnsi="新宋体" w:cs="新宋体"/>
      <w:color w:val="000000"/>
    </w:rPr>
  </w:style>
  <w:style w:type="paragraph" w:customStyle="1" w:styleId="24">
    <w:name w:val="正文格式"/>
    <w:basedOn w:val="1"/>
    <w:autoRedefine/>
    <w:qFormat/>
    <w:uiPriority w:val="0"/>
    <w:pPr>
      <w:topLinePunct/>
      <w:ind w:firstLine="420" w:firstLineChars="200"/>
    </w:pPr>
    <w:rPr>
      <w:rFonts w:ascii="宋体" w:hAnsi="宋体"/>
      <w:bCs/>
      <w:szCs w:val="21"/>
    </w:rPr>
  </w:style>
  <w:style w:type="character" w:customStyle="1" w:styleId="25">
    <w:name w:val="font11"/>
    <w:basedOn w:val="20"/>
    <w:qFormat/>
    <w:uiPriority w:val="0"/>
    <w:rPr>
      <w:rFonts w:hint="eastAsia" w:ascii="宋体" w:hAnsi="宋体" w:eastAsia="宋体" w:cs="宋体"/>
      <w:color w:val="000000"/>
      <w:sz w:val="21"/>
      <w:szCs w:val="21"/>
      <w:u w:val="none"/>
    </w:rPr>
  </w:style>
  <w:style w:type="paragraph" w:customStyle="1" w:styleId="26">
    <w:name w:val="WPSOffice手动目录 1"/>
    <w:autoRedefine/>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 w:type="paragraph" w:customStyle="1" w:styleId="28">
    <w:name w:val="WPSOffice手动目录 3"/>
    <w:qFormat/>
    <w:uiPriority w:val="0"/>
    <w:pPr>
      <w:ind w:leftChars="400"/>
    </w:pPr>
    <w:rPr>
      <w:rFonts w:ascii="Times New Roman" w:hAnsi="Times New Roman" w:eastAsia="宋体" w:cs="Times New Roman"/>
      <w:sz w:val="20"/>
      <w:szCs w:val="20"/>
    </w:rPr>
  </w:style>
  <w:style w:type="paragraph" w:customStyle="1" w:styleId="29">
    <w:name w:val="Table Paragraph"/>
    <w:basedOn w:val="1"/>
    <w:qFormat/>
    <w:uiPriority w:val="0"/>
    <w:rPr>
      <w:rFonts w:ascii="宋体" w:hAnsi="宋体" w:eastAsia="宋体" w:cs="宋体"/>
      <w:lang w:val="zh-CN" w:bidi="zh-CN"/>
    </w:rPr>
  </w:style>
  <w:style w:type="paragraph" w:customStyle="1" w:styleId="30">
    <w:name w:val="样式2"/>
    <w:basedOn w:val="31"/>
    <w:autoRedefine/>
    <w:qFormat/>
    <w:uiPriority w:val="0"/>
    <w:pPr>
      <w:spacing w:line="312" w:lineRule="exact"/>
    </w:pPr>
  </w:style>
  <w:style w:type="paragraph" w:customStyle="1" w:styleId="31">
    <w:name w:val="样式1"/>
    <w:next w:val="6"/>
    <w:autoRedefine/>
    <w:qFormat/>
    <w:uiPriority w:val="0"/>
    <w:pPr>
      <w:spacing w:line="480" w:lineRule="auto"/>
    </w:pPr>
    <w:rPr>
      <w:rFonts w:ascii="EU-F1" w:hAnsi="Times New Roman" w:eastAsia="黑体" w:cs="Times New Roman"/>
      <w:color w:val="000000"/>
      <w:kern w:val="44"/>
      <w:sz w:val="21"/>
      <w:szCs w:val="21"/>
      <w:lang w:val="en-US" w:eastAsia="zh-CN" w:bidi="ar-SA"/>
    </w:rPr>
  </w:style>
  <w:style w:type="paragraph" w:styleId="32">
    <w:name w:val="List Paragraph"/>
    <w:basedOn w:val="1"/>
    <w:autoRedefine/>
    <w:qFormat/>
    <w:uiPriority w:val="1"/>
    <w:pPr>
      <w:spacing w:before="216"/>
      <w:ind w:left="1064" w:firstLine="600"/>
    </w:pPr>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112</Words>
  <Characters>117</Characters>
  <Lines>0</Lines>
  <Paragraphs>0</Paragraphs>
  <TotalTime>2</TotalTime>
  <ScaleCrop>false</ScaleCrop>
  <LinksUpToDate>false</LinksUpToDate>
  <CharactersWithSpaces>126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2024-01-22T10:01:00Z</dcterms:created>
  <dc:creator>祁生智</dc:creator>
  <cp:lastModifiedBy>182----8192</cp:lastModifiedBy>
  <cp:lastPrinted>2024-04-28T01:23:00Z</cp:lastPrinted>
  <dcterms:modified xsi:type="dcterms:W3CDTF">2025-07-24T08:54:25Z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05B36B7AEB274E8EA2BF5EBAD11798E6_13</vt:lpwstr>
  </property>
  <property fmtid="{D5CDD505-2E9C-101B-9397-08002B2CF9AE}" pid="4" name="KSOTemplateDocerSaveRecord">
    <vt:lpwstr>eyJoZGlkIjoiYjAwMDVhMGM2MDhmMjVhYWFmM2EzMTFlYzE0NDNiNjEiLCJ1c2VySWQiOiI5MzcyNTQ2NTgifQ==</vt:lpwstr>
  </property>
</Properties>
</file>